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983BFF" w:rsidRPr="003A364D" w:rsidRDefault="00983BFF" w:rsidP="003A364D">
      <w:pPr>
        <w:spacing w:line="360" w:lineRule="auto"/>
        <w:jc w:val="both"/>
        <w:rPr>
          <w:rFonts w:ascii="Times New Roman" w:hAnsi="Times New Roman" w:cs="Times New Roman"/>
          <w:sz w:val="24"/>
          <w:szCs w:val="24"/>
        </w:rPr>
      </w:pPr>
      <w:r w:rsidRPr="003A364D">
        <w:rPr>
          <w:rFonts w:ascii="Times New Roman" w:hAnsi="Times New Roman" w:cs="Times New Roman"/>
          <w:sz w:val="24"/>
          <w:szCs w:val="24"/>
        </w:rPr>
        <w:t>Présentation</w:t>
      </w:r>
    </w:p>
    <w:p w:rsidR="00D22D90" w:rsidRPr="003A364D" w:rsidRDefault="00983BFF" w:rsidP="003A364D">
      <w:pPr>
        <w:spacing w:line="360" w:lineRule="auto"/>
        <w:jc w:val="both"/>
        <w:rPr>
          <w:rFonts w:ascii="Times New Roman" w:hAnsi="Times New Roman" w:cs="Times New Roman"/>
          <w:sz w:val="24"/>
          <w:szCs w:val="24"/>
        </w:rPr>
      </w:pPr>
      <w:r w:rsidRPr="003A364D">
        <w:rPr>
          <w:rFonts w:ascii="Times New Roman" w:hAnsi="Times New Roman" w:cs="Times New Roman"/>
          <w:sz w:val="24"/>
          <w:szCs w:val="24"/>
        </w:rPr>
        <w:t>Depuis 2015, le Burkina Faso vit une situation de crise socio-politique et sécuritaire dont le facteur conjoncturel a été la crise libyenne et le déferlement d’ordres terroristes à l’échelle des pays de la zone sahélienne dont le Burkina Faso</w:t>
      </w:r>
      <w:r w:rsidR="00357756">
        <w:rPr>
          <w:rFonts w:ascii="Times New Roman" w:hAnsi="Times New Roman" w:cs="Times New Roman"/>
          <w:sz w:val="24"/>
          <w:szCs w:val="24"/>
        </w:rPr>
        <w:t>, qui profitent de la faillite de l’Etat et des replis identitaire pour instrumentaliser les identités ethniques et religieuses.</w:t>
      </w:r>
      <w:r w:rsidRPr="003A364D">
        <w:rPr>
          <w:rFonts w:ascii="Times New Roman" w:hAnsi="Times New Roman" w:cs="Times New Roman"/>
          <w:sz w:val="24"/>
          <w:szCs w:val="24"/>
        </w:rPr>
        <w:t xml:space="preserve">. </w:t>
      </w:r>
      <w:r w:rsidR="00B07933" w:rsidRPr="003A364D">
        <w:rPr>
          <w:rFonts w:ascii="Times New Roman" w:hAnsi="Times New Roman" w:cs="Times New Roman"/>
          <w:sz w:val="24"/>
          <w:szCs w:val="24"/>
        </w:rPr>
        <w:t>Aux actions des groupes armés terroristes marquées par des</w:t>
      </w:r>
      <w:r w:rsidR="00D22D90" w:rsidRPr="003A364D">
        <w:rPr>
          <w:rFonts w:ascii="Times New Roman" w:hAnsi="Times New Roman" w:cs="Times New Roman"/>
          <w:sz w:val="24"/>
          <w:szCs w:val="24"/>
        </w:rPr>
        <w:t xml:space="preserve"> atteintes aux droits à la vie, à l’intégrité physique et morale, des déplacement forcés de populations</w:t>
      </w:r>
      <w:r w:rsidR="00E27725" w:rsidRPr="003A364D">
        <w:rPr>
          <w:rFonts w:ascii="Times New Roman" w:hAnsi="Times New Roman" w:cs="Times New Roman"/>
          <w:sz w:val="24"/>
          <w:szCs w:val="24"/>
        </w:rPr>
        <w:t xml:space="preserve">, </w:t>
      </w:r>
      <w:r w:rsidR="00E27725" w:rsidRPr="003A364D">
        <w:rPr>
          <w:rFonts w:ascii="Times New Roman" w:hAnsi="Times New Roman" w:cs="Times New Roman"/>
          <w:sz w:val="24"/>
          <w:szCs w:val="24"/>
        </w:rPr>
        <w:t>assassinats ciblés et de masse</w:t>
      </w:r>
      <w:r w:rsidR="00050BDD" w:rsidRPr="003A364D">
        <w:rPr>
          <w:rFonts w:ascii="Times New Roman" w:hAnsi="Times New Roman" w:cs="Times New Roman"/>
          <w:sz w:val="24"/>
          <w:szCs w:val="24"/>
        </w:rPr>
        <w:t xml:space="preserve">, l’Etat </w:t>
      </w:r>
      <w:r w:rsidR="00E27725" w:rsidRPr="003A364D">
        <w:rPr>
          <w:rFonts w:ascii="Times New Roman" w:hAnsi="Times New Roman" w:cs="Times New Roman"/>
          <w:sz w:val="24"/>
          <w:szCs w:val="24"/>
        </w:rPr>
        <w:t>a</w:t>
      </w:r>
      <w:r w:rsidR="00050BDD" w:rsidRPr="003A364D">
        <w:rPr>
          <w:rFonts w:ascii="Times New Roman" w:hAnsi="Times New Roman" w:cs="Times New Roman"/>
          <w:sz w:val="24"/>
          <w:szCs w:val="24"/>
        </w:rPr>
        <w:t xml:space="preserve"> opposé un certain nombre de mesures portant essentiellement sur l’instauration de l’Etat d’urgence, des opérations spéciales, la création de zones d’intérêt militaire, le recrutement de VDP, la prise de dispositions législative dont le la Loi VDP, le Code pénal et la loi sur la mobilisation générale. Malgré ces mesures, on peine à venir à bout de cette guerre de nature civile et réactionnaire. </w:t>
      </w:r>
    </w:p>
    <w:p w:rsidR="002525C4" w:rsidRDefault="00BB70BE" w:rsidP="00A31095">
      <w:pPr>
        <w:spacing w:line="360" w:lineRule="auto"/>
        <w:jc w:val="both"/>
        <w:rPr>
          <w:rFonts w:ascii="Times New Roman" w:hAnsi="Times New Roman" w:cs="Times New Roman"/>
          <w:sz w:val="24"/>
          <w:szCs w:val="24"/>
        </w:rPr>
      </w:pPr>
      <w:r>
        <w:rPr>
          <w:rFonts w:ascii="Times New Roman" w:hAnsi="Times New Roman" w:cs="Times New Roman"/>
          <w:sz w:val="24"/>
          <w:szCs w:val="24"/>
        </w:rPr>
        <w:t>Au 3</w:t>
      </w:r>
      <w:r w:rsidR="00983BFF" w:rsidRPr="003A364D">
        <w:rPr>
          <w:rFonts w:ascii="Times New Roman" w:hAnsi="Times New Roman" w:cs="Times New Roman"/>
          <w:sz w:val="24"/>
          <w:szCs w:val="24"/>
        </w:rPr>
        <w:t xml:space="preserve">1 janvier 2023, </w:t>
      </w:r>
      <w:r>
        <w:rPr>
          <w:rFonts w:ascii="Times New Roman" w:hAnsi="Times New Roman" w:cs="Times New Roman"/>
          <w:sz w:val="24"/>
          <w:szCs w:val="24"/>
        </w:rPr>
        <w:t xml:space="preserve">les actions combinées de cette guerre antiterroriste totalisent </w:t>
      </w:r>
      <w:r w:rsidR="00983BFF" w:rsidRPr="003A364D">
        <w:rPr>
          <w:rFonts w:ascii="Times New Roman" w:hAnsi="Times New Roman" w:cs="Times New Roman"/>
          <w:sz w:val="24"/>
          <w:szCs w:val="24"/>
        </w:rPr>
        <w:t>1 938 792 personnes déplacées internes (PDI) avec une prédominance d’enfants estimés à 968 664</w:t>
      </w:r>
      <w:r w:rsidR="00983BFF" w:rsidRPr="003A364D">
        <w:rPr>
          <w:rStyle w:val="Appelnotedebasdep"/>
          <w:rFonts w:ascii="Times New Roman" w:hAnsi="Times New Roman" w:cs="Times New Roman"/>
          <w:sz w:val="24"/>
          <w:szCs w:val="24"/>
        </w:rPr>
        <w:footnoteReference w:id="1"/>
      </w:r>
      <w:r>
        <w:rPr>
          <w:rFonts w:ascii="Times New Roman" w:hAnsi="Times New Roman" w:cs="Times New Roman"/>
          <w:sz w:val="24"/>
          <w:szCs w:val="24"/>
        </w:rPr>
        <w:t xml:space="preserve"> alors qu’</w:t>
      </w:r>
      <w:r w:rsidRPr="003A364D">
        <w:rPr>
          <w:rFonts w:ascii="Times New Roman" w:hAnsi="Times New Roman" w:cs="Times New Roman"/>
          <w:sz w:val="24"/>
          <w:szCs w:val="24"/>
        </w:rPr>
        <w:t>en</w:t>
      </w:r>
      <w:r w:rsidR="00983BFF" w:rsidRPr="003A364D">
        <w:rPr>
          <w:rFonts w:ascii="Times New Roman" w:hAnsi="Times New Roman" w:cs="Times New Roman"/>
          <w:sz w:val="24"/>
          <w:szCs w:val="24"/>
        </w:rPr>
        <w:t xml:space="preserve"> fin 2018, ce nombre était de 47 000</w:t>
      </w:r>
      <w:r w:rsidR="00983BFF" w:rsidRPr="003A364D">
        <w:rPr>
          <w:rStyle w:val="Appelnotedebasdep"/>
          <w:rFonts w:ascii="Times New Roman" w:hAnsi="Times New Roman" w:cs="Times New Roman"/>
          <w:sz w:val="24"/>
          <w:szCs w:val="24"/>
        </w:rPr>
        <w:footnoteReference w:id="2"/>
      </w:r>
      <w:r w:rsidR="00983BFF" w:rsidRPr="003A364D">
        <w:rPr>
          <w:rFonts w:ascii="Times New Roman" w:hAnsi="Times New Roman" w:cs="Times New Roman"/>
          <w:sz w:val="24"/>
          <w:szCs w:val="24"/>
        </w:rPr>
        <w:t>.</w:t>
      </w:r>
      <w:r w:rsidR="00585761">
        <w:rPr>
          <w:rFonts w:ascii="Times New Roman" w:hAnsi="Times New Roman" w:cs="Times New Roman"/>
          <w:sz w:val="24"/>
          <w:szCs w:val="24"/>
        </w:rPr>
        <w:t xml:space="preserve"> Si l’on exclut, les</w:t>
      </w:r>
      <w:r w:rsidR="00983BFF" w:rsidRPr="003A364D">
        <w:rPr>
          <w:rFonts w:ascii="Times New Roman" w:hAnsi="Times New Roman" w:cs="Times New Roman"/>
          <w:sz w:val="24"/>
          <w:szCs w:val="24"/>
        </w:rPr>
        <w:t xml:space="preserve"> besoins prioritaires </w:t>
      </w:r>
      <w:r w:rsidR="00585761">
        <w:rPr>
          <w:rFonts w:ascii="Times New Roman" w:hAnsi="Times New Roman" w:cs="Times New Roman"/>
          <w:sz w:val="24"/>
          <w:szCs w:val="24"/>
        </w:rPr>
        <w:t xml:space="preserve">estimées dans les zones à fort défis sécuritaire, les localités sous blocus et les zones d’accueils des PDI déjà très préoccupants : </w:t>
      </w:r>
      <w:r w:rsidR="00A31095">
        <w:rPr>
          <w:rFonts w:ascii="Times New Roman" w:hAnsi="Times New Roman" w:cs="Times New Roman"/>
          <w:sz w:val="24"/>
          <w:szCs w:val="24"/>
        </w:rPr>
        <w:t>[</w:t>
      </w:r>
      <w:r w:rsidR="00983BFF" w:rsidRPr="00A31095">
        <w:rPr>
          <w:rFonts w:ascii="Times New Roman" w:hAnsi="Times New Roman" w:cs="Times New Roman"/>
          <w:sz w:val="24"/>
          <w:szCs w:val="24"/>
          <w:highlight w:val="yellow"/>
        </w:rPr>
        <w:t>alimentaire (84,87%), abri (46,09%), argent liquide (38,39%), articles non alimentaires (32,94%), sécurité (12,75%)</w:t>
      </w:r>
      <w:r w:rsidR="00983BFF" w:rsidRPr="00A31095">
        <w:rPr>
          <w:rStyle w:val="Appelnotedebasdep"/>
          <w:rFonts w:ascii="Times New Roman" w:hAnsi="Times New Roman" w:cs="Times New Roman"/>
          <w:sz w:val="24"/>
          <w:szCs w:val="24"/>
          <w:highlight w:val="yellow"/>
        </w:rPr>
        <w:footnoteReference w:id="3"/>
      </w:r>
      <w:r w:rsidR="00613D62" w:rsidRPr="00A31095">
        <w:rPr>
          <w:rFonts w:ascii="Times New Roman" w:hAnsi="Times New Roman" w:cs="Times New Roman"/>
          <w:sz w:val="24"/>
          <w:szCs w:val="24"/>
          <w:highlight w:val="yellow"/>
        </w:rPr>
        <w:t xml:space="preserve">, </w:t>
      </w:r>
      <w:r w:rsidR="00983BFF" w:rsidRPr="00A31095">
        <w:rPr>
          <w:rFonts w:ascii="Times New Roman" w:hAnsi="Times New Roman" w:cs="Times New Roman"/>
          <w:sz w:val="24"/>
          <w:szCs w:val="24"/>
          <w:highlight w:val="yellow"/>
        </w:rPr>
        <w:t>près de 3,5 millions de personnes</w:t>
      </w:r>
      <w:r w:rsidR="002525C4" w:rsidRPr="00A31095">
        <w:rPr>
          <w:rFonts w:ascii="Times New Roman" w:hAnsi="Times New Roman" w:cs="Times New Roman"/>
          <w:sz w:val="24"/>
          <w:szCs w:val="24"/>
          <w:highlight w:val="yellow"/>
        </w:rPr>
        <w:t xml:space="preserve"> </w:t>
      </w:r>
      <w:r w:rsidR="002525C4" w:rsidRPr="00A31095">
        <w:rPr>
          <w:rFonts w:ascii="Times New Roman" w:hAnsi="Times New Roman" w:cs="Times New Roman"/>
          <w:sz w:val="24"/>
          <w:szCs w:val="24"/>
          <w:highlight w:val="yellow"/>
        </w:rPr>
        <w:t>en situation d’insécurité alimentaire et 4,7 millions de personnes qui auront un besoin d’aide humanitaire</w:t>
      </w:r>
      <w:r w:rsidR="00613D62" w:rsidRPr="00A31095">
        <w:rPr>
          <w:rFonts w:ascii="Times New Roman" w:hAnsi="Times New Roman" w:cs="Times New Roman"/>
          <w:sz w:val="24"/>
          <w:szCs w:val="24"/>
          <w:highlight w:val="yellow"/>
        </w:rPr>
        <w:t xml:space="preserve"> (</w:t>
      </w:r>
      <w:r w:rsidR="00613D62" w:rsidRPr="00A31095">
        <w:rPr>
          <w:rFonts w:ascii="Times New Roman" w:hAnsi="Times New Roman" w:cs="Times New Roman"/>
          <w:sz w:val="24"/>
          <w:szCs w:val="24"/>
          <w:highlight w:val="yellow"/>
        </w:rPr>
        <w:t>OCHA</w:t>
      </w:r>
      <w:r w:rsidR="00613D62" w:rsidRPr="00A31095">
        <w:rPr>
          <w:rFonts w:ascii="Times New Roman" w:hAnsi="Times New Roman" w:cs="Times New Roman"/>
          <w:sz w:val="24"/>
          <w:szCs w:val="24"/>
          <w:highlight w:val="yellow"/>
        </w:rPr>
        <w:t>), environ</w:t>
      </w:r>
      <w:r w:rsidR="002525C4" w:rsidRPr="00A31095">
        <w:rPr>
          <w:rFonts w:ascii="Times New Roman" w:hAnsi="Times New Roman" w:cs="Times New Roman"/>
          <w:sz w:val="24"/>
          <w:szCs w:val="24"/>
          <w:highlight w:val="yellow"/>
        </w:rPr>
        <w:t xml:space="preserve"> 877 millions de dollars US seront nécessaires pour apporter une réponse multisectorielle aux 3,1 millions de personnes aux besoins aigus et urgents dans 127 communes du pays</w:t>
      </w:r>
      <w:r w:rsidR="002525C4" w:rsidRPr="00A31095">
        <w:rPr>
          <w:rStyle w:val="Appelnotedebasdep"/>
          <w:rFonts w:ascii="Times New Roman" w:hAnsi="Times New Roman" w:cs="Times New Roman"/>
          <w:sz w:val="24"/>
          <w:szCs w:val="24"/>
          <w:highlight w:val="yellow"/>
        </w:rPr>
        <w:footnoteReference w:id="4"/>
      </w:r>
      <w:r w:rsidR="00A31095">
        <w:rPr>
          <w:rFonts w:ascii="Times New Roman" w:hAnsi="Times New Roman" w:cs="Times New Roman"/>
          <w:sz w:val="24"/>
          <w:szCs w:val="24"/>
        </w:rPr>
        <w:t>]</w:t>
      </w:r>
      <w:r w:rsidR="004725BB">
        <w:rPr>
          <w:rFonts w:ascii="Times New Roman" w:hAnsi="Times New Roman" w:cs="Times New Roman"/>
          <w:sz w:val="24"/>
          <w:szCs w:val="24"/>
        </w:rPr>
        <w:t xml:space="preserve"> c’est l’efficacité des initiatives de la lutte antiterroriste et le respect des droits fondamentaux de la personne humain qui sont de plus en plus mis en péril au regard de l’évolution de la situation national ces derniers mois et pour preuve, </w:t>
      </w:r>
      <w:r w:rsidR="00D90C73">
        <w:rPr>
          <w:rFonts w:ascii="Times New Roman" w:hAnsi="Times New Roman" w:cs="Times New Roman"/>
          <w:sz w:val="24"/>
          <w:szCs w:val="24"/>
        </w:rPr>
        <w:t xml:space="preserve">les cas de : </w:t>
      </w:r>
    </w:p>
    <w:p w:rsidR="00D90C73" w:rsidRPr="00415AC7" w:rsidRDefault="00D90C73" w:rsidP="00415AC7">
      <w:pPr>
        <w:pStyle w:val="Paragraphedeliste"/>
        <w:numPr>
          <w:ilvl w:val="0"/>
          <w:numId w:val="1"/>
        </w:numPr>
        <w:tabs>
          <w:tab w:val="left" w:pos="3190"/>
        </w:tabs>
        <w:spacing w:line="360" w:lineRule="auto"/>
        <w:jc w:val="both"/>
        <w:rPr>
          <w:rFonts w:ascii="Times New Roman" w:hAnsi="Times New Roman" w:cs="Times New Roman"/>
          <w:sz w:val="24"/>
          <w:szCs w:val="24"/>
        </w:rPr>
      </w:pPr>
      <w:proofErr w:type="spellStart"/>
      <w:r w:rsidRPr="00415AC7">
        <w:rPr>
          <w:rFonts w:ascii="Times New Roman" w:hAnsi="Times New Roman" w:cs="Times New Roman"/>
          <w:sz w:val="24"/>
          <w:szCs w:val="24"/>
        </w:rPr>
        <w:t>Sakoani</w:t>
      </w:r>
      <w:proofErr w:type="spellEnd"/>
      <w:r w:rsidR="008E3737">
        <w:rPr>
          <w:rFonts w:ascii="Times New Roman" w:hAnsi="Times New Roman" w:cs="Times New Roman"/>
          <w:sz w:val="24"/>
          <w:szCs w:val="24"/>
        </w:rPr>
        <w:t xml:space="preserve">, Partiaga et </w:t>
      </w:r>
      <w:proofErr w:type="spellStart"/>
      <w:r w:rsidR="008E3737">
        <w:rPr>
          <w:rFonts w:ascii="Times New Roman" w:hAnsi="Times New Roman" w:cs="Times New Roman"/>
          <w:sz w:val="24"/>
          <w:szCs w:val="24"/>
        </w:rPr>
        <w:t>Ougarou</w:t>
      </w:r>
      <w:proofErr w:type="spellEnd"/>
      <w:r w:rsidR="008E3737">
        <w:rPr>
          <w:rFonts w:ascii="Times New Roman" w:hAnsi="Times New Roman" w:cs="Times New Roman"/>
          <w:sz w:val="24"/>
          <w:szCs w:val="24"/>
        </w:rPr>
        <w:t xml:space="preserve"> </w:t>
      </w:r>
      <w:r w:rsidR="001D4E11" w:rsidRPr="00415AC7">
        <w:rPr>
          <w:rFonts w:ascii="Times New Roman" w:hAnsi="Times New Roman" w:cs="Times New Roman"/>
          <w:sz w:val="24"/>
          <w:szCs w:val="24"/>
        </w:rPr>
        <w:t>dans la région de l’Est ;</w:t>
      </w:r>
    </w:p>
    <w:p w:rsidR="001D4E11" w:rsidRPr="00415AC7" w:rsidRDefault="001D4E11" w:rsidP="00415AC7">
      <w:pPr>
        <w:pStyle w:val="Paragraphedeliste"/>
        <w:numPr>
          <w:ilvl w:val="0"/>
          <w:numId w:val="1"/>
        </w:numPr>
        <w:tabs>
          <w:tab w:val="left" w:pos="3190"/>
        </w:tabs>
        <w:spacing w:line="360" w:lineRule="auto"/>
        <w:jc w:val="both"/>
        <w:rPr>
          <w:rFonts w:ascii="Times New Roman" w:hAnsi="Times New Roman" w:cs="Times New Roman"/>
          <w:sz w:val="24"/>
          <w:szCs w:val="24"/>
        </w:rPr>
      </w:pPr>
      <w:r w:rsidRPr="00415AC7">
        <w:rPr>
          <w:rFonts w:ascii="Times New Roman" w:hAnsi="Times New Roman" w:cs="Times New Roman"/>
          <w:sz w:val="24"/>
          <w:szCs w:val="24"/>
        </w:rPr>
        <w:t>Déou</w:t>
      </w:r>
      <w:r w:rsidR="00B16E3D">
        <w:rPr>
          <w:rFonts w:ascii="Times New Roman" w:hAnsi="Times New Roman" w:cs="Times New Roman"/>
          <w:sz w:val="24"/>
          <w:szCs w:val="24"/>
        </w:rPr>
        <w:t>-Oursi</w:t>
      </w:r>
      <w:r w:rsidRPr="00415AC7">
        <w:rPr>
          <w:rFonts w:ascii="Times New Roman" w:hAnsi="Times New Roman" w:cs="Times New Roman"/>
          <w:sz w:val="24"/>
          <w:szCs w:val="24"/>
        </w:rPr>
        <w:t xml:space="preserve"> </w:t>
      </w:r>
      <w:r w:rsidR="008E3737">
        <w:rPr>
          <w:rFonts w:ascii="Times New Roman" w:hAnsi="Times New Roman" w:cs="Times New Roman"/>
          <w:sz w:val="24"/>
          <w:szCs w:val="24"/>
        </w:rPr>
        <w:t xml:space="preserve">et Tin-Akof </w:t>
      </w:r>
      <w:r w:rsidRPr="00415AC7">
        <w:rPr>
          <w:rFonts w:ascii="Times New Roman" w:hAnsi="Times New Roman" w:cs="Times New Roman"/>
          <w:sz w:val="24"/>
          <w:szCs w:val="24"/>
        </w:rPr>
        <w:t>dans le Sahel ;</w:t>
      </w:r>
    </w:p>
    <w:p w:rsidR="001D4E11" w:rsidRPr="00415AC7" w:rsidRDefault="001D4E11" w:rsidP="00415AC7">
      <w:pPr>
        <w:pStyle w:val="Paragraphedeliste"/>
        <w:numPr>
          <w:ilvl w:val="0"/>
          <w:numId w:val="1"/>
        </w:numPr>
        <w:tabs>
          <w:tab w:val="left" w:pos="3190"/>
        </w:tabs>
        <w:spacing w:line="360" w:lineRule="auto"/>
        <w:jc w:val="both"/>
        <w:rPr>
          <w:rFonts w:ascii="Times New Roman" w:hAnsi="Times New Roman" w:cs="Times New Roman"/>
          <w:sz w:val="24"/>
          <w:szCs w:val="24"/>
        </w:rPr>
      </w:pPr>
      <w:r w:rsidRPr="00415AC7">
        <w:rPr>
          <w:rFonts w:ascii="Times New Roman" w:hAnsi="Times New Roman" w:cs="Times New Roman"/>
          <w:sz w:val="24"/>
          <w:szCs w:val="24"/>
        </w:rPr>
        <w:t>Nouna dans la région de la Boucle du Mouhoun ;</w:t>
      </w:r>
    </w:p>
    <w:p w:rsidR="001D4E11" w:rsidRDefault="00BC7A6C" w:rsidP="00415AC7">
      <w:pPr>
        <w:pStyle w:val="Paragraphedeliste"/>
        <w:numPr>
          <w:ilvl w:val="0"/>
          <w:numId w:val="1"/>
        </w:numPr>
        <w:tabs>
          <w:tab w:val="left" w:pos="3190"/>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L’attaque </w:t>
      </w:r>
      <w:proofErr w:type="spellStart"/>
      <w:r>
        <w:rPr>
          <w:rFonts w:ascii="Times New Roman" w:hAnsi="Times New Roman" w:cs="Times New Roman"/>
          <w:sz w:val="24"/>
          <w:szCs w:val="24"/>
        </w:rPr>
        <w:t>Rapougma</w:t>
      </w:r>
      <w:proofErr w:type="spellEnd"/>
      <w:r>
        <w:rPr>
          <w:rFonts w:ascii="Times New Roman" w:hAnsi="Times New Roman" w:cs="Times New Roman"/>
          <w:sz w:val="24"/>
          <w:szCs w:val="24"/>
        </w:rPr>
        <w:t xml:space="preserve"> et </w:t>
      </w:r>
      <w:r w:rsidR="001D4E11" w:rsidRPr="00415AC7">
        <w:rPr>
          <w:rFonts w:ascii="Times New Roman" w:hAnsi="Times New Roman" w:cs="Times New Roman"/>
          <w:sz w:val="24"/>
          <w:szCs w:val="24"/>
        </w:rPr>
        <w:t xml:space="preserve">Karma dans la région du nord. </w:t>
      </w:r>
      <w:r w:rsidR="005D16EC">
        <w:rPr>
          <w:rFonts w:ascii="Times New Roman" w:hAnsi="Times New Roman" w:cs="Times New Roman"/>
          <w:sz w:val="24"/>
          <w:szCs w:val="24"/>
        </w:rPr>
        <w:t xml:space="preserve"> </w:t>
      </w:r>
    </w:p>
    <w:p w:rsidR="00C458B3" w:rsidRDefault="00C458B3" w:rsidP="00C458B3">
      <w:pPr>
        <w:tabs>
          <w:tab w:val="left" w:pos="3190"/>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C’est pourquoi, nous avons bien voulu </w:t>
      </w:r>
      <w:r w:rsidR="001C78D7">
        <w:rPr>
          <w:rFonts w:ascii="Times New Roman" w:hAnsi="Times New Roman" w:cs="Times New Roman"/>
          <w:sz w:val="24"/>
          <w:szCs w:val="24"/>
        </w:rPr>
        <w:t>intituler</w:t>
      </w:r>
      <w:r>
        <w:rPr>
          <w:rFonts w:ascii="Times New Roman" w:hAnsi="Times New Roman" w:cs="Times New Roman"/>
          <w:sz w:val="24"/>
          <w:szCs w:val="24"/>
        </w:rPr>
        <w:t xml:space="preserve"> ce thème de débat : « Défense des droits humains dans un contexte de guerre civile réactionnaire au Burkina Faso ». </w:t>
      </w:r>
      <w:r w:rsidR="001C78D7">
        <w:rPr>
          <w:rFonts w:ascii="Times New Roman" w:hAnsi="Times New Roman" w:cs="Times New Roman"/>
          <w:sz w:val="24"/>
          <w:szCs w:val="24"/>
        </w:rPr>
        <w:t xml:space="preserve">Parce </w:t>
      </w:r>
      <w:r w:rsidR="001C78D7">
        <w:rPr>
          <w:rFonts w:ascii="Times New Roman" w:hAnsi="Times New Roman" w:cs="Times New Roman"/>
          <w:sz w:val="24"/>
          <w:szCs w:val="24"/>
        </w:rPr>
        <w:lastRenderedPageBreak/>
        <w:t xml:space="preserve">qu’aujourd’hui, au-delà du verrouillage des espaces de libertés certaines catégories de burkinabè </w:t>
      </w:r>
      <w:r w:rsidR="00DE7380">
        <w:rPr>
          <w:rFonts w:ascii="Times New Roman" w:hAnsi="Times New Roman" w:cs="Times New Roman"/>
          <w:sz w:val="24"/>
          <w:szCs w:val="24"/>
        </w:rPr>
        <w:t xml:space="preserve">arrivent </w:t>
      </w:r>
      <w:r w:rsidR="001C78D7">
        <w:rPr>
          <w:rFonts w:ascii="Times New Roman" w:hAnsi="Times New Roman" w:cs="Times New Roman"/>
          <w:sz w:val="24"/>
          <w:szCs w:val="24"/>
        </w:rPr>
        <w:t xml:space="preserve">à taxer d’apatrides tout porteur de voix ou d’opinion discordante vis-à-vis de la gestion de la crise sécuritaire et c’est le lieu en tant de défenseur des droits humains de s’en préoccuper. Parce qu’un certains nombres d’interrogations prévalent à cela et constitueront la structure de nos débats de la soirée. </w:t>
      </w:r>
    </w:p>
    <w:p w:rsidR="001C78D7" w:rsidRPr="00C252F3" w:rsidRDefault="001C78D7" w:rsidP="00C252F3">
      <w:pPr>
        <w:pStyle w:val="Paragraphedeliste"/>
        <w:numPr>
          <w:ilvl w:val="0"/>
          <w:numId w:val="2"/>
        </w:numPr>
        <w:tabs>
          <w:tab w:val="left" w:pos="3190"/>
        </w:tabs>
        <w:spacing w:line="360" w:lineRule="auto"/>
        <w:jc w:val="both"/>
        <w:rPr>
          <w:rFonts w:ascii="Times New Roman" w:hAnsi="Times New Roman" w:cs="Times New Roman"/>
          <w:sz w:val="24"/>
          <w:szCs w:val="24"/>
        </w:rPr>
      </w:pPr>
      <w:r w:rsidRPr="00C252F3">
        <w:rPr>
          <w:rFonts w:ascii="Times New Roman" w:hAnsi="Times New Roman" w:cs="Times New Roman"/>
          <w:sz w:val="24"/>
          <w:szCs w:val="24"/>
        </w:rPr>
        <w:t>Est-ce que la lutte contre le terrorisme excuse la défense des droits humains ?</w:t>
      </w:r>
    </w:p>
    <w:p w:rsidR="0040741F" w:rsidRDefault="0040741F" w:rsidP="00C252F3">
      <w:pPr>
        <w:pStyle w:val="Paragraphedeliste"/>
        <w:numPr>
          <w:ilvl w:val="0"/>
          <w:numId w:val="2"/>
        </w:numPr>
        <w:tabs>
          <w:tab w:val="left" w:pos="3190"/>
        </w:tabs>
        <w:spacing w:line="360" w:lineRule="auto"/>
        <w:jc w:val="both"/>
        <w:rPr>
          <w:rFonts w:ascii="Times New Roman" w:hAnsi="Times New Roman" w:cs="Times New Roman"/>
          <w:sz w:val="24"/>
          <w:szCs w:val="24"/>
        </w:rPr>
      </w:pPr>
      <w:r w:rsidRPr="00C252F3">
        <w:rPr>
          <w:rFonts w:ascii="Times New Roman" w:hAnsi="Times New Roman" w:cs="Times New Roman"/>
          <w:sz w:val="24"/>
          <w:szCs w:val="24"/>
        </w:rPr>
        <w:t xml:space="preserve">Qu’est-ce qui engage l’Etat en tant que garant de la protection civile en matière de protection des droits humains </w:t>
      </w:r>
      <w:r w:rsidR="00CF1716" w:rsidRPr="00C252F3">
        <w:rPr>
          <w:rFonts w:ascii="Times New Roman" w:hAnsi="Times New Roman" w:cs="Times New Roman"/>
          <w:sz w:val="24"/>
          <w:szCs w:val="24"/>
        </w:rPr>
        <w:t>dans un tel</w:t>
      </w:r>
      <w:r w:rsidRPr="00C252F3">
        <w:rPr>
          <w:rFonts w:ascii="Times New Roman" w:hAnsi="Times New Roman" w:cs="Times New Roman"/>
          <w:sz w:val="24"/>
          <w:szCs w:val="24"/>
        </w:rPr>
        <w:t xml:space="preserve"> contexte</w:t>
      </w:r>
      <w:r w:rsidR="00CF1716" w:rsidRPr="00C252F3">
        <w:rPr>
          <w:rFonts w:ascii="Times New Roman" w:hAnsi="Times New Roman" w:cs="Times New Roman"/>
          <w:sz w:val="24"/>
          <w:szCs w:val="24"/>
        </w:rPr>
        <w:t xml:space="preserve"> ? </w:t>
      </w:r>
    </w:p>
    <w:p w:rsidR="001A7756" w:rsidRDefault="0028551A" w:rsidP="00C252F3">
      <w:pPr>
        <w:pStyle w:val="Paragraphedeliste"/>
        <w:numPr>
          <w:ilvl w:val="0"/>
          <w:numId w:val="2"/>
        </w:numPr>
        <w:tabs>
          <w:tab w:val="left" w:pos="3190"/>
        </w:tabs>
        <w:spacing w:line="360" w:lineRule="auto"/>
        <w:jc w:val="both"/>
        <w:rPr>
          <w:rFonts w:ascii="Times New Roman" w:hAnsi="Times New Roman" w:cs="Times New Roman"/>
          <w:sz w:val="24"/>
          <w:szCs w:val="24"/>
        </w:rPr>
      </w:pPr>
      <w:r>
        <w:rPr>
          <w:rFonts w:ascii="Times New Roman" w:hAnsi="Times New Roman" w:cs="Times New Roman"/>
          <w:sz w:val="24"/>
          <w:szCs w:val="24"/>
        </w:rPr>
        <w:t>Y a-t-il des mesures dérogatoires en matière de droits humains en contexte de guerre ? Lesquelles ?</w:t>
      </w:r>
    </w:p>
    <w:p w:rsidR="00B011D8" w:rsidRDefault="00B011D8" w:rsidP="00C252F3">
      <w:pPr>
        <w:pStyle w:val="Paragraphedeliste"/>
        <w:numPr>
          <w:ilvl w:val="0"/>
          <w:numId w:val="2"/>
        </w:numPr>
        <w:tabs>
          <w:tab w:val="left" w:pos="3190"/>
        </w:tabs>
        <w:spacing w:line="360" w:lineRule="auto"/>
        <w:jc w:val="both"/>
        <w:rPr>
          <w:rFonts w:ascii="Times New Roman" w:hAnsi="Times New Roman" w:cs="Times New Roman"/>
          <w:sz w:val="24"/>
          <w:szCs w:val="24"/>
        </w:rPr>
      </w:pPr>
      <w:r>
        <w:rPr>
          <w:rFonts w:ascii="Times New Roman" w:hAnsi="Times New Roman" w:cs="Times New Roman"/>
          <w:sz w:val="24"/>
          <w:szCs w:val="24"/>
        </w:rPr>
        <w:t xml:space="preserve">Quel est notre positionnement en tant que défenseur des droits humains ? </w:t>
      </w:r>
    </w:p>
    <w:p w:rsidR="00357756" w:rsidRPr="00C252F3" w:rsidRDefault="00357756" w:rsidP="00C252F3">
      <w:pPr>
        <w:pStyle w:val="Paragraphedeliste"/>
        <w:numPr>
          <w:ilvl w:val="0"/>
          <w:numId w:val="2"/>
        </w:numPr>
        <w:tabs>
          <w:tab w:val="left" w:pos="3190"/>
        </w:tabs>
        <w:spacing w:line="360" w:lineRule="auto"/>
        <w:jc w:val="both"/>
        <w:rPr>
          <w:rFonts w:ascii="Times New Roman" w:hAnsi="Times New Roman" w:cs="Times New Roman"/>
          <w:sz w:val="24"/>
          <w:szCs w:val="24"/>
        </w:rPr>
      </w:pPr>
      <w:r>
        <w:rPr>
          <w:rFonts w:ascii="Times New Roman" w:hAnsi="Times New Roman" w:cs="Times New Roman"/>
          <w:sz w:val="24"/>
          <w:szCs w:val="24"/>
        </w:rPr>
        <w:t>Quelles sont les perspectives pour notre peuple ?</w:t>
      </w:r>
    </w:p>
    <w:p w:rsidR="001C78D7" w:rsidRPr="00C458B3" w:rsidRDefault="001C78D7" w:rsidP="00C458B3">
      <w:pPr>
        <w:tabs>
          <w:tab w:val="left" w:pos="3190"/>
        </w:tabs>
        <w:spacing w:line="360" w:lineRule="auto"/>
        <w:jc w:val="both"/>
        <w:rPr>
          <w:rFonts w:ascii="Times New Roman" w:hAnsi="Times New Roman" w:cs="Times New Roman"/>
          <w:sz w:val="24"/>
          <w:szCs w:val="24"/>
        </w:rPr>
      </w:pPr>
    </w:p>
    <w:p w:rsidR="00ED388B" w:rsidRPr="003A364D" w:rsidRDefault="00ED388B" w:rsidP="003A364D">
      <w:pPr>
        <w:spacing w:line="360" w:lineRule="auto"/>
        <w:jc w:val="both"/>
        <w:rPr>
          <w:rFonts w:ascii="Times New Roman" w:hAnsi="Times New Roman" w:cs="Times New Roman"/>
          <w:sz w:val="24"/>
          <w:szCs w:val="24"/>
          <w:lang w:eastAsia="fr-FR"/>
        </w:rPr>
      </w:pPr>
    </w:p>
    <w:p w:rsidR="002525C4" w:rsidRPr="003A364D" w:rsidRDefault="002525C4" w:rsidP="003A364D">
      <w:pPr>
        <w:spacing w:line="360" w:lineRule="auto"/>
        <w:jc w:val="both"/>
        <w:rPr>
          <w:rFonts w:ascii="Times New Roman" w:hAnsi="Times New Roman" w:cs="Times New Roman"/>
          <w:sz w:val="24"/>
          <w:szCs w:val="24"/>
        </w:rPr>
      </w:pPr>
    </w:p>
    <w:p w:rsidR="00983BFF" w:rsidRPr="003A364D" w:rsidRDefault="00983BFF" w:rsidP="003A364D">
      <w:pPr>
        <w:spacing w:line="360" w:lineRule="auto"/>
        <w:jc w:val="both"/>
        <w:rPr>
          <w:rFonts w:ascii="Times New Roman" w:hAnsi="Times New Roman" w:cs="Times New Roman"/>
          <w:sz w:val="24"/>
          <w:szCs w:val="24"/>
        </w:rPr>
      </w:pPr>
    </w:p>
    <w:sectPr w:rsidR="00983BFF" w:rsidRPr="003A364D">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3E31B5" w:rsidRDefault="003E31B5" w:rsidP="00983BFF">
      <w:pPr>
        <w:spacing w:after="0" w:line="240" w:lineRule="auto"/>
      </w:pPr>
      <w:r>
        <w:separator/>
      </w:r>
    </w:p>
  </w:endnote>
  <w:endnote w:type="continuationSeparator" w:id="0">
    <w:p w:rsidR="003E31B5" w:rsidRDefault="003E31B5" w:rsidP="00983BF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3E31B5" w:rsidRDefault="003E31B5" w:rsidP="00983BFF">
      <w:pPr>
        <w:spacing w:after="0" w:line="240" w:lineRule="auto"/>
      </w:pPr>
      <w:r>
        <w:separator/>
      </w:r>
    </w:p>
  </w:footnote>
  <w:footnote w:type="continuationSeparator" w:id="0">
    <w:p w:rsidR="003E31B5" w:rsidRDefault="003E31B5" w:rsidP="00983BFF">
      <w:pPr>
        <w:spacing w:after="0" w:line="240" w:lineRule="auto"/>
      </w:pPr>
      <w:r>
        <w:continuationSeparator/>
      </w:r>
    </w:p>
  </w:footnote>
  <w:footnote w:id="1">
    <w:p w:rsidR="00983BFF" w:rsidRPr="001C6A2F" w:rsidRDefault="00983BFF" w:rsidP="001C6A2F">
      <w:pPr>
        <w:pStyle w:val="Notedebasdepage"/>
        <w:jc w:val="both"/>
        <w:rPr>
          <w:rFonts w:ascii="Times New Roman" w:hAnsi="Times New Roman" w:cs="Times New Roman"/>
        </w:rPr>
      </w:pPr>
      <w:r w:rsidRPr="001C6A2F">
        <w:rPr>
          <w:rStyle w:val="Appelnotedebasdep"/>
          <w:rFonts w:ascii="Times New Roman" w:hAnsi="Times New Roman" w:cs="Times New Roman"/>
        </w:rPr>
        <w:footnoteRef/>
      </w:r>
      <w:r w:rsidRPr="001C6A2F">
        <w:rPr>
          <w:rFonts w:ascii="Times New Roman" w:hAnsi="Times New Roman" w:cs="Times New Roman"/>
        </w:rPr>
        <w:t xml:space="preserve"> SP/CONASUR, rapport du 31 janvier 2023. </w:t>
      </w:r>
    </w:p>
  </w:footnote>
  <w:footnote w:id="2">
    <w:p w:rsidR="00983BFF" w:rsidRPr="001C6A2F" w:rsidRDefault="00983BFF" w:rsidP="001C6A2F">
      <w:pPr>
        <w:pStyle w:val="Notedebasdepage"/>
        <w:jc w:val="both"/>
        <w:rPr>
          <w:rFonts w:ascii="Times New Roman" w:hAnsi="Times New Roman" w:cs="Times New Roman"/>
        </w:rPr>
      </w:pPr>
      <w:r w:rsidRPr="001C6A2F">
        <w:rPr>
          <w:rStyle w:val="Appelnotedebasdep"/>
          <w:rFonts w:ascii="Times New Roman" w:hAnsi="Times New Roman" w:cs="Times New Roman"/>
        </w:rPr>
        <w:footnoteRef/>
      </w:r>
      <w:r w:rsidRPr="001C6A2F">
        <w:rPr>
          <w:rFonts w:ascii="Times New Roman" w:hAnsi="Times New Roman" w:cs="Times New Roman"/>
        </w:rPr>
        <w:t xml:space="preserve"> UNICEF, « Impact de la crise sécuritaire sur l’eau au Burkina Faso », mars 2022.</w:t>
      </w:r>
    </w:p>
  </w:footnote>
  <w:footnote w:id="3">
    <w:p w:rsidR="00983BFF" w:rsidRPr="001C6A2F" w:rsidRDefault="00983BFF" w:rsidP="001C6A2F">
      <w:pPr>
        <w:pStyle w:val="Notedebasdepage"/>
        <w:jc w:val="both"/>
        <w:rPr>
          <w:rFonts w:ascii="Times New Roman" w:hAnsi="Times New Roman" w:cs="Times New Roman"/>
        </w:rPr>
      </w:pPr>
      <w:r w:rsidRPr="001C6A2F">
        <w:rPr>
          <w:rStyle w:val="Appelnotedebasdep"/>
          <w:rFonts w:ascii="Times New Roman" w:hAnsi="Times New Roman" w:cs="Times New Roman"/>
        </w:rPr>
        <w:footnoteRef/>
      </w:r>
      <w:r w:rsidRPr="001C6A2F">
        <w:rPr>
          <w:rFonts w:ascii="Times New Roman" w:hAnsi="Times New Roman" w:cs="Times New Roman"/>
        </w:rPr>
        <w:t xml:space="preserve"> SP/CONASUR, rapport du 31 janvier 2023.</w:t>
      </w:r>
    </w:p>
  </w:footnote>
  <w:footnote w:id="4">
    <w:p w:rsidR="002525C4" w:rsidRPr="001C6A2F" w:rsidRDefault="002525C4" w:rsidP="001C6A2F">
      <w:pPr>
        <w:pStyle w:val="Notedebasdepage"/>
        <w:jc w:val="both"/>
        <w:rPr>
          <w:rFonts w:ascii="Times New Roman" w:hAnsi="Times New Roman" w:cs="Times New Roman"/>
        </w:rPr>
      </w:pPr>
      <w:r w:rsidRPr="001C6A2F">
        <w:rPr>
          <w:rStyle w:val="Appelnotedebasdep"/>
          <w:rFonts w:ascii="Times New Roman" w:hAnsi="Times New Roman" w:cs="Times New Roman"/>
        </w:rPr>
        <w:footnoteRef/>
      </w:r>
      <w:r w:rsidRPr="001C6A2F">
        <w:rPr>
          <w:rFonts w:ascii="Times New Roman" w:hAnsi="Times New Roman" w:cs="Times New Roman"/>
        </w:rPr>
        <w:t xml:space="preserve"> </w:t>
      </w:r>
      <w:hyperlink r:id="rId1" w:history="1">
        <w:r w:rsidRPr="001C6A2F">
          <w:rPr>
            <w:rStyle w:val="Lienhypertexte"/>
            <w:rFonts w:ascii="Times New Roman" w:hAnsi="Times New Roman" w:cs="Times New Roman"/>
          </w:rPr>
          <w:t>https://www.unocha.org/burkina-faso/propos-docha-burkina-faso</w:t>
        </w:r>
      </w:hyperlink>
      <w:r w:rsidRPr="001C6A2F">
        <w:rPr>
          <w:rFonts w:ascii="Times New Roman" w:hAnsi="Times New Roman" w:cs="Times New Roman"/>
        </w:rPr>
        <w:t xml:space="preserve">. </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5B873B2"/>
    <w:multiLevelType w:val="hybridMultilevel"/>
    <w:tmpl w:val="99167564"/>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61193E43"/>
    <w:multiLevelType w:val="hybridMultilevel"/>
    <w:tmpl w:val="9E74644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num w:numId="1" w16cid:durableId="370571439">
    <w:abstractNumId w:val="0"/>
  </w:num>
  <w:num w:numId="2" w16cid:durableId="75604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3BFF"/>
    <w:rsid w:val="00026E15"/>
    <w:rsid w:val="00050BDD"/>
    <w:rsid w:val="00195E9A"/>
    <w:rsid w:val="001A7756"/>
    <w:rsid w:val="001C2A0E"/>
    <w:rsid w:val="001C6A2F"/>
    <w:rsid w:val="001C78D7"/>
    <w:rsid w:val="001D4E11"/>
    <w:rsid w:val="002525C4"/>
    <w:rsid w:val="0028551A"/>
    <w:rsid w:val="003444AA"/>
    <w:rsid w:val="00357756"/>
    <w:rsid w:val="003A364D"/>
    <w:rsid w:val="003E31B5"/>
    <w:rsid w:val="0040741F"/>
    <w:rsid w:val="0041213A"/>
    <w:rsid w:val="00415AC7"/>
    <w:rsid w:val="004725BB"/>
    <w:rsid w:val="00585761"/>
    <w:rsid w:val="005D16EC"/>
    <w:rsid w:val="00613D62"/>
    <w:rsid w:val="00620D8A"/>
    <w:rsid w:val="008E3737"/>
    <w:rsid w:val="00983BFF"/>
    <w:rsid w:val="00997D5D"/>
    <w:rsid w:val="00A31095"/>
    <w:rsid w:val="00B011D8"/>
    <w:rsid w:val="00B07933"/>
    <w:rsid w:val="00B16E3D"/>
    <w:rsid w:val="00BB70BE"/>
    <w:rsid w:val="00BC7A6C"/>
    <w:rsid w:val="00C252F3"/>
    <w:rsid w:val="00C458B3"/>
    <w:rsid w:val="00CF1716"/>
    <w:rsid w:val="00D22D90"/>
    <w:rsid w:val="00D90C73"/>
    <w:rsid w:val="00DE7380"/>
    <w:rsid w:val="00E27725"/>
    <w:rsid w:val="00E41894"/>
    <w:rsid w:val="00EC70B7"/>
    <w:rsid w:val="00ED388B"/>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5B36065"/>
  <w15:chartTrackingRefBased/>
  <w15:docId w15:val="{1A83ED0D-4524-4D97-AFB2-716E76FF04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fr-F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NotedebasdepageCar">
    <w:name w:val="Note de bas de page Car"/>
    <w:aliases w:val="Footnote Text Char1 Car,Footnote Text Char Char Car,Footnote Text Char1 Char Char Car,Footnote Text Char Char Char Char Car,Footnote Text Char1 Char Char Char Char Car,Footnote Text Char Char Char Char Char Char Car"/>
    <w:basedOn w:val="Policepardfaut"/>
    <w:link w:val="Notedebasdepage"/>
    <w:uiPriority w:val="99"/>
    <w:semiHidden/>
    <w:locked/>
    <w:rsid w:val="00983BFF"/>
    <w:rPr>
      <w:sz w:val="20"/>
      <w:szCs w:val="20"/>
    </w:rPr>
  </w:style>
  <w:style w:type="paragraph" w:styleId="Notedebasdepage">
    <w:name w:val="footnote text"/>
    <w:aliases w:val="Footnote Text Char1,Footnote Text Char Char,Footnote Text Char1 Char Char,Footnote Text Char Char Char Char,Footnote Text Char1 Char Char Char Char,Footnote Text Char Char Char Char Char Char,Footnote Text Char Char1 Char Char"/>
    <w:basedOn w:val="Normal"/>
    <w:link w:val="NotedebasdepageCar"/>
    <w:uiPriority w:val="99"/>
    <w:semiHidden/>
    <w:unhideWhenUsed/>
    <w:rsid w:val="00983BFF"/>
    <w:pPr>
      <w:spacing w:after="0" w:line="240" w:lineRule="auto"/>
    </w:pPr>
    <w:rPr>
      <w:sz w:val="20"/>
      <w:szCs w:val="20"/>
    </w:rPr>
  </w:style>
  <w:style w:type="character" w:customStyle="1" w:styleId="NotedebasdepageCar1">
    <w:name w:val="Note de bas de page Car1"/>
    <w:basedOn w:val="Policepardfaut"/>
    <w:uiPriority w:val="99"/>
    <w:semiHidden/>
    <w:rsid w:val="00983BFF"/>
    <w:rPr>
      <w:sz w:val="20"/>
      <w:szCs w:val="20"/>
    </w:rPr>
  </w:style>
  <w:style w:type="character" w:styleId="Appelnotedebasdep">
    <w:name w:val="footnote reference"/>
    <w:basedOn w:val="Policepardfaut"/>
    <w:uiPriority w:val="99"/>
    <w:semiHidden/>
    <w:unhideWhenUsed/>
    <w:rsid w:val="00983BFF"/>
    <w:rPr>
      <w:vertAlign w:val="superscript"/>
    </w:rPr>
  </w:style>
  <w:style w:type="character" w:styleId="Lienhypertexte">
    <w:name w:val="Hyperlink"/>
    <w:uiPriority w:val="99"/>
    <w:semiHidden/>
    <w:unhideWhenUsed/>
    <w:rsid w:val="002525C4"/>
    <w:rPr>
      <w:color w:val="0563C1"/>
      <w:u w:val="single"/>
    </w:rPr>
  </w:style>
  <w:style w:type="paragraph" w:styleId="Paragraphedeliste">
    <w:name w:val="List Paragraph"/>
    <w:basedOn w:val="Normal"/>
    <w:uiPriority w:val="34"/>
    <w:qFormat/>
    <w:rsid w:val="00415AC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7982422">
      <w:bodyDiv w:val="1"/>
      <w:marLeft w:val="0"/>
      <w:marRight w:val="0"/>
      <w:marTop w:val="0"/>
      <w:marBottom w:val="0"/>
      <w:divBdr>
        <w:top w:val="none" w:sz="0" w:space="0" w:color="auto"/>
        <w:left w:val="none" w:sz="0" w:space="0" w:color="auto"/>
        <w:bottom w:val="none" w:sz="0" w:space="0" w:color="auto"/>
        <w:right w:val="none" w:sz="0" w:space="0" w:color="auto"/>
      </w:divBdr>
    </w:div>
    <w:div w:id="51846616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_rels/footnotes.xml.rels><?xml version="1.0" encoding="UTF-8" standalone="yes"?>
<Relationships xmlns="http://schemas.openxmlformats.org/package/2006/relationships"><Relationship Id="rId1" Type="http://schemas.openxmlformats.org/officeDocument/2006/relationships/hyperlink" Target="https://www.unocha.org/burkina-faso/propos-docha-burkina-faso" TargetMode="Externa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512</Words>
  <Characters>2821</Characters>
  <Application>Microsoft Office Word</Application>
  <DocSecurity>0</DocSecurity>
  <Lines>23</Lines>
  <Paragraphs>6</Paragraphs>
  <ScaleCrop>false</ScaleCrop>
  <Company/>
  <LinksUpToDate>false</LinksUpToDate>
  <CharactersWithSpaces>3327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2</cp:revision>
  <dcterms:created xsi:type="dcterms:W3CDTF">2023-04-29T15:00:00Z</dcterms:created>
  <dcterms:modified xsi:type="dcterms:W3CDTF">2023-04-29T15:00:00Z</dcterms:modified>
</cp:coreProperties>
</file>