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eastAsia="黑体"/>
          <w:b/>
          <w:color w:val="17324D"/>
          <w:sz w:val="34"/>
        </w:rPr>
        <w:t>“挑战杯”全国大学生课外学术科技作品竞赛</w:t>
        <w:br/>
        <w:t>“揭榜挂帅”专项赛</w:t>
      </w:r>
    </w:p>
    <w:p>
      <w:pPr>
        <w:spacing w:before="600"/>
        <w:jc w:val="center"/>
      </w:pPr>
      <w:r>
        <w:rPr>
          <w:rFonts w:ascii="Arial" w:hAnsi="Arial" w:eastAsia="黑体"/>
          <w:b/>
          <w:color w:val="075E59"/>
          <w:sz w:val="56"/>
        </w:rPr>
        <w:t>成果汇报书</w:t>
      </w:r>
    </w:p>
    <w:p>
      <w:pPr>
        <w:jc w:val="center"/>
      </w:pPr>
      <w:r>
        <w:rPr>
          <w:rFonts w:ascii="Arial" w:hAnsi="Arial" w:eastAsia="黑体"/>
          <w:color w:val="D79A2B"/>
          <w:sz w:val="26"/>
        </w:rPr>
        <w:t>━━━━━━━━━━━━━━━━━━━━━━━━</w:t>
      </w:r>
    </w:p>
    <w:p>
      <w:pPr>
        <w:spacing w:before="480" w:after="720"/>
        <w:jc w:val="center"/>
      </w:pPr>
      <w:r>
        <w:rPr>
          <w:rFonts w:ascii="Arial" w:hAnsi="Arial" w:eastAsia="黑体"/>
          <w:b/>
          <w:color w:val="17324D"/>
          <w:sz w:val="62"/>
        </w:rPr>
        <w:t>研海寻踪</w:t>
        <w:br/>
      </w:r>
      <w:r>
        <w:rPr>
          <w:rFonts w:ascii="Arial" w:hAnsi="Arial" w:eastAsia="黑体"/>
          <w:b/>
          <w:color w:val="075E59"/>
          <w:sz w:val="34"/>
        </w:rPr>
        <w:t>基于多智能体博弈推理的科研知识图谱发现系统</w:t>
      </w:r>
    </w:p>
    <w:tbl>
      <w:tblPr>
        <w:tblW w:type="dxa" w:w="9360"/>
        <w:jc w:val="center"/>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00"/>
        <w:gridCol w:w="7060"/>
      </w:tblGrid>
      <w:tr>
        <w:tc>
          <w:tcPr>
            <w:tcW w:type="dxa" w:w="2300"/>
          </w:tcPr>
          <w:p>
            <w:pPr>
              <w:keepNext w:val="0"/>
              <w:widowControl/>
              <w:spacing w:before="0" w:after="60" w:line="288" w:lineRule="auto"/>
              <w:jc w:val="right"/>
            </w:pPr>
            <w:r>
              <w:rPr>
                <w:rFonts w:ascii="Arial" w:hAnsi="Arial" w:eastAsia="黑体"/>
                <w:b/>
                <w:color w:val="17324D"/>
                <w:sz w:val="23"/>
              </w:rPr>
              <w:t>推报学校名称：</w:t>
            </w:r>
          </w:p>
        </w:tc>
        <w:tc>
          <w:tcPr>
            <w:tcW w:type="dxa" w:w="7060"/>
          </w:tcPr>
          <w:p>
            <w:pPr>
              <w:keepNext w:val="0"/>
              <w:widowControl/>
              <w:spacing w:before="0" w:after="60" w:line="288" w:lineRule="auto"/>
              <w:jc w:val="left"/>
            </w:pPr>
            <w:r>
              <w:rPr>
                <w:rFonts w:ascii="Times New Roman" w:hAnsi="Times New Roman" w:eastAsia="宋体"/>
                <w:color w:val="243238"/>
                <w:sz w:val="23"/>
              </w:rPr>
              <w:t>中国矿业大学</w:t>
            </w:r>
          </w:p>
        </w:tc>
      </w:tr>
      <w:tr>
        <w:tc>
          <w:tcPr>
            <w:tcW w:type="dxa" w:w="2300"/>
          </w:tcPr>
          <w:p>
            <w:pPr>
              <w:keepNext w:val="0"/>
              <w:widowControl/>
              <w:spacing w:before="0" w:after="60" w:line="288" w:lineRule="auto"/>
              <w:jc w:val="right"/>
            </w:pPr>
            <w:r>
              <w:rPr>
                <w:rFonts w:ascii="Arial" w:hAnsi="Arial" w:eastAsia="黑体"/>
                <w:b/>
                <w:color w:val="17324D"/>
                <w:sz w:val="23"/>
              </w:rPr>
              <w:t>选题发榜单位：</w:t>
            </w:r>
          </w:p>
        </w:tc>
        <w:tc>
          <w:tcPr>
            <w:tcW w:type="dxa" w:w="7060"/>
          </w:tcPr>
          <w:p>
            <w:pPr>
              <w:keepNext w:val="0"/>
              <w:widowControl/>
              <w:spacing w:before="0" w:after="60" w:line="288" w:lineRule="auto"/>
              <w:jc w:val="left"/>
            </w:pPr>
            <w:r>
              <w:rPr>
                <w:rFonts w:ascii="Times New Roman" w:hAnsi="Times New Roman" w:eastAsia="宋体"/>
                <w:color w:val="243238"/>
                <w:sz w:val="23"/>
              </w:rPr>
              <w:t>上海云之脑智能科技有限公司</w:t>
            </w:r>
          </w:p>
        </w:tc>
      </w:tr>
      <w:tr>
        <w:tc>
          <w:tcPr>
            <w:tcW w:type="dxa" w:w="2300"/>
          </w:tcPr>
          <w:p>
            <w:pPr>
              <w:keepNext w:val="0"/>
              <w:widowControl/>
              <w:spacing w:before="0" w:after="60" w:line="288" w:lineRule="auto"/>
              <w:jc w:val="right"/>
            </w:pPr>
            <w:r>
              <w:rPr>
                <w:rFonts w:ascii="Arial" w:hAnsi="Arial" w:eastAsia="黑体"/>
                <w:b/>
                <w:color w:val="17324D"/>
                <w:sz w:val="23"/>
              </w:rPr>
              <w:t>竞榜选题名称：</w:t>
            </w:r>
          </w:p>
        </w:tc>
        <w:tc>
          <w:tcPr>
            <w:tcW w:type="dxa" w:w="7060"/>
          </w:tcPr>
          <w:p>
            <w:pPr>
              <w:keepNext w:val="0"/>
              <w:widowControl/>
              <w:spacing w:before="0" w:after="60" w:line="288" w:lineRule="auto"/>
              <w:jc w:val="left"/>
            </w:pPr>
            <w:r>
              <w:rPr>
                <w:rFonts w:ascii="Times New Roman" w:hAnsi="Times New Roman" w:eastAsia="宋体"/>
                <w:color w:val="243238"/>
                <w:sz w:val="23"/>
              </w:rPr>
              <w:t>领域知识个性化生成与多智能体协同决策系统研究比赛方案</w:t>
            </w:r>
          </w:p>
        </w:tc>
      </w:tr>
      <w:tr>
        <w:tc>
          <w:tcPr>
            <w:tcW w:type="dxa" w:w="2300"/>
          </w:tcPr>
          <w:p>
            <w:pPr>
              <w:keepNext w:val="0"/>
              <w:widowControl/>
              <w:spacing w:before="0" w:after="60" w:line="288" w:lineRule="auto"/>
              <w:jc w:val="right"/>
            </w:pPr>
            <w:r>
              <w:rPr>
                <w:rFonts w:ascii="Arial" w:hAnsi="Arial" w:eastAsia="黑体"/>
                <w:b/>
                <w:color w:val="17324D"/>
                <w:sz w:val="23"/>
              </w:rPr>
              <w:t>作品具体名称：</w:t>
            </w:r>
          </w:p>
        </w:tc>
        <w:tc>
          <w:tcPr>
            <w:tcW w:type="dxa" w:w="7060"/>
          </w:tcPr>
          <w:p>
            <w:pPr>
              <w:keepNext w:val="0"/>
              <w:widowControl/>
              <w:spacing w:before="0" w:after="60" w:line="288" w:lineRule="auto"/>
              <w:jc w:val="left"/>
            </w:pPr>
            <w:r>
              <w:rPr>
                <w:rFonts w:ascii="Times New Roman" w:hAnsi="Times New Roman" w:eastAsia="宋体"/>
                <w:color w:val="243238"/>
                <w:sz w:val="23"/>
              </w:rPr>
              <w:t>研海寻踪：基于多智能体博弈推理的科研知识图谱发现系统</w:t>
            </w:r>
          </w:p>
        </w:tc>
      </w:tr>
      <w:tr>
        <w:tc>
          <w:tcPr>
            <w:tcW w:type="dxa" w:w="2300"/>
          </w:tcPr>
          <w:p>
            <w:pPr>
              <w:keepNext w:val="0"/>
              <w:widowControl/>
              <w:spacing w:before="0" w:after="60" w:line="288" w:lineRule="auto"/>
              <w:jc w:val="right"/>
            </w:pPr>
            <w:r>
              <w:rPr>
                <w:rFonts w:ascii="Arial" w:hAnsi="Arial" w:eastAsia="黑体"/>
                <w:b/>
                <w:color w:val="17324D"/>
                <w:sz w:val="23"/>
              </w:rPr>
              <w:t>申报者姓名：</w:t>
            </w:r>
          </w:p>
        </w:tc>
        <w:tc>
          <w:tcPr>
            <w:tcW w:type="dxa" w:w="7060"/>
          </w:tcPr>
          <w:p>
            <w:pPr>
              <w:keepNext w:val="0"/>
              <w:widowControl/>
              <w:spacing w:before="0" w:after="60" w:line="288" w:lineRule="auto"/>
              <w:jc w:val="left"/>
            </w:pPr>
            <w:r>
              <w:rPr>
                <w:rFonts w:ascii="Times New Roman" w:hAnsi="Times New Roman" w:eastAsia="宋体"/>
                <w:color w:val="243238"/>
                <w:sz w:val="23"/>
              </w:rPr>
              <w:t>【待团队与导师审核后补充】</w:t>
            </w:r>
          </w:p>
        </w:tc>
      </w:tr>
      <w:tr>
        <w:tc>
          <w:tcPr>
            <w:tcW w:type="dxa" w:w="2300"/>
          </w:tcPr>
          <w:p>
            <w:pPr>
              <w:keepNext w:val="0"/>
              <w:widowControl/>
              <w:spacing w:before="0" w:after="60" w:line="288" w:lineRule="auto"/>
              <w:jc w:val="right"/>
            </w:pPr>
            <w:r>
              <w:rPr>
                <w:rFonts w:ascii="Arial" w:hAnsi="Arial" w:eastAsia="黑体"/>
                <w:b/>
                <w:color w:val="17324D"/>
                <w:sz w:val="23"/>
              </w:rPr>
              <w:t>指导教师：</w:t>
            </w:r>
          </w:p>
        </w:tc>
        <w:tc>
          <w:tcPr>
            <w:tcW w:type="dxa" w:w="7060"/>
          </w:tcPr>
          <w:p>
            <w:pPr>
              <w:keepNext w:val="0"/>
              <w:widowControl/>
              <w:spacing w:before="0" w:after="60" w:line="288" w:lineRule="auto"/>
              <w:jc w:val="left"/>
            </w:pPr>
            <w:r>
              <w:rPr>
                <w:rFonts w:ascii="Times New Roman" w:hAnsi="Times New Roman" w:eastAsia="宋体"/>
                <w:color w:val="243238"/>
                <w:sz w:val="23"/>
              </w:rPr>
              <w:t>【待补充】</w:t>
            </w:r>
          </w:p>
        </w:tc>
      </w:tr>
    </w:tbl>
    <w:p>
      <w:pPr>
        <w:spacing w:before="680"/>
        <w:jc w:val="center"/>
      </w:pPr>
      <w:r>
        <w:rPr>
          <w:rFonts w:ascii="Times New Roman" w:hAnsi="Times New Roman" w:eastAsia="宋体"/>
          <w:color w:val="66777C"/>
          <w:sz w:val="21"/>
        </w:rPr>
        <w:t>预审核初稿 · 仅供校内外专家内部把关</w:t>
        <w:br/>
        <w:t>2026 年 7 月</w:t>
      </w:r>
    </w:p>
    <w:p>
      <w:pPr>
        <w:sectPr>
          <w:headerReference w:type="default" r:id="rId9"/>
          <w:footerReference w:type="default" r:id="rId10"/>
          <w:pgSz w:w="11906" w:h="16838"/>
          <w:pgMar w:top="1440" w:right="1531" w:bottom="1440" w:left="1531" w:header="709" w:footer="709" w:gutter="0"/>
          <w:cols w:space="720"/>
          <w:titlePg/>
          <w:docGrid w:linePitch="360"/>
        </w:sectPr>
      </w:pPr>
    </w:p>
    <w:p>
      <w:pPr>
        <w:spacing w:after="80"/>
        <w:jc w:val="left"/>
      </w:pPr>
      <w:r>
        <w:rPr>
          <w:rFonts w:ascii="Arial" w:hAnsi="Arial" w:eastAsia="黑体"/>
          <w:b/>
          <w:color w:val="17324D"/>
          <w:sz w:val="50"/>
        </w:rPr>
        <w:t>一页读懂“研海寻踪”</w:t>
      </w:r>
    </w:p>
    <w:p>
      <w:pPr>
        <w:keepNext w:val="0"/>
        <w:widowControl/>
        <w:spacing w:before="0" w:after="320" w:line="288" w:lineRule="auto"/>
        <w:jc w:val="left"/>
      </w:pPr>
      <w:r>
        <w:rPr>
          <w:rFonts w:ascii="Arial" w:hAnsi="Arial" w:eastAsia="黑体"/>
          <w:b/>
          <w:color w:val="075E59"/>
          <w:sz w:val="26"/>
        </w:rPr>
        <w:t>从论文证据到可信知识图谱，再到可验证的科研脉络与 Idea</w:t>
      </w:r>
    </w:p>
    <w:tbl>
      <w:tblPr>
        <w:tblW w:type="dxa" w:w="9360"/>
        <w:jc w:val="center"/>
        <w:tblLayout w:type="fixed"/>
        <w:tblLook w:firstColumn="1" w:firstRow="1" w:lastColumn="0" w:lastRow="0" w:noHBand="0" w:noVBand="1" w:val="04A0"/>
        <w:tblInd w:w="1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680"/>
        <w:gridCol w:w="4680"/>
      </w:tblGrid>
      <w:tr>
        <w:tc>
          <w:tcPr>
            <w:tcW w:type="dxa" w:w="4680"/>
            <w:vAlign w:val="center"/>
            <w:tcMar>
              <w:top w:w="100" w:type="dxa"/>
              <w:start w:w="120" w:type="dxa"/>
              <w:bottom w:w="100" w:type="dxa"/>
              <w:end w:w="120" w:type="dxa"/>
            </w:tcMar>
            <w:shd w:fill="E7F3F1"/>
          </w:tcPr>
          <w:p>
            <w:pPr>
              <w:keepNext w:val="0"/>
              <w:widowControl/>
              <w:spacing w:before="0" w:after="60" w:line="276" w:lineRule="auto"/>
              <w:jc w:val="center"/>
            </w:pPr>
            <w:r>
              <w:rPr>
                <w:rFonts w:ascii="Arial" w:hAnsi="Arial" w:eastAsia="黑体"/>
                <w:b/>
                <w:color w:val="075E59"/>
                <w:sz w:val="36"/>
              </w:rPr>
              <w:t>3 个垂直领域</w:t>
              <w:br/>
            </w:r>
            <w:r>
              <w:rPr>
                <w:rFonts w:ascii="Times New Roman" w:hAnsi="Times New Roman" w:eastAsia="宋体"/>
                <w:color w:val="66777C"/>
                <w:sz w:val="19"/>
              </w:rPr>
              <w:t>每个领域 30 篇可检索论文记录</w:t>
            </w:r>
          </w:p>
        </w:tc>
        <w:tc>
          <w:tcPr>
            <w:tcW w:type="dxa" w:w="4680"/>
            <w:vAlign w:val="center"/>
            <w:tcMar>
              <w:top w:w="100" w:type="dxa"/>
              <w:start w:w="120" w:type="dxa"/>
              <w:bottom w:w="100" w:type="dxa"/>
              <w:end w:w="120" w:type="dxa"/>
            </w:tcMar>
            <w:shd w:fill="E7F3F1"/>
          </w:tcPr>
          <w:p>
            <w:pPr>
              <w:keepNext w:val="0"/>
              <w:widowControl/>
              <w:spacing w:before="0" w:after="60" w:line="276" w:lineRule="auto"/>
              <w:jc w:val="center"/>
            </w:pPr>
            <w:r>
              <w:rPr>
                <w:rFonts w:ascii="Arial" w:hAnsi="Arial" w:eastAsia="黑体"/>
                <w:b/>
                <w:color w:val="075E59"/>
                <w:sz w:val="36"/>
              </w:rPr>
              <w:t>5 个协同角色</w:t>
              <w:br/>
            </w:r>
            <w:r>
              <w:rPr>
                <w:rFonts w:ascii="Times New Roman" w:hAnsi="Times New Roman" w:eastAsia="宋体"/>
                <w:color w:val="66777C"/>
                <w:sz w:val="19"/>
              </w:rPr>
              <w:t>2 个专职 Agent + 3 个核心裁决 Agent</w:t>
            </w:r>
          </w:p>
        </w:tc>
      </w:tr>
      <w:tr>
        <w:tc>
          <w:tcPr>
            <w:tcW w:type="dxa" w:w="4680"/>
            <w:vAlign w:val="center"/>
            <w:tcMar>
              <w:top w:w="100" w:type="dxa"/>
              <w:start w:w="120" w:type="dxa"/>
              <w:bottom w:w="100" w:type="dxa"/>
              <w:end w:w="120" w:type="dxa"/>
            </w:tcMar>
            <w:shd w:fill="E7F3F1"/>
          </w:tcPr>
          <w:p>
            <w:pPr>
              <w:keepNext w:val="0"/>
              <w:widowControl/>
              <w:spacing w:before="0" w:after="60" w:line="276" w:lineRule="auto"/>
              <w:jc w:val="center"/>
            </w:pPr>
            <w:r>
              <w:rPr>
                <w:rFonts w:ascii="Arial" w:hAnsi="Arial" w:eastAsia="黑体"/>
                <w:b/>
                <w:color w:val="075E59"/>
                <w:sz w:val="36"/>
              </w:rPr>
              <w:t>9 组完整样例</w:t>
              <w:br/>
            </w:r>
            <w:r>
              <w:rPr>
                <w:rFonts w:ascii="Times New Roman" w:hAnsi="Times New Roman" w:eastAsia="宋体"/>
                <w:color w:val="66777C"/>
                <w:sz w:val="19"/>
              </w:rPr>
              <w:t>领域 × 学习者画像，含完整输入—中间—输出</w:t>
            </w:r>
          </w:p>
        </w:tc>
        <w:tc>
          <w:tcPr>
            <w:tcW w:type="dxa" w:w="4680"/>
            <w:vAlign w:val="center"/>
            <w:tcMar>
              <w:top w:w="100" w:type="dxa"/>
              <w:start w:w="120" w:type="dxa"/>
              <w:bottom w:w="100" w:type="dxa"/>
              <w:end w:w="120" w:type="dxa"/>
            </w:tcMar>
            <w:shd w:fill="FBF3DF"/>
          </w:tcPr>
          <w:p>
            <w:pPr>
              <w:keepNext w:val="0"/>
              <w:widowControl/>
              <w:spacing w:before="0" w:after="60" w:line="276" w:lineRule="auto"/>
              <w:jc w:val="center"/>
            </w:pPr>
            <w:r>
              <w:rPr>
                <w:rFonts w:ascii="Arial" w:hAnsi="Arial" w:eastAsia="黑体"/>
                <w:b/>
                <w:color w:val="17324D"/>
                <w:sz w:val="36"/>
              </w:rPr>
              <w:t>390 条测试用例</w:t>
              <w:br/>
            </w:r>
            <w:r>
              <w:rPr>
                <w:rFonts w:ascii="Times New Roman" w:hAnsi="Times New Roman" w:eastAsia="宋体"/>
                <w:color w:val="66777C"/>
                <w:sz w:val="19"/>
              </w:rPr>
              <w:t>三领域真实证据机制用例，冻结 + SHA-256</w:t>
            </w:r>
          </w:p>
        </w:tc>
      </w:tr>
    </w:tbl>
    <w:tbl>
      <w:tblPr>
        <w:tblW w:type="dxa" w:w="9360"/>
        <w:jc w:val="center"/>
        <w:tblLayout w:type="fixed"/>
        <w:tblLook w:firstColumn="1" w:firstRow="1" w:lastColumn="0" w:lastRow="0" w:noHBand="0" w:noVBand="1" w:val="04A0"/>
        <w:tblInd w:w="120" w:type="dxa"/>
        <w:tblBorders>
          <w:top w:val="single" w:sz="4" w:space="0" w:color="EAF0F6"/>
          <w:left w:val="single" w:sz="4" w:space="0" w:color="EAF0F6"/>
          <w:bottom w:val="single" w:sz="4" w:space="0" w:color="EAF0F6"/>
          <w:right w:val="single" w:sz="4" w:space="0" w:color="EAF0F6"/>
          <w:insideH w:val="single" w:sz="4" w:space="0" w:color="EAF0F6"/>
          <w:insideV w:val="single" w:sz="4" w:space="0" w:color="EAF0F6"/>
        </w:tblBorders>
      </w:tblPr>
      <w:tblGrid>
        <w:gridCol w:w="9360"/>
      </w:tblGrid>
      <w:tr>
        <w:tc>
          <w:tcPr>
            <w:tcW w:type="dxa" w:w="9360"/>
            <w:vAlign w:val="center"/>
            <w:tcMar>
              <w:top w:w="100" w:type="dxa"/>
              <w:start w:w="120" w:type="dxa"/>
              <w:bottom w:w="100" w:type="dxa"/>
              <w:end w:w="120" w:type="dxa"/>
            </w:tcMar>
            <w:shd w:fill="EAF0F6"/>
          </w:tcPr>
          <w:p>
            <w:pPr>
              <w:keepNext w:val="0"/>
              <w:widowControl/>
              <w:spacing w:before="0" w:after="0" w:line="312" w:lineRule="auto"/>
              <w:jc w:val="left"/>
            </w:pPr>
            <w:r>
              <w:rPr>
                <w:rFonts w:ascii="Arial" w:hAnsi="Arial" w:eastAsia="黑体"/>
                <w:b/>
                <w:color w:val="17324D"/>
                <w:sz w:val="22"/>
              </w:rPr>
              <w:t xml:space="preserve">核心闭环  </w:t>
            </w:r>
            <w:r>
              <w:rPr>
                <w:rFonts w:ascii="Times New Roman" w:hAnsi="Times New Roman" w:eastAsia="宋体"/>
                <w:color w:val="17324D"/>
                <w:sz w:val="21"/>
              </w:rPr>
              <w:t>论文/证据卡 → 实体与关系候选 → 提出者—批判者—裁判 → accepted 图谱 → 意图驱动 GraphRAG → 技术脉络、待验证 Idea 与个性化学习资源。</w:t>
            </w:r>
          </w:p>
        </w:tc>
      </w:tr>
    </w:tbl>
    <w:tbl>
      <w:tblPr>
        <w:tblW w:type="dxa" w:w="9360"/>
        <w:jc w:val="center"/>
        <w:tblLayout w:type="fixed"/>
        <w:tblLook w:firstColumn="1" w:firstRow="1" w:lastColumn="0" w:lastRow="0" w:noHBand="0" w:noVBand="1" w:val="04A0"/>
        <w:tblInd w:w="120" w:type="dxa"/>
        <w:tblBorders>
          <w:top w:val="single" w:sz="4" w:space="0" w:color="D8E2DF"/>
          <w:left w:val="single" w:sz="4" w:space="0" w:color="D8E2DF"/>
          <w:bottom w:val="single" w:sz="4" w:space="0" w:color="D8E2DF"/>
          <w:right w:val="single" w:sz="4" w:space="0" w:color="D8E2DF"/>
          <w:insideH w:val="single" w:sz="4" w:space="0" w:color="D8E2DF"/>
          <w:insideV w:val="single" w:sz="4" w:space="0" w:color="D8E2DF"/>
        </w:tblBorders>
      </w:tblPr>
      <w:tblGrid>
        <w:gridCol w:w="4680"/>
        <w:gridCol w:w="4680"/>
      </w:tblGrid>
      <w:tr>
        <w:tc>
          <w:tcPr>
            <w:tcW w:type="dxa" w:w="4680"/>
            <w:vAlign w:val="center"/>
            <w:tcMar>
              <w:top w:w="100" w:type="dxa"/>
              <w:start w:w="120" w:type="dxa"/>
              <w:bottom w:w="100" w:type="dxa"/>
              <w:end w:w="120" w:type="dxa"/>
            </w:tcMar>
          </w:tcPr>
          <w:p>
            <w:pPr>
              <w:jc w:val="center"/>
            </w:pPr>
            <w:r>
              <w:drawing>
                <wp:inline xmlns:a="http://schemas.openxmlformats.org/drawingml/2006/main" xmlns:pic="http://schemas.openxmlformats.org/drawingml/2006/picture">
                  <wp:extent cx="2592000" cy="2950861"/>
                  <wp:docPr id="1" name="Picture 1"/>
                  <wp:cNvGraphicFramePr>
                    <a:graphicFrameLocks noChangeAspect="1"/>
                  </wp:cNvGraphicFramePr>
                  <a:graphic>
                    <a:graphicData uri="http://schemas.openxmlformats.org/drawingml/2006/picture">
                      <pic:pic>
                        <pic:nvPicPr>
                          <pic:cNvPr id="0" name="demo-home.png"/>
                          <pic:cNvPicPr/>
                        </pic:nvPicPr>
                        <pic:blipFill>
                          <a:blip r:embed="rId11"/>
                          <a:stretch>
                            <a:fillRect/>
                          </a:stretch>
                        </pic:blipFill>
                        <pic:spPr>
                          <a:xfrm>
                            <a:off x="0" y="0"/>
                            <a:ext cx="2592000" cy="2950861"/>
                          </a:xfrm>
                          <a:prstGeom prst="rect"/>
                        </pic:spPr>
                      </pic:pic>
                    </a:graphicData>
                  </a:graphic>
                </wp:inline>
              </w:drawing>
            </w:r>
          </w:p>
          <w:p>
            <w:pPr>
              <w:jc w:val="center"/>
            </w:pPr>
            <w:r>
              <w:rPr>
                <w:rFonts w:ascii="Times New Roman" w:hAnsi="Times New Roman" w:eastAsia="宋体"/>
                <w:color w:val="66777C"/>
                <w:sz w:val="18"/>
              </w:rPr>
              <w:t>领域与学习者输入</w:t>
            </w:r>
          </w:p>
        </w:tc>
        <w:tc>
          <w:tcPr>
            <w:tcW w:type="dxa" w:w="4680"/>
            <w:vAlign w:val="center"/>
            <w:tcMar>
              <w:top w:w="100" w:type="dxa"/>
              <w:start w:w="120" w:type="dxa"/>
              <w:bottom w:w="100" w:type="dxa"/>
              <w:end w:w="120" w:type="dxa"/>
            </w:tcMar>
          </w:tcPr>
          <w:p>
            <w:pPr>
              <w:jc w:val="center"/>
            </w:pPr>
            <w:r>
              <w:drawing>
                <wp:inline xmlns:a="http://schemas.openxmlformats.org/drawingml/2006/main" xmlns:pic="http://schemas.openxmlformats.org/drawingml/2006/picture">
                  <wp:extent cx="2592000" cy="2495895"/>
                  <wp:docPr id="2" name="Picture 2"/>
                  <wp:cNvGraphicFramePr>
                    <a:graphicFrameLocks noChangeAspect="1"/>
                  </wp:cNvGraphicFramePr>
                  <a:graphic>
                    <a:graphicData uri="http://schemas.openxmlformats.org/drawingml/2006/picture">
                      <pic:pic>
                        <pic:nvPicPr>
                          <pic:cNvPr id="0" name="demo-results.png"/>
                          <pic:cNvPicPr/>
                        </pic:nvPicPr>
                        <pic:blipFill>
                          <a:blip r:embed="rId12"/>
                          <a:stretch>
                            <a:fillRect/>
                          </a:stretch>
                        </pic:blipFill>
                        <pic:spPr>
                          <a:xfrm>
                            <a:off x="0" y="0"/>
                            <a:ext cx="2592000" cy="2495895"/>
                          </a:xfrm>
                          <a:prstGeom prst="rect"/>
                        </pic:spPr>
                      </pic:pic>
                    </a:graphicData>
                  </a:graphic>
                </wp:inline>
              </w:drawing>
            </w:r>
          </w:p>
          <w:p>
            <w:pPr>
              <w:jc w:val="center"/>
            </w:pPr>
            <w:r>
              <w:rPr>
                <w:rFonts w:ascii="Times New Roman" w:hAnsi="Times New Roman" w:eastAsia="宋体"/>
                <w:color w:val="66777C"/>
                <w:sz w:val="18"/>
              </w:rPr>
              <w:t>图谱、轨迹与消融输出</w:t>
            </w:r>
          </w:p>
        </w:tc>
      </w:tr>
    </w:tbl>
    <w:tbl>
      <w:tblPr>
        <w:tblW w:type="dxa" w:w="9360"/>
        <w:jc w:val="center"/>
        <w:tblLayout w:type="fixed"/>
        <w:tblLook w:firstColumn="1" w:firstRow="1" w:lastColumn="0" w:lastRow="0" w:noHBand="0" w:noVBand="1" w:val="04A0"/>
        <w:tblInd w:w="120" w:type="dxa"/>
        <w:tblBorders>
          <w:top w:val="single" w:sz="4" w:space="0" w:color="FCE9E5"/>
          <w:left w:val="single" w:sz="4" w:space="0" w:color="FCE9E5"/>
          <w:bottom w:val="single" w:sz="4" w:space="0" w:color="FCE9E5"/>
          <w:right w:val="single" w:sz="4" w:space="0" w:color="FCE9E5"/>
          <w:insideH w:val="single" w:sz="4" w:space="0" w:color="FCE9E5"/>
          <w:insideV w:val="single" w:sz="4" w:space="0" w:color="FCE9E5"/>
        </w:tblBorders>
      </w:tblPr>
      <w:tblGrid>
        <w:gridCol w:w="9360"/>
      </w:tblGrid>
      <w:tr>
        <w:tc>
          <w:tcPr>
            <w:tcW w:type="dxa" w:w="9360"/>
            <w:vAlign w:val="center"/>
            <w:tcMar>
              <w:top w:w="100" w:type="dxa"/>
              <w:start w:w="120" w:type="dxa"/>
              <w:bottom w:w="100" w:type="dxa"/>
              <w:end w:w="120" w:type="dxa"/>
            </w:tcMar>
            <w:shd w:fill="FCE9E5"/>
          </w:tcPr>
          <w:p>
            <w:pPr>
              <w:keepNext w:val="0"/>
              <w:widowControl/>
              <w:spacing w:before="0" w:after="0" w:line="312" w:lineRule="auto"/>
              <w:jc w:val="left"/>
            </w:pPr>
            <w:r>
              <w:rPr>
                <w:rFonts w:ascii="Arial" w:hAnsi="Arial" w:eastAsia="黑体"/>
                <w:b/>
                <w:color w:val="A54737"/>
                <w:sz w:val="22"/>
              </w:rPr>
              <w:t xml:space="preserve">结果边界  </w:t>
            </w:r>
            <w:r>
              <w:rPr>
                <w:rFonts w:ascii="Times New Roman" w:hAnsi="Times New Roman" w:eastAsia="宋体"/>
                <w:color w:val="A54737"/>
                <w:sz w:val="21"/>
              </w:rPr>
              <w:t>84.6% 来自开发可见的 24 条小样本压力集，不是公开科学信息抽取基准性能；“证据绑定 100%”只表示 accepted 关系具有有效 evidence_id，不代表引用语义完全正确。</w:t>
            </w:r>
          </w:p>
        </w:tc>
      </w:tr>
    </w:tbl>
    <w:p>
      <w:pPr>
        <w:pStyle w:val="Heading1"/>
        <w:keepNext/>
        <w:pageBreakBefore/>
        <w:spacing w:before="320" w:after="180"/>
      </w:pPr>
      <w:r>
        <w:rPr>
          <w:rFonts w:ascii="Arial" w:hAnsi="Arial" w:eastAsia="黑体"/>
          <w:b/>
          <w:color w:val="075E59"/>
          <w:sz w:val="36"/>
        </w:rPr>
        <w:t>摘要</w:t>
      </w:r>
    </w:p>
    <w:p>
      <w:pPr>
        <w:keepNext w:val="0"/>
        <w:widowControl/>
        <w:spacing w:before="0" w:after="120" w:line="360" w:lineRule="auto"/>
        <w:ind w:firstLine="480"/>
        <w:jc w:val="both"/>
      </w:pPr>
      <w:r>
        <w:rPr>
          <w:rFonts w:ascii="Times New Roman" w:hAnsi="Times New Roman" w:eastAsia="宋体"/>
          <w:color w:val="243238"/>
          <w:sz w:val="24"/>
        </w:rPr>
        <w:t>科研人员面对的困难已经从“找不到文献”转向“难以把跨论文、跨章节、跨学科的证据组织成可复核的知识”。传统关键词检索返回文献列表，通用大模型直接总结又容易丢失来源、混淆条件或生成未经证实的关联。围绕上海云之脑智能科技有限公司发布的“领域知识个性化生成与多智能体协同决策系统研究”榜题，本项目提出“研海寻踪”科研知识图谱发现系统：以论文结构化解析和证据跨度为底座，先由论文知识抽取 Agent 形成实体、关系与主张候选，再通过“提出者—批判者—裁判”三个异质决策 Agent 分别完成候选组织、反证约束和独立裁决；用户意图感知 Agent 将检索型、分析型和 Idea 型查询分别路由至图广度、图深度和混合检索，最终输出可回指论文证据的技术脉络、争议提示、待验证研究假设及面向不同学习者的导读、实操和测评。当前 Demo 已构建科学信息抽取、材料发现与图神经网络、教育知识追踪三个垂直领域切片，每个领域收录 30 篇论文记录；其中 19 篇已形成证据卡，抽取 108 条实体证据跨度、66 个规范实体和 91 条候选关系。系统提供 3 组合成学习者画像及 9 组完整输入—协同中间数据—个性化输出样例。在固定 24 条候选命题的压力测试中，三智能体链路接收精确率为 84.6%（11/13），Gold 保留召回为 84.6%（11/13），不支持命题接收率为 18.2%（2/11）；相较最强单次判定基线，接收精确率提高 23.5 个百分点，不支持命题接收率下降 45.4 个百分点。系统同时实现本地离线运行、启动与请求超时、幂等、熔断、结构化日志和回归测试。上述结果证明了异质职责与证据约束在固定候选池上的工程价值，但尚不能替代大规模全文金标准、专家盲评和真实用户试点。项目下一阶段将接入 Docling/GROBID、GLiNER/GLiREL 或 OneKE，并在冻结的端到端测试集上完成实体、关系、证据跨度及下游发现效用评测。</w:t>
      </w:r>
    </w:p>
    <w:p>
      <w:pPr>
        <w:keepNext w:val="0"/>
        <w:widowControl/>
        <w:spacing w:before="160" w:after="120" w:line="312" w:lineRule="auto"/>
        <w:jc w:val="left"/>
      </w:pPr>
      <w:r>
        <w:rPr>
          <w:rFonts w:ascii="Arial" w:hAnsi="Arial" w:eastAsia="黑体"/>
          <w:b/>
          <w:color w:val="17324D"/>
          <w:sz w:val="23"/>
        </w:rPr>
        <w:t>关键词：</w:t>
      </w:r>
      <w:r>
        <w:rPr>
          <w:rFonts w:ascii="Times New Roman" w:hAnsi="Times New Roman" w:eastAsia="宋体"/>
          <w:color w:val="243238"/>
          <w:sz w:val="23"/>
        </w:rPr>
        <w:t>科研知识图谱；科学信息抽取；证据溯源；多智能体协同；GraphRAG；个性化学习；研究发现</w:t>
      </w:r>
    </w:p>
    <w:p>
      <w:pPr>
        <w:pStyle w:val="Heading1"/>
        <w:keepNext/>
        <w:pageBreakBefore/>
        <w:spacing w:before="320" w:after="180"/>
      </w:pPr>
      <w:r>
        <w:rPr>
          <w:rFonts w:ascii="Arial" w:hAnsi="Arial" w:eastAsia="黑体"/>
          <w:b/>
          <w:color w:val="075E59"/>
          <w:sz w:val="36"/>
        </w:rPr>
        <w:t>目录</w:t>
      </w:r>
    </w:p>
    <w:p>
      <w:pPr>
        <w:keepNext w:val="0"/>
        <w:widowControl/>
        <w:tabs>
          <w:tab w:pos="8107" w:val="left"/>
        </w:tabs>
        <w:spacing w:before="0" w:after="80" w:line="288" w:lineRule="auto"/>
        <w:ind w:left="0"/>
        <w:jc w:val="left"/>
      </w:pPr>
      <w:r>
        <w:rPr>
          <w:rFonts w:ascii="Arial" w:hAnsi="Arial" w:eastAsia="宋体"/>
          <w:b w:val="0"/>
          <w:color w:val="243238"/>
          <w:sz w:val="23"/>
        </w:rPr>
        <w:t>摘要</w:t>
      </w:r>
      <w:r>
        <w:rPr>
          <w:rFonts w:ascii="Times New Roman" w:hAnsi="Times New Roman" w:eastAsia="宋体"/>
          <w:color w:val="66777C"/>
          <w:sz w:val="22"/>
        </w:rPr>
        <w:tab/>
        <w:t>—</w:t>
      </w:r>
    </w:p>
    <w:p>
      <w:pPr>
        <w:keepNext w:val="0"/>
        <w:widowControl/>
        <w:tabs>
          <w:tab w:pos="8107" w:val="left"/>
        </w:tabs>
        <w:spacing w:before="0" w:after="80" w:line="288" w:lineRule="auto"/>
        <w:ind w:left="0"/>
        <w:jc w:val="left"/>
      </w:pPr>
      <w:r>
        <w:rPr>
          <w:rFonts w:ascii="Arial" w:hAnsi="Arial" w:eastAsia="宋体"/>
          <w:b w:val="0"/>
          <w:color w:val="243238"/>
          <w:sz w:val="23"/>
        </w:rPr>
        <w:t>作品评估指标索引表</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第一章 项目背景与榜单分析</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第二章 国内外研究与竞品分析</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第三章 研究问题与总体方案</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第四章 核心方法：论文知识抽取与可信建图</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第五章 意图驱动 GraphRAG 与个性化生成</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第六章 系统设计、实现与使用</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第七章 数据、实验与结果分析</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第八章 创新点与技术指标实现</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第九章 应用价值、竞品与实施计划</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第十章 总结、局限与下一阶段</w:t>
      </w:r>
      <w:r>
        <w:rPr>
          <w:rFonts w:ascii="Times New Roman" w:hAnsi="Times New Roman" w:eastAsia="宋体"/>
          <w:color w:val="66777C"/>
          <w:sz w:val="22"/>
        </w:rPr>
        <w:tab/>
        <w:t>—</w:t>
      </w:r>
    </w:p>
    <w:p>
      <w:pPr>
        <w:keepNext w:val="0"/>
        <w:widowControl/>
        <w:tabs>
          <w:tab w:pos="8107" w:val="left"/>
        </w:tabs>
        <w:spacing w:before="0" w:after="80" w:line="288" w:lineRule="auto"/>
        <w:ind w:left="0"/>
        <w:jc w:val="left"/>
      </w:pPr>
      <w:r>
        <w:rPr>
          <w:rFonts w:ascii="Arial" w:hAnsi="Arial" w:eastAsia="宋体"/>
          <w:b w:val="0"/>
          <w:color w:val="243238"/>
          <w:sz w:val="23"/>
        </w:rPr>
        <w:t>参考文献</w:t>
      </w:r>
      <w:r>
        <w:rPr>
          <w:rFonts w:ascii="Times New Roman" w:hAnsi="Times New Roman" w:eastAsia="宋体"/>
          <w:color w:val="66777C"/>
          <w:sz w:val="22"/>
        </w:rPr>
        <w:tab/>
        <w:t>—</w:t>
      </w:r>
    </w:p>
    <w:p>
      <w:pPr>
        <w:keepNext w:val="0"/>
        <w:widowControl/>
        <w:tabs>
          <w:tab w:pos="8107" w:val="left"/>
        </w:tabs>
        <w:spacing w:before="0" w:after="80" w:line="288" w:lineRule="auto"/>
        <w:ind w:left="0"/>
        <w:jc w:val="left"/>
      </w:pPr>
      <w:r>
        <w:rPr>
          <w:rFonts w:ascii="Arial" w:hAnsi="Arial" w:eastAsia="宋体"/>
          <w:b w:val="0"/>
          <w:color w:val="243238"/>
          <w:sz w:val="23"/>
        </w:rPr>
        <w:t>附录</w:t>
      </w:r>
      <w:r>
        <w:rPr>
          <w:rFonts w:ascii="Times New Roman" w:hAnsi="Times New Roman" w:eastAsia="宋体"/>
          <w:color w:val="66777C"/>
          <w:sz w:val="22"/>
        </w:rPr>
        <w:tab/>
        <w:t>—</w:t>
      </w:r>
    </w:p>
    <w:tbl>
      <w:tblPr>
        <w:tblW w:type="dxa" w:w="9360"/>
        <w:jc w:val="center"/>
        <w:tblLayout w:type="fixed"/>
        <w:tblLook w:firstColumn="1" w:firstRow="1" w:lastColumn="0" w:lastRow="0" w:noHBand="0" w:noVBand="1" w:val="04A0"/>
        <w:tblInd w:w="120" w:type="dxa"/>
        <w:tblBorders>
          <w:top w:val="single" w:sz="4" w:space="0" w:color="FBF3DF"/>
          <w:left w:val="single" w:sz="4" w:space="0" w:color="FBF3DF"/>
          <w:bottom w:val="single" w:sz="4" w:space="0" w:color="FBF3DF"/>
          <w:right w:val="single" w:sz="4" w:space="0" w:color="FBF3DF"/>
          <w:insideH w:val="single" w:sz="4" w:space="0" w:color="FBF3DF"/>
          <w:insideV w:val="single" w:sz="4" w:space="0" w:color="FBF3DF"/>
        </w:tblBorders>
      </w:tblPr>
      <w:tblGrid>
        <w:gridCol w:w="9360"/>
      </w:tblGrid>
      <w:tr>
        <w:tc>
          <w:tcPr>
            <w:tcW w:type="dxa" w:w="9360"/>
            <w:vAlign w:val="center"/>
            <w:tcMar>
              <w:top w:w="100" w:type="dxa"/>
              <w:start w:w="120" w:type="dxa"/>
              <w:bottom w:w="100" w:type="dxa"/>
              <w:end w:w="120" w:type="dxa"/>
            </w:tcMar>
            <w:shd w:fill="FBF3DF"/>
          </w:tcPr>
          <w:p>
            <w:pPr>
              <w:keepNext w:val="0"/>
              <w:widowControl/>
              <w:spacing w:before="0" w:after="0" w:line="312" w:lineRule="auto"/>
              <w:jc w:val="left"/>
            </w:pPr>
            <w:r>
              <w:rPr>
                <w:rFonts w:ascii="Arial" w:hAnsi="Arial" w:eastAsia="黑体"/>
                <w:b/>
                <w:color w:val="17324D"/>
                <w:sz w:val="22"/>
              </w:rPr>
              <w:t xml:space="preserve">初稿说明  </w:t>
            </w:r>
            <w:r>
              <w:rPr>
                <w:rFonts w:ascii="Times New Roman" w:hAnsi="Times New Roman" w:eastAsia="宋体"/>
                <w:color w:val="17324D"/>
                <w:sz w:val="21"/>
              </w:rPr>
              <w:t>目录页码以最终排版为准；提交定稿前需在 Word 中更新目录并逐页核对。</w:t>
            </w:r>
          </w:p>
        </w:tc>
      </w:tr>
    </w:tbl>
    <w:p>
      <w:pPr>
        <w:pStyle w:val="Heading1"/>
        <w:keepNext/>
        <w:pageBreakBefore/>
        <w:spacing w:before="320" w:after="180"/>
      </w:pPr>
      <w:r>
        <w:rPr>
          <w:rFonts w:ascii="Arial" w:hAnsi="Arial" w:eastAsia="黑体"/>
          <w:b/>
          <w:color w:val="075E59"/>
          <w:sz w:val="36"/>
        </w:rPr>
        <w:t>作品评估指标索引表</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500"/>
        <w:gridCol w:w="3360"/>
        <w:gridCol w:w="1500"/>
        <w:gridCol w:w="3000"/>
      </w:tblGrid>
      <w:tr>
        <w:trPr>
          <w:tblHeader w:val="true"/>
        </w:trPr>
        <w:tc>
          <w:tcPr>
            <w:tcW w:type="dxa" w:w="15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评审维度</w:t>
            </w:r>
          </w:p>
        </w:tc>
        <w:tc>
          <w:tcPr>
            <w:tcW w:type="dxa" w:w="33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本项目核心主张</w:t>
            </w:r>
          </w:p>
        </w:tc>
        <w:tc>
          <w:tcPr>
            <w:tcW w:type="dxa" w:w="15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正文位置</w:t>
            </w:r>
          </w:p>
        </w:tc>
        <w:tc>
          <w:tcPr>
            <w:tcW w:type="dxa" w:w="30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直接证据</w:t>
            </w:r>
          </w:p>
        </w:tc>
      </w:tr>
      <w:tr>
        <w:tc>
          <w:tcPr>
            <w:tcW w:type="dxa" w:w="15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作品完整性</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跑通论文/证据卡到图谱、检索、裁决和个性化资源的闭环</w:t>
            </w:r>
          </w:p>
        </w:tc>
        <w:tc>
          <w:tcPr>
            <w:tcW w:type="dxa" w:w="15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3—6 章</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系统架构、接口输出、前端截图、运行说明</w:t>
            </w:r>
          </w:p>
        </w:tc>
      </w:tr>
      <w:tr>
        <w:tc>
          <w:tcPr>
            <w:tcW w:type="dxa" w:w="15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技术性能</w:t>
            </w:r>
          </w:p>
        </w:tc>
        <w:tc>
          <w:tcPr>
            <w:tcW w:type="dxa" w:w="3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固定候选池下，异质三智能体降低不支持命题入图</w:t>
            </w:r>
          </w:p>
        </w:tc>
        <w:tc>
          <w:tcPr>
            <w:tcW w:type="dxa" w:w="15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7 章</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24 条压力集四组对照、390 条三领域机制用例、Wilson 区间、错误案例</w:t>
            </w:r>
          </w:p>
        </w:tc>
      </w:tr>
      <w:tr>
        <w:tc>
          <w:tcPr>
            <w:tcW w:type="dxa" w:w="15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技术创新性</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证据优先建图、异质职责博弈、语义力度校验、意图驱动图检索形成组合机制</w:t>
            </w:r>
          </w:p>
        </w:tc>
        <w:tc>
          <w:tcPr>
            <w:tcW w:type="dxa" w:w="15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4、5、8 章</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数据契约、决策轨迹、消融矩阵</w:t>
            </w:r>
          </w:p>
        </w:tc>
      </w:tr>
      <w:tr>
        <w:tc>
          <w:tcPr>
            <w:tcW w:type="dxa" w:w="15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赛题对齐</w:t>
            </w:r>
          </w:p>
        </w:tc>
        <w:tc>
          <w:tcPr>
            <w:tcW w:type="dxa" w:w="3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 个领域、3 组画像、9 组完整输入—中间—输出</w:t>
            </w:r>
          </w:p>
        </w:tc>
        <w:tc>
          <w:tcPr>
            <w:tcW w:type="dxa" w:w="15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1、7、8 章</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领域注册表、完整样例 JSON、资源输出</w:t>
            </w:r>
          </w:p>
        </w:tc>
      </w:tr>
      <w:tr>
        <w:tc>
          <w:tcPr>
            <w:tcW w:type="dxa" w:w="15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实用性</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支持论文推荐、机制分析、技术演化与待验证 Idea</w:t>
            </w:r>
          </w:p>
        </w:tc>
        <w:tc>
          <w:tcPr>
            <w:tcW w:type="dxa" w:w="15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5、9 章</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GraphRAG 路由、图谱结果、场景流程</w:t>
            </w:r>
          </w:p>
        </w:tc>
      </w:tr>
      <w:tr>
        <w:tc>
          <w:tcPr>
            <w:tcW w:type="dxa" w:w="15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工程可靠性</w:t>
            </w:r>
          </w:p>
        </w:tc>
        <w:tc>
          <w:tcPr>
            <w:tcW w:type="dxa" w:w="3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离线可运行，具备超时、幂等、熔断、日志和测试</w:t>
            </w:r>
          </w:p>
        </w:tc>
        <w:tc>
          <w:tcPr>
            <w:tcW w:type="dxa" w:w="15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6、7 章</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119 项自动化测试、六实验入口、一键启动脚本、健康检查</w:t>
            </w:r>
          </w:p>
        </w:tc>
      </w:tr>
    </w:tbl>
    <w:p>
      <w:pPr>
        <w:spacing w:after="20"/>
      </w:pPr>
    </w:p>
    <w:tbl>
      <w:tblPr>
        <w:tblW w:type="dxa" w:w="9360"/>
        <w:jc w:val="center"/>
        <w:tblLayout w:type="fixed"/>
        <w:tblLook w:firstColumn="1" w:firstRow="1" w:lastColumn="0" w:lastRow="0" w:noHBand="0" w:noVBand="1" w:val="04A0"/>
        <w:tblInd w:w="120" w:type="dxa"/>
        <w:tblBorders>
          <w:top w:val="single" w:sz="4" w:space="0" w:color="FCE9E5"/>
          <w:left w:val="single" w:sz="4" w:space="0" w:color="FCE9E5"/>
          <w:bottom w:val="single" w:sz="4" w:space="0" w:color="FCE9E5"/>
          <w:right w:val="single" w:sz="4" w:space="0" w:color="FCE9E5"/>
          <w:insideH w:val="single" w:sz="4" w:space="0" w:color="FCE9E5"/>
          <w:insideV w:val="single" w:sz="4" w:space="0" w:color="FCE9E5"/>
        </w:tblBorders>
      </w:tblPr>
      <w:tblGrid>
        <w:gridCol w:w="9360"/>
      </w:tblGrid>
      <w:tr>
        <w:tc>
          <w:tcPr>
            <w:tcW w:type="dxa" w:w="9360"/>
            <w:vAlign w:val="center"/>
            <w:tcMar>
              <w:top w:w="100" w:type="dxa"/>
              <w:start w:w="120" w:type="dxa"/>
              <w:bottom w:w="100" w:type="dxa"/>
              <w:end w:w="120" w:type="dxa"/>
            </w:tcMar>
            <w:shd w:fill="FCE9E5"/>
          </w:tcPr>
          <w:p>
            <w:pPr>
              <w:keepNext w:val="0"/>
              <w:widowControl/>
              <w:spacing w:before="0" w:after="0" w:line="312" w:lineRule="auto"/>
              <w:jc w:val="left"/>
            </w:pPr>
            <w:r>
              <w:rPr>
                <w:rFonts w:ascii="Arial" w:hAnsi="Arial" w:eastAsia="黑体"/>
                <w:b/>
                <w:color w:val="A54737"/>
                <w:sz w:val="22"/>
              </w:rPr>
              <w:t xml:space="preserve">证据口径  </w:t>
            </w:r>
            <w:r>
              <w:rPr>
                <w:rFonts w:ascii="Times New Roman" w:hAnsi="Times New Roman" w:eastAsia="宋体"/>
                <w:color w:val="A54737"/>
                <w:sz w:val="21"/>
              </w:rPr>
              <w:t>本表中的指标均对应当前提交版本。尚未形成的专利、软著、论文、应用证明和专家推荐不得作为已取得成果陈述。</w:t>
            </w:r>
          </w:p>
        </w:tc>
      </w:tr>
    </w:tbl>
    <w:p>
      <w:pPr>
        <w:pStyle w:val="Heading1"/>
        <w:keepNext/>
        <w:pageBreakBefore/>
        <w:spacing w:before="320" w:after="180"/>
      </w:pPr>
      <w:r>
        <w:rPr>
          <w:rFonts w:ascii="Arial" w:hAnsi="Arial" w:eastAsia="黑体"/>
          <w:b/>
          <w:color w:val="075E59"/>
          <w:sz w:val="36"/>
        </w:rPr>
        <w:t>第一章 项目背景与榜单分析</w:t>
      </w:r>
    </w:p>
    <w:p>
      <w:pPr>
        <w:pStyle w:val="Heading2"/>
        <w:keepNext/>
        <w:spacing w:before="240" w:after="120"/>
      </w:pPr>
      <w:r>
        <w:rPr>
          <w:rFonts w:ascii="Arial" w:hAnsi="Arial" w:eastAsia="黑体"/>
          <w:b/>
          <w:color w:val="17324D"/>
          <w:sz w:val="28"/>
        </w:rPr>
        <w:t>1.1 为什么“搜到论文”仍不足以支持科研创新</w:t>
      </w:r>
    </w:p>
    <w:p>
      <w:pPr>
        <w:keepNext w:val="0"/>
        <w:widowControl/>
        <w:spacing w:before="0" w:after="120" w:line="360" w:lineRule="auto"/>
        <w:ind w:firstLine="480"/>
        <w:jc w:val="both"/>
      </w:pPr>
      <w:r>
        <w:rPr>
          <w:rFonts w:ascii="Times New Roman" w:hAnsi="Times New Roman" w:eastAsia="宋体"/>
          <w:color w:val="243238"/>
          <w:sz w:val="24"/>
        </w:rPr>
        <w:t>科研文献规模持续增长，但研究者真正需要的通常不是另一份按相关度排序的列表，而是回答“某种方法为什么有效、在哪些数据与条件下有效、与哪些工作存在继承或冲突、下一步缺口在哪里”。这些答案往往分散在摘要、方法、实验表格、局限性和引文关系中。关键词检索以文档为基本单位，难以把跨论文证据组织成可计算关系；通用生成式问答虽然能够给出流畅总结，却可能省略限定条件、混淆论文贡献或生成不可追溯的关联。</w:t>
      </w:r>
    </w:p>
    <w:p>
      <w:pPr>
        <w:keepNext w:val="0"/>
        <w:widowControl/>
        <w:spacing w:before="0" w:after="120" w:line="360" w:lineRule="auto"/>
        <w:ind w:firstLine="480"/>
        <w:jc w:val="both"/>
      </w:pPr>
      <w:r>
        <w:rPr>
          <w:rFonts w:ascii="Times New Roman" w:hAnsi="Times New Roman" w:eastAsia="宋体"/>
          <w:color w:val="243238"/>
          <w:sz w:val="24"/>
        </w:rPr>
        <w:t>因此，本项目把问题重新定义为“可信的论文到知识图谱转换与图谱驱动发现”：任何进入正式图谱的关系都必须具有稳定实体端点、合法关系类型、可回指证据和明确裁决状态；任何由缺失边或低连接区域生成的 Idea 都必须标记为待验证假设，而非已证实结论。</w:t>
      </w:r>
    </w:p>
    <w:p>
      <w:pPr>
        <w:pStyle w:val="Heading2"/>
        <w:keepNext/>
        <w:spacing w:before="240" w:after="120"/>
      </w:pPr>
      <w:r>
        <w:rPr>
          <w:rFonts w:ascii="Arial" w:hAnsi="Arial" w:eastAsia="黑体"/>
          <w:b/>
          <w:color w:val="17324D"/>
          <w:sz w:val="28"/>
        </w:rPr>
        <w:t>1.2 榜单要求拆解</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2100"/>
        <w:gridCol w:w="3300"/>
        <w:gridCol w:w="1450"/>
        <w:gridCol w:w="2510"/>
      </w:tblGrid>
      <w:tr>
        <w:trPr>
          <w:tblHeader w:val="true"/>
        </w:trPr>
        <w:tc>
          <w:tcPr>
            <w:tcW w:type="dxa" w:w="21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榜单要求</w:t>
            </w:r>
          </w:p>
        </w:tc>
        <w:tc>
          <w:tcPr>
            <w:tcW w:type="dxa" w:w="33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本项目实现</w:t>
            </w:r>
          </w:p>
        </w:tc>
        <w:tc>
          <w:tcPr>
            <w:tcW w:type="dxa" w:w="14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当前状态</w:t>
            </w:r>
          </w:p>
        </w:tc>
        <w:tc>
          <w:tcPr>
            <w:tcW w:type="dxa" w:w="251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可复核位置</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至少 1 个垂直领域知识库切片</w:t>
            </w:r>
          </w:p>
        </w:tc>
        <w:tc>
          <w:tcPr>
            <w:tcW w:type="dxa" w:w="3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构建 3 个垂直领域，每个领域 30 篇检索记录</w:t>
            </w:r>
          </w:p>
        </w:tc>
        <w:tc>
          <w:tcPr>
            <w:tcW w:type="dxa" w:w="14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Demo 级满足</w:t>
            </w:r>
          </w:p>
        </w:tc>
        <w:tc>
          <w:tcPr>
            <w:tcW w:type="dxa" w:w="251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data/vertical_kb</w:t>
            </w:r>
          </w:p>
        </w:tc>
      </w:tr>
      <w:tr>
        <w:tc>
          <w:tcPr>
            <w:tcW w:type="dxa" w:w="21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不少于 2 组差异化学习者数据</w:t>
            </w:r>
          </w:p>
        </w:tc>
        <w:tc>
          <w:tcPr>
            <w:tcW w:type="dxa" w:w="3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本科科研入门、跨学科硕士、企业技术情报 3 组画像</w:t>
            </w:r>
          </w:p>
        </w:tc>
        <w:tc>
          <w:tcPr>
            <w:tcW w:type="dxa" w:w="14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满足</w:t>
            </w:r>
          </w:p>
        </w:tc>
        <w:tc>
          <w:tcPr>
            <w:tcW w:type="dxa" w:w="251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data/profiles</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多智能体协同中间数据</w:t>
            </w:r>
          </w:p>
        </w:tc>
        <w:tc>
          <w:tcPr>
            <w:tcW w:type="dxa" w:w="3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专职 Agent 轨迹、三智能体轨迹、候选命题、批判意见、裁判分解</w:t>
            </w:r>
          </w:p>
        </w:tc>
        <w:tc>
          <w:tcPr>
            <w:tcW w:type="dxa" w:w="14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满足</w:t>
            </w:r>
          </w:p>
        </w:tc>
        <w:tc>
          <w:tcPr>
            <w:tcW w:type="dxa" w:w="251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agent_trace / claims</w:t>
            </w:r>
          </w:p>
        </w:tc>
      </w:tr>
      <w:tr>
        <w:tc>
          <w:tcPr>
            <w:tcW w:type="dxa" w:w="21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最终个性化学习资源</w:t>
            </w:r>
          </w:p>
        </w:tc>
        <w:tc>
          <w:tcPr>
            <w:tcW w:type="dxa" w:w="3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导读、复现实操、分阶测评、学习路径与回答骨架</w:t>
            </w:r>
          </w:p>
        </w:tc>
        <w:tc>
          <w:tcPr>
            <w:tcW w:type="dxa" w:w="14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满足</w:t>
            </w:r>
          </w:p>
        </w:tc>
        <w:tc>
          <w:tcPr>
            <w:tcW w:type="dxa" w:w="251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resources / report</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完整输入输出示例</w:t>
            </w:r>
          </w:p>
        </w:tc>
        <w:tc>
          <w:tcPr>
            <w:tcW w:type="dxa" w:w="3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3 个领域 × 3 个画像 = 9 组固定样例</w:t>
            </w:r>
          </w:p>
        </w:tc>
        <w:tc>
          <w:tcPr>
            <w:tcW w:type="dxa" w:w="14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满足</w:t>
            </w:r>
          </w:p>
        </w:tc>
        <w:tc>
          <w:tcPr>
            <w:tcW w:type="dxa" w:w="251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complete_demo_cases.json</w:t>
            </w:r>
          </w:p>
        </w:tc>
      </w:tr>
    </w:tbl>
    <w:p>
      <w:pPr>
        <w:spacing w:after="20"/>
      </w:pPr>
    </w:p>
    <w:p>
      <w:pPr>
        <w:pStyle w:val="Heading2"/>
        <w:keepNext/>
        <w:spacing w:before="240" w:after="120"/>
      </w:pPr>
      <w:r>
        <w:rPr>
          <w:rFonts w:ascii="Arial" w:hAnsi="Arial" w:eastAsia="黑体"/>
          <w:b/>
          <w:color w:val="17324D"/>
          <w:sz w:val="28"/>
        </w:rPr>
        <w:t>1.3 研究目标与核心问题</w:t>
      </w:r>
    </w:p>
    <w:p>
      <w:pPr>
        <w:pStyle w:val="ListBullet"/>
        <w:spacing w:after="80" w:line="324" w:lineRule="auto"/>
        <w:ind w:left="420" w:hanging="210"/>
      </w:pPr>
      <w:r>
        <w:rPr>
          <w:rFonts w:ascii="Times New Roman" w:hAnsi="Times New Roman" w:eastAsia="宋体"/>
          <w:color w:val="243238"/>
          <w:sz w:val="23"/>
        </w:rPr>
        <w:t>RQ1：如何从论文结构和证据跨度中抽取可追溯的实体、关系与科研主张，而不是仅从题名或摘要生成裸三元组？</w:t>
      </w:r>
    </w:p>
    <w:p>
      <w:pPr>
        <w:pStyle w:val="ListBullet"/>
        <w:spacing w:after="80" w:line="324" w:lineRule="auto"/>
        <w:ind w:left="420" w:hanging="210"/>
      </w:pPr>
      <w:r>
        <w:rPr>
          <w:rFonts w:ascii="Times New Roman" w:hAnsi="Times New Roman" w:eastAsia="宋体"/>
          <w:color w:val="243238"/>
          <w:sz w:val="23"/>
        </w:rPr>
        <w:t>RQ2：在候选池固定的条件下，提出者—批判者—裁判的异质职责是否能减少高置信错误和证据错配进入图谱？</w:t>
      </w:r>
    </w:p>
    <w:p>
      <w:pPr>
        <w:pStyle w:val="ListBullet"/>
        <w:spacing w:after="80" w:line="324" w:lineRule="auto"/>
        <w:ind w:left="420" w:hanging="210"/>
      </w:pPr>
      <w:r>
        <w:rPr>
          <w:rFonts w:ascii="Times New Roman" w:hAnsi="Times New Roman" w:eastAsia="宋体"/>
          <w:color w:val="243238"/>
          <w:sz w:val="23"/>
        </w:rPr>
        <w:t>RQ3：如何根据检索、分析和 Idea 三类意图选择图广度、图深度或混合检索，从而兼顾覆盖、可解释路径和发现能力？</w:t>
      </w:r>
    </w:p>
    <w:p>
      <w:pPr>
        <w:pStyle w:val="ListBullet"/>
        <w:spacing w:after="80" w:line="324" w:lineRule="auto"/>
        <w:ind w:left="420" w:hanging="210"/>
      </w:pPr>
      <w:r>
        <w:rPr>
          <w:rFonts w:ascii="Times New Roman" w:hAnsi="Times New Roman" w:eastAsia="宋体"/>
          <w:color w:val="243238"/>
          <w:sz w:val="23"/>
        </w:rPr>
        <w:t>RQ4：如何把同一知识底座转化为适配不同学情的导读、实操和测评，并保留完整决策过程？</w:t>
      </w:r>
    </w:p>
    <w:p>
      <w:pPr>
        <w:pStyle w:val="Heading2"/>
        <w:keepNext/>
        <w:spacing w:before="240" w:after="120"/>
      </w:pPr>
      <w:r>
        <w:rPr>
          <w:rFonts w:ascii="Arial" w:hAnsi="Arial" w:eastAsia="黑体"/>
          <w:b/>
          <w:color w:val="17324D"/>
          <w:sz w:val="28"/>
        </w:rPr>
        <w:t>1.4 项目定位</w:t>
      </w:r>
    </w:p>
    <w:tbl>
      <w:tblPr>
        <w:tblW w:type="dxa" w:w="9360"/>
        <w:jc w:val="center"/>
        <w:tblLayout w:type="fixed"/>
        <w:tblLook w:firstColumn="1" w:firstRow="1" w:lastColumn="0" w:lastRow="0" w:noHBand="0" w:noVBand="1" w:val="04A0"/>
        <w:tblInd w:w="120" w:type="dxa"/>
        <w:tblBorders>
          <w:top w:val="single" w:sz="4" w:space="0" w:color="E7F3F1"/>
          <w:left w:val="single" w:sz="4" w:space="0" w:color="E7F3F1"/>
          <w:bottom w:val="single" w:sz="4" w:space="0" w:color="E7F3F1"/>
          <w:right w:val="single" w:sz="4" w:space="0" w:color="E7F3F1"/>
          <w:insideH w:val="single" w:sz="4" w:space="0" w:color="E7F3F1"/>
          <w:insideV w:val="single" w:sz="4" w:space="0" w:color="E7F3F1"/>
        </w:tblBorders>
      </w:tblPr>
      <w:tblGrid>
        <w:gridCol w:w="9360"/>
      </w:tblGrid>
      <w:tr>
        <w:tc>
          <w:tcPr>
            <w:tcW w:type="dxa" w:w="9360"/>
            <w:vAlign w:val="center"/>
            <w:tcMar>
              <w:top w:w="100" w:type="dxa"/>
              <w:start w:w="120" w:type="dxa"/>
              <w:bottom w:w="100" w:type="dxa"/>
              <w:end w:w="120" w:type="dxa"/>
            </w:tcMar>
            <w:shd w:fill="E7F3F1"/>
          </w:tcPr>
          <w:p>
            <w:pPr>
              <w:keepNext w:val="0"/>
              <w:widowControl/>
              <w:spacing w:before="0" w:after="0" w:line="312" w:lineRule="auto"/>
              <w:jc w:val="left"/>
            </w:pPr>
            <w:r>
              <w:rPr>
                <w:rFonts w:ascii="Arial" w:hAnsi="Arial" w:eastAsia="黑体"/>
                <w:b/>
                <w:color w:val="17324D"/>
                <w:sz w:val="22"/>
              </w:rPr>
              <w:t xml:space="preserve">定位  </w:t>
            </w:r>
            <w:r>
              <w:rPr>
                <w:rFonts w:ascii="Times New Roman" w:hAnsi="Times New Roman" w:eastAsia="宋体"/>
                <w:color w:val="17324D"/>
                <w:sz w:val="21"/>
              </w:rPr>
              <w:t>“研海寻踪”不是通用聊天机器人，也不是单纯的图谱可视化页面；它是一套以证据可追溯为约束、以异质多智能体为决策机制、以科研知识图为推理底座的研究与工程原型。</w:t>
            </w:r>
          </w:p>
        </w:tc>
      </w:tr>
    </w:tbl>
    <w:p>
      <w:pPr>
        <w:pStyle w:val="Heading1"/>
        <w:keepNext/>
        <w:pageBreakBefore/>
        <w:spacing w:before="320" w:after="180"/>
      </w:pPr>
      <w:r>
        <w:rPr>
          <w:rFonts w:ascii="Arial" w:hAnsi="Arial" w:eastAsia="黑体"/>
          <w:b/>
          <w:color w:val="075E59"/>
          <w:sz w:val="36"/>
        </w:rPr>
        <w:t>第二章 国内外研究与竞品分析</w:t>
      </w:r>
    </w:p>
    <w:p>
      <w:pPr>
        <w:pStyle w:val="Heading2"/>
        <w:keepNext/>
        <w:spacing w:before="240" w:after="120"/>
      </w:pPr>
      <w:r>
        <w:rPr>
          <w:rFonts w:ascii="Arial" w:hAnsi="Arial" w:eastAsia="黑体"/>
          <w:b/>
          <w:color w:val="17324D"/>
          <w:sz w:val="28"/>
        </w:rPr>
        <w:t>2.1 科学信息抽取：从句内实体到全文关系</w:t>
      </w:r>
    </w:p>
    <w:p>
      <w:pPr>
        <w:keepNext w:val="0"/>
        <w:widowControl/>
        <w:spacing w:before="0" w:after="120" w:line="360" w:lineRule="auto"/>
        <w:ind w:firstLine="480"/>
        <w:jc w:val="both"/>
      </w:pPr>
      <w:r>
        <w:rPr>
          <w:rFonts w:ascii="Times New Roman" w:hAnsi="Times New Roman" w:eastAsia="宋体"/>
          <w:color w:val="243238"/>
          <w:sz w:val="24"/>
        </w:rPr>
        <w:t>DyGIE++ 以 span 表示联合建模实体、关系、事件和共指，SciREX 将任务扩展到全文显著实体与文档级 n 元关系，ReSel 进一步说明实验表格与正文必须联合建模。SciER 和 SciNLP 等近年工作则表明，科学实体、方法、数据集、任务与结果在跨句、跨章节和跨论文条件下仍具有显著抽取难度。由此，本项目把“章节—句子—字符跨度”写入证据对象，并把模型—数据集—指标—数值视为带条件的科研事件，而非拆散为无上下文边。</w:t>
      </w:r>
    </w:p>
    <w:p>
      <w:pPr>
        <w:pStyle w:val="Heading2"/>
        <w:keepNext/>
        <w:spacing w:before="240" w:after="120"/>
      </w:pPr>
      <w:r>
        <w:rPr>
          <w:rFonts w:ascii="Arial" w:hAnsi="Arial" w:eastAsia="黑体"/>
          <w:b/>
          <w:color w:val="17324D"/>
          <w:sz w:val="28"/>
        </w:rPr>
        <w:t>2.2 GraphRAG：从局部事实到全局主题</w:t>
      </w:r>
    </w:p>
    <w:p>
      <w:pPr>
        <w:keepNext w:val="0"/>
        <w:widowControl/>
        <w:spacing w:before="0" w:after="120" w:line="360" w:lineRule="auto"/>
        <w:ind w:firstLine="480"/>
        <w:jc w:val="both"/>
      </w:pPr>
      <w:r>
        <w:rPr>
          <w:rFonts w:ascii="Times New Roman" w:hAnsi="Times New Roman" w:eastAsia="宋体"/>
          <w:color w:val="243238"/>
          <w:sz w:val="24"/>
        </w:rPr>
        <w:t>Microsoft GraphRAG 通过实体、关系、社区和社区报告支持 Local、Global 与 DRIFT 等查询模式，为跨文档全局理解提供了成熟参照。本项目当前采用 GraphRAG-inspired 离线基线：用概念图、证据路径和连通社区实现广度、深度与混合检索，但不宣称已经运行微软官方 GraphRAG。下一阶段将通过 Bring Your Own Graph 接口导出 entities、relationships、text_units 与 communities，再比较官方查询模式的质量、成本和稳定性。</w:t>
      </w:r>
    </w:p>
    <w:p>
      <w:pPr>
        <w:pStyle w:val="Heading2"/>
        <w:keepNext/>
        <w:spacing w:before="240" w:after="120"/>
      </w:pPr>
      <w:r>
        <w:rPr>
          <w:rFonts w:ascii="Arial" w:hAnsi="Arial" w:eastAsia="黑体"/>
          <w:b/>
          <w:color w:val="17324D"/>
          <w:sz w:val="28"/>
        </w:rPr>
        <w:t>2.3 多智能体校验：角色数量不等于有效协作</w:t>
      </w:r>
    </w:p>
    <w:p>
      <w:pPr>
        <w:keepNext w:val="0"/>
        <w:widowControl/>
        <w:spacing w:before="0" w:after="120" w:line="360" w:lineRule="auto"/>
        <w:ind w:firstLine="480"/>
        <w:jc w:val="both"/>
      </w:pPr>
      <w:r>
        <w:rPr>
          <w:rFonts w:ascii="Times New Roman" w:hAnsi="Times New Roman" w:eastAsia="宋体"/>
          <w:color w:val="243238"/>
          <w:sz w:val="24"/>
        </w:rPr>
        <w:t>多智能体方法能够通过角色分工、辩论和审查提高复杂任务覆盖，但当角色共享相同模型、提示结构和证据时，也可能放大共同盲点。项目因此不以“Agent 数量”作为创新，而以职责异质性和证据依赖性作为可检验机制：提出者组织候选，批判者主动寻找类型、方向、强断言与证据问题，裁判根据独立规则作最终决策。当前同质三路投票与单次判定得到相同结果，正说明简单堆叠角色并不能自动带来收益。</w:t>
      </w:r>
    </w:p>
    <w:p>
      <w:pPr>
        <w:pStyle w:val="Heading2"/>
        <w:keepNext/>
        <w:spacing w:before="240" w:after="120"/>
      </w:pPr>
      <w:r>
        <w:rPr>
          <w:rFonts w:ascii="Arial" w:hAnsi="Arial" w:eastAsia="黑体"/>
          <w:b/>
          <w:color w:val="17324D"/>
          <w:sz w:val="28"/>
        </w:rPr>
        <w:t>2.4 产品与竞品能力矩阵</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550"/>
        <w:gridCol w:w="2300"/>
        <w:gridCol w:w="2350"/>
        <w:gridCol w:w="3160"/>
      </w:tblGrid>
      <w:tr>
        <w:trPr>
          <w:tblHeader w:val="true"/>
        </w:trPr>
        <w:tc>
          <w:tcPr>
            <w:tcW w:type="dxa" w:w="15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类型</w:t>
            </w:r>
          </w:p>
        </w:tc>
        <w:tc>
          <w:tcPr>
            <w:tcW w:type="dxa" w:w="23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代表能力</w:t>
            </w:r>
          </w:p>
        </w:tc>
        <w:tc>
          <w:tcPr>
            <w:tcW w:type="dxa" w:w="23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主要优势</w:t>
            </w:r>
          </w:p>
        </w:tc>
        <w:tc>
          <w:tcPr>
            <w:tcW w:type="dxa" w:w="31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相对本项目的缺口</w:t>
            </w:r>
          </w:p>
        </w:tc>
      </w:tr>
      <w:tr>
        <w:tc>
          <w:tcPr>
            <w:tcW w:type="dxa" w:w="155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传统学术检索</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关键词、引用与排序</w:t>
            </w:r>
          </w:p>
        </w:tc>
        <w:tc>
          <w:tcPr>
            <w:tcW w:type="dxa" w:w="23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覆盖大、使用成熟</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难以把跨论文证据转成可审计关系</w:t>
            </w:r>
          </w:p>
        </w:tc>
      </w:tr>
      <w:tr>
        <w:tc>
          <w:tcPr>
            <w:tcW w:type="dxa" w:w="155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文献关系图工具</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引文/相似文献网络</w:t>
            </w:r>
          </w:p>
        </w:tc>
        <w:tc>
          <w:tcPr>
            <w:tcW w:type="dxa" w:w="23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探索路径直观</w:t>
            </w:r>
          </w:p>
        </w:tc>
        <w:tc>
          <w:tcPr>
            <w:tcW w:type="dxa" w:w="3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节点多为论文，缺少方法—任务—结果证据图</w:t>
            </w:r>
          </w:p>
        </w:tc>
      </w:tr>
      <w:tr>
        <w:tc>
          <w:tcPr>
            <w:tcW w:type="dxa" w:w="155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通用 LLM/RAG</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自然语言问答与摘要</w:t>
            </w:r>
          </w:p>
        </w:tc>
        <w:tc>
          <w:tcPr>
            <w:tcW w:type="dxa" w:w="23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交互门槛低</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主张、证据和裁决过程可能不透明</w:t>
            </w:r>
          </w:p>
        </w:tc>
      </w:tr>
      <w:tr>
        <w:tc>
          <w:tcPr>
            <w:tcW w:type="dxa" w:w="155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企业技术情报平台</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专利、论文、产业数据聚合</w:t>
            </w:r>
          </w:p>
        </w:tc>
        <w:tc>
          <w:tcPr>
            <w:tcW w:type="dxa" w:w="23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数据源丰富、流程成熟</w:t>
            </w:r>
          </w:p>
        </w:tc>
        <w:tc>
          <w:tcPr>
            <w:tcW w:type="dxa" w:w="3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成本较高，个性化学习与开放实验有限</w:t>
            </w:r>
          </w:p>
        </w:tc>
      </w:tr>
      <w:tr>
        <w:tc>
          <w:tcPr>
            <w:tcW w:type="dxa" w:w="155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研海寻踪</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证据跨度图 + 异质裁决 + 意图图检索</w:t>
            </w:r>
          </w:p>
        </w:tc>
        <w:tc>
          <w:tcPr>
            <w:tcW w:type="dxa" w:w="23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每条关系可追溯，能展示失败与复核状态</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当前全文规模、盲评和真实用户试点仍不足</w:t>
            </w:r>
          </w:p>
        </w:tc>
      </w:tr>
    </w:tbl>
    <w:p>
      <w:pPr>
        <w:spacing w:after="20"/>
      </w:pPr>
    </w:p>
    <w:p>
      <w:pPr>
        <w:pStyle w:val="Heading1"/>
        <w:keepNext/>
        <w:pageBreakBefore/>
        <w:spacing w:before="320" w:after="180"/>
      </w:pPr>
      <w:r>
        <w:rPr>
          <w:rFonts w:ascii="Arial" w:hAnsi="Arial" w:eastAsia="黑体"/>
          <w:b/>
          <w:color w:val="075E59"/>
          <w:sz w:val="36"/>
        </w:rPr>
        <w:t>第三章 研究问题与总体方案</w:t>
      </w:r>
    </w:p>
    <w:p>
      <w:pPr>
        <w:pStyle w:val="Heading2"/>
        <w:keepNext/>
        <w:spacing w:before="240" w:after="120"/>
      </w:pPr>
      <w:r>
        <w:rPr>
          <w:rFonts w:ascii="Arial" w:hAnsi="Arial" w:eastAsia="黑体"/>
          <w:b/>
          <w:color w:val="17324D"/>
          <w:sz w:val="28"/>
        </w:rPr>
        <w:t>3.1 端到端技术路线</w:t>
      </w:r>
    </w:p>
    <w:p>
      <w:pPr>
        <w:keepNext w:val="0"/>
        <w:widowControl/>
        <w:spacing w:before="0" w:after="120" w:line="360" w:lineRule="auto"/>
        <w:ind w:firstLine="480"/>
        <w:jc w:val="both"/>
      </w:pPr>
      <w:r>
        <w:rPr>
          <w:rFonts w:ascii="Times New Roman" w:hAnsi="Times New Roman" w:eastAsia="宋体"/>
          <w:color w:val="243238"/>
          <w:sz w:val="24"/>
        </w:rPr>
        <w:t>系统输入包括领域论文或知识卡、学习者画像和研究查询。文献首先被转换为带章节和字符偏移的统一文档对象；论文知识抽取 Agent 输出实体、关系与证据候选；实体规范化模块合并别名并保留回滚记录；三智能体链路决定候选进入 accepted、needs_review 或 rejected 状态；用户意图感知 Agent 再选择图检索路线，最终生成论文推荐、机制分析、待验证 Idea 和个性化学习资源。</w:t>
      </w:r>
    </w:p>
    <w:p>
      <w:r>
        <w:drawing>
          <wp:inline xmlns:a="http://schemas.openxmlformats.org/drawingml/2006/main" xmlns:pic="http://schemas.openxmlformats.org/drawingml/2006/picture">
            <wp:extent cx="5508000" cy="3167100"/>
            <wp:docPr id="3" name="Picture 3"/>
            <wp:cNvGraphicFramePr>
              <a:graphicFrameLocks noChangeAspect="1"/>
            </wp:cNvGraphicFramePr>
            <a:graphic>
              <a:graphicData uri="http://schemas.openxmlformats.org/drawingml/2006/picture">
                <pic:pic>
                  <pic:nvPicPr>
                    <pic:cNvPr id="0" name="system-architecture.png"/>
                    <pic:cNvPicPr/>
                  </pic:nvPicPr>
                  <pic:blipFill>
                    <a:blip r:embed="rId13"/>
                    <a:stretch>
                      <a:fillRect/>
                    </a:stretch>
                  </pic:blipFill>
                  <pic:spPr>
                    <a:xfrm>
                      <a:off x="0" y="0"/>
                      <a:ext cx="5508000" cy="3167100"/>
                    </a:xfrm>
                    <a:prstGeom prst="rect"/>
                  </pic:spPr>
                </pic:pic>
              </a:graphicData>
            </a:graphic>
          </wp:inline>
        </w:drawing>
      </w:r>
    </w:p>
    <w:p>
      <w:pPr>
        <w:keepNext w:val="0"/>
        <w:widowControl/>
        <w:spacing w:before="60" w:after="160" w:line="240" w:lineRule="auto"/>
        <w:jc w:val="center"/>
      </w:pPr>
      <w:r>
        <w:rPr>
          <w:rFonts w:ascii="Times New Roman" w:hAnsi="Times New Roman" w:eastAsia="宋体"/>
          <w:color w:val="66777C"/>
          <w:sz w:val="19"/>
        </w:rPr>
        <w:t>图 3-1 研海寻踪端到端系统架构</w:t>
      </w:r>
    </w:p>
    <w:p>
      <w:pPr>
        <w:pStyle w:val="Heading2"/>
        <w:keepNext/>
        <w:spacing w:before="240" w:after="120"/>
      </w:pPr>
      <w:r>
        <w:rPr>
          <w:rFonts w:ascii="Arial" w:hAnsi="Arial" w:eastAsia="黑体"/>
          <w:b/>
          <w:color w:val="17324D"/>
          <w:sz w:val="28"/>
        </w:rPr>
        <w:t>3.2 统一口径：5 个协同角色，3 个核心决策 Agent</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800"/>
        <w:gridCol w:w="2200"/>
        <w:gridCol w:w="3100"/>
        <w:gridCol w:w="2260"/>
      </w:tblGrid>
      <w:tr>
        <w:trPr>
          <w:tblHeader w:val="true"/>
        </w:trPr>
        <w:tc>
          <w:tcPr>
            <w:tcW w:type="dxa" w:w="18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角色</w:t>
            </w:r>
          </w:p>
        </w:tc>
        <w:tc>
          <w:tcPr>
            <w:tcW w:type="dxa" w:w="22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输入</w:t>
            </w:r>
          </w:p>
        </w:tc>
        <w:tc>
          <w:tcPr>
            <w:tcW w:type="dxa" w:w="31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核心职责</w:t>
            </w:r>
          </w:p>
        </w:tc>
        <w:tc>
          <w:tcPr>
            <w:tcW w:type="dxa" w:w="22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输出</w:t>
            </w:r>
          </w:p>
        </w:tc>
      </w:tr>
      <w:tr>
        <w:tc>
          <w:tcPr>
            <w:tcW w:type="dxa" w:w="18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论文知识抽取 Agent</w:t>
            </w:r>
          </w:p>
        </w:tc>
        <w:tc>
          <w:tcPr>
            <w:tcW w:type="dxa" w:w="2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论文结构与证据片段</w:t>
            </w:r>
          </w:p>
        </w:tc>
        <w:tc>
          <w:tcPr>
            <w:tcW w:type="dxa" w:w="31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抽取实体、关系、主张候选</w:t>
            </w:r>
          </w:p>
        </w:tc>
        <w:tc>
          <w:tcPr>
            <w:tcW w:type="dxa" w:w="22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proposed 图谱与证据跨度</w:t>
            </w:r>
          </w:p>
        </w:tc>
      </w:tr>
      <w:tr>
        <w:tc>
          <w:tcPr>
            <w:tcW w:type="dxa" w:w="18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用户意图感知 Agent</w:t>
            </w:r>
          </w:p>
        </w:tc>
        <w:tc>
          <w:tcPr>
            <w:tcW w:type="dxa" w:w="2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研究查询</w:t>
            </w:r>
          </w:p>
        </w:tc>
        <w:tc>
          <w:tcPr>
            <w:tcW w:type="dxa" w:w="31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识别检索/分析/Idea 意图并路由</w:t>
            </w:r>
          </w:p>
        </w:tc>
        <w:tc>
          <w:tcPr>
            <w:tcW w:type="dxa" w:w="22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意图分数与图检索路线</w:t>
            </w:r>
          </w:p>
        </w:tc>
      </w:tr>
      <w:tr>
        <w:tc>
          <w:tcPr>
            <w:tcW w:type="dxa" w:w="18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提出者 Agent</w:t>
            </w:r>
          </w:p>
        </w:tc>
        <w:tc>
          <w:tcPr>
            <w:tcW w:type="dxa" w:w="2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抽取候选与 schema</w:t>
            </w:r>
          </w:p>
        </w:tc>
        <w:tc>
          <w:tcPr>
            <w:tcW w:type="dxa" w:w="31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组织候选关系与依据</w:t>
            </w:r>
          </w:p>
        </w:tc>
        <w:tc>
          <w:tcPr>
            <w:tcW w:type="dxa" w:w="22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候选命题、初始置信度</w:t>
            </w:r>
          </w:p>
        </w:tc>
      </w:tr>
      <w:tr>
        <w:tc>
          <w:tcPr>
            <w:tcW w:type="dxa" w:w="18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批判者 Agent</w:t>
            </w:r>
          </w:p>
        </w:tc>
        <w:tc>
          <w:tcPr>
            <w:tcW w:type="dxa" w:w="2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候选、端点与证据</w:t>
            </w:r>
          </w:p>
        </w:tc>
        <w:tc>
          <w:tcPr>
            <w:tcW w:type="dxa" w:w="31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检查类型、方向、强断言和证据</w:t>
            </w:r>
          </w:p>
        </w:tc>
        <w:tc>
          <w:tcPr>
            <w:tcW w:type="dxa" w:w="22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批判意见与风险标记</w:t>
            </w:r>
          </w:p>
        </w:tc>
      </w:tr>
      <w:tr>
        <w:tc>
          <w:tcPr>
            <w:tcW w:type="dxa" w:w="18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裁判 Agent</w:t>
            </w:r>
          </w:p>
        </w:tc>
        <w:tc>
          <w:tcPr>
            <w:tcW w:type="dxa" w:w="2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候选、批判、证据质量</w:t>
            </w:r>
          </w:p>
        </w:tc>
        <w:tc>
          <w:tcPr>
            <w:tcW w:type="dxa" w:w="31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独立计算分数并做状态裁决</w:t>
            </w:r>
          </w:p>
        </w:tc>
        <w:tc>
          <w:tcPr>
            <w:tcW w:type="dxa" w:w="22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accepted / needs_review / rejected</w:t>
            </w:r>
          </w:p>
        </w:tc>
      </w:tr>
    </w:tbl>
    <w:p>
      <w:pPr>
        <w:spacing w:after="20"/>
      </w:pPr>
    </w:p>
    <w:p>
      <w:pPr>
        <w:pStyle w:val="Heading2"/>
        <w:keepNext/>
        <w:spacing w:before="240" w:after="120"/>
      </w:pPr>
      <w:r>
        <w:rPr>
          <w:rFonts w:ascii="Arial" w:hAnsi="Arial" w:eastAsia="黑体"/>
          <w:b/>
          <w:color w:val="17324D"/>
          <w:sz w:val="28"/>
        </w:rPr>
        <w:t>3.3 决策目标与约束</w:t>
      </w:r>
    </w:p>
    <w:p>
      <w:pPr>
        <w:keepNext w:val="0"/>
        <w:widowControl/>
        <w:spacing w:before="0" w:after="120" w:line="360" w:lineRule="auto"/>
        <w:ind w:firstLine="480"/>
        <w:jc w:val="both"/>
      </w:pPr>
      <w:r>
        <w:rPr>
          <w:rFonts w:ascii="Times New Roman" w:hAnsi="Times New Roman" w:eastAsia="宋体"/>
          <w:color w:val="243238"/>
          <w:sz w:val="24"/>
        </w:rPr>
        <w:t>项目把最终入图视为选择性预测问题。裁判不仅追求接收命题数量，还需同时约束 accepted precision、Gold retention recall、Unsupported Acceptance Rate（UAR）和人工复核负担。没有证据、证据端点无效、关系越过 schema 或包含绝对化保证的候选应被拒绝或转入复核。系统允许拒答和保守，而不是以“回答所有问题”为目标。</w:t>
      </w:r>
    </w:p>
    <w:p>
      <w:pPr>
        <w:pStyle w:val="Heading2"/>
        <w:keepNext/>
        <w:spacing w:before="240" w:after="120"/>
      </w:pPr>
      <w:r>
        <w:rPr>
          <w:rFonts w:ascii="Arial" w:hAnsi="Arial" w:eastAsia="黑体"/>
          <w:b/>
          <w:color w:val="17324D"/>
          <w:sz w:val="28"/>
        </w:rPr>
        <w:t>3.4 最小可信知识单元</w:t>
      </w:r>
    </w:p>
    <w:tbl>
      <w:tblPr>
        <w:tblW w:type="dxa" w:w="9360"/>
        <w:jc w:val="center"/>
        <w:tblLayout w:type="fixed"/>
        <w:tblLook w:firstColumn="1" w:firstRow="1" w:lastColumn="0" w:lastRow="0" w:noHBand="0" w:noVBand="1" w:val="04A0"/>
        <w:tblInd w:w="120" w:type="dxa"/>
        <w:tblBorders>
          <w:top w:val="single" w:sz="4" w:space="0" w:color="EAF0F6"/>
          <w:left w:val="single" w:sz="4" w:space="0" w:color="EAF0F6"/>
          <w:bottom w:val="single" w:sz="4" w:space="0" w:color="EAF0F6"/>
          <w:right w:val="single" w:sz="4" w:space="0" w:color="EAF0F6"/>
          <w:insideH w:val="single" w:sz="4" w:space="0" w:color="EAF0F6"/>
          <w:insideV w:val="single" w:sz="4" w:space="0" w:color="EAF0F6"/>
        </w:tblBorders>
      </w:tblPr>
      <w:tblGrid>
        <w:gridCol w:w="9360"/>
      </w:tblGrid>
      <w:tr>
        <w:tc>
          <w:tcPr>
            <w:tcW w:type="dxa" w:w="9360"/>
            <w:vAlign w:val="center"/>
            <w:tcMar>
              <w:top w:w="100" w:type="dxa"/>
              <w:start w:w="120" w:type="dxa"/>
              <w:bottom w:w="100" w:type="dxa"/>
              <w:end w:w="120" w:type="dxa"/>
            </w:tcMar>
            <w:shd w:fill="EAF0F6"/>
          </w:tcPr>
          <w:p>
            <w:pPr>
              <w:keepNext w:val="0"/>
              <w:widowControl/>
              <w:spacing w:before="0" w:after="0" w:line="312" w:lineRule="auto"/>
              <w:jc w:val="left"/>
            </w:pPr>
            <w:r>
              <w:rPr>
                <w:rFonts w:ascii="Arial" w:hAnsi="Arial" w:eastAsia="黑体"/>
                <w:b/>
                <w:color w:val="17324D"/>
                <w:sz w:val="22"/>
              </w:rPr>
              <w:t xml:space="preserve">数据契约  </w:t>
            </w:r>
            <w:r>
              <w:rPr>
                <w:rFonts w:ascii="Times New Roman" w:hAnsi="Times New Roman" w:eastAsia="宋体"/>
                <w:color w:val="17324D"/>
                <w:sz w:val="21"/>
              </w:rPr>
              <w:t>最小可信单元 =（规范实体，关系，规范实体）+ paper_id + section/sentence/char span + extraction version + criticisms + judge score + status。裸三元组不能直接进入正式图谱。</w:t>
            </w:r>
          </w:p>
        </w:tc>
      </w:tr>
    </w:tbl>
    <w:p>
      <w:pPr>
        <w:pStyle w:val="Heading1"/>
        <w:keepNext/>
        <w:pageBreakBefore/>
        <w:spacing w:before="320" w:after="180"/>
      </w:pPr>
      <w:r>
        <w:rPr>
          <w:rFonts w:ascii="Arial" w:hAnsi="Arial" w:eastAsia="黑体"/>
          <w:b/>
          <w:color w:val="075E59"/>
          <w:sz w:val="36"/>
        </w:rPr>
        <w:t>第四章 核心方法：论文知识抽取与可信建图</w:t>
      </w:r>
    </w:p>
    <w:p>
      <w:pPr>
        <w:pStyle w:val="Heading2"/>
        <w:keepNext/>
        <w:spacing w:before="240" w:after="120"/>
      </w:pPr>
      <w:r>
        <w:rPr>
          <w:rFonts w:ascii="Arial" w:hAnsi="Arial" w:eastAsia="黑体"/>
          <w:b/>
          <w:color w:val="17324D"/>
          <w:sz w:val="28"/>
        </w:rPr>
        <w:t>4.1 文档结构解析</w:t>
      </w:r>
    </w:p>
    <w:p>
      <w:pPr>
        <w:keepNext w:val="0"/>
        <w:widowControl/>
        <w:spacing w:before="0" w:after="120" w:line="360" w:lineRule="auto"/>
        <w:ind w:firstLine="480"/>
        <w:jc w:val="both"/>
      </w:pPr>
      <w:r>
        <w:rPr>
          <w:rFonts w:ascii="Times New Roman" w:hAnsi="Times New Roman" w:eastAsia="宋体"/>
          <w:color w:val="243238"/>
          <w:sz w:val="24"/>
        </w:rPr>
        <w:t>当前 Demo 使用可复现的 PlainText/知识卡适配器，保留论文标识、标题、年份、章节、句子和字符偏移；对于正式全文路线，计划以 Docling 解析版面、阅读顺序、表格和公式，以 GROBID 的 TEI XML 强化作者、引文和参考文献链接。扫描件需启用 OCR 并记录 OCR 置信度。解析器版本、schema 版本和原文件哈希被视为图谱来源的一部分。</w:t>
      </w:r>
    </w:p>
    <w:p>
      <w:pPr>
        <w:pStyle w:val="Heading2"/>
        <w:keepNext/>
        <w:spacing w:before="240" w:after="120"/>
      </w:pPr>
      <w:r>
        <w:rPr>
          <w:rFonts w:ascii="Arial" w:hAnsi="Arial" w:eastAsia="黑体"/>
          <w:b/>
          <w:color w:val="17324D"/>
          <w:sz w:val="28"/>
        </w:rPr>
        <w:t>4.2 领域本体与 schema 约束</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600"/>
        <w:gridCol w:w="2700"/>
        <w:gridCol w:w="1900"/>
        <w:gridCol w:w="3160"/>
      </w:tblGrid>
      <w:tr>
        <w:trPr>
          <w:tblHeader w:val="true"/>
        </w:trPr>
        <w:tc>
          <w:tcPr>
            <w:tcW w:type="dxa" w:w="1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实体类型</w:t>
            </w:r>
          </w:p>
        </w:tc>
        <w:tc>
          <w:tcPr>
            <w:tcW w:type="dxa" w:w="27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示例</w:t>
            </w:r>
          </w:p>
        </w:tc>
        <w:tc>
          <w:tcPr>
            <w:tcW w:type="dxa" w:w="19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关系类型</w:t>
            </w:r>
          </w:p>
        </w:tc>
        <w:tc>
          <w:tcPr>
            <w:tcW w:type="dxa" w:w="31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约束示例</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METHOD</w:t>
            </w:r>
          </w:p>
        </w:tc>
        <w:tc>
          <w:tcPr>
            <w:tcW w:type="dxa" w:w="2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GraphRAG、GLiNER、CGCNN</w:t>
            </w:r>
          </w:p>
        </w:tc>
        <w:tc>
          <w:tcPr>
            <w:tcW w:type="dxa" w:w="19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USES / EXTENDS</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METHOD → METHOD</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TASK</w:t>
            </w:r>
          </w:p>
        </w:tc>
        <w:tc>
          <w:tcPr>
            <w:tcW w:type="dxa" w:w="2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文档级关系抽取、知识追踪</w:t>
            </w:r>
          </w:p>
        </w:tc>
        <w:tc>
          <w:tcPr>
            <w:tcW w:type="dxa" w:w="19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ADDRESSES</w:t>
            </w:r>
          </w:p>
        </w:tc>
        <w:tc>
          <w:tcPr>
            <w:tcW w:type="dxa" w:w="3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METHOD → TASK</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DATASET</w:t>
            </w:r>
          </w:p>
        </w:tc>
        <w:tc>
          <w:tcPr>
            <w:tcW w:type="dxa" w:w="2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SciREX、EdNet</w:t>
            </w:r>
          </w:p>
        </w:tc>
        <w:tc>
          <w:tcPr>
            <w:tcW w:type="dxa" w:w="19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EVALUATES_ON</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METHOD → DATASET</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METRIC</w:t>
            </w:r>
          </w:p>
        </w:tc>
        <w:tc>
          <w:tcPr>
            <w:tcW w:type="dxa" w:w="2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F1、证据命中率</w:t>
            </w:r>
          </w:p>
        </w:tc>
        <w:tc>
          <w:tcPr>
            <w:tcW w:type="dxa" w:w="19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REPORTS</w:t>
            </w:r>
          </w:p>
        </w:tc>
        <w:tc>
          <w:tcPr>
            <w:tcW w:type="dxa" w:w="3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实验/数据集 → METRIC</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FINDING / LIMITATION</w:t>
            </w:r>
          </w:p>
        </w:tc>
        <w:tc>
          <w:tcPr>
            <w:tcW w:type="dxa" w:w="2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OOD 下降、标注噪声</w:t>
            </w:r>
          </w:p>
        </w:tc>
        <w:tc>
          <w:tcPr>
            <w:tcW w:type="dxa" w:w="19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SUPPORTS / CONTRADICTS</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主张 ↔ 发现</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DOMAIN</w:t>
            </w:r>
          </w:p>
        </w:tc>
        <w:tc>
          <w:tcPr>
            <w:tcW w:type="dxa" w:w="2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NLP、材料、教育</w:t>
            </w:r>
          </w:p>
        </w:tc>
        <w:tc>
          <w:tcPr>
            <w:tcW w:type="dxa" w:w="19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RELATED_TO</w:t>
            </w:r>
          </w:p>
        </w:tc>
        <w:tc>
          <w:tcPr>
            <w:tcW w:type="dxa" w:w="3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默认 needs_review</w:t>
            </w:r>
          </w:p>
        </w:tc>
      </w:tr>
    </w:tbl>
    <w:p>
      <w:pPr>
        <w:spacing w:after="20"/>
      </w:pPr>
    </w:p>
    <w:p>
      <w:pPr>
        <w:pStyle w:val="Heading2"/>
        <w:keepNext/>
        <w:spacing w:before="240" w:after="120"/>
      </w:pPr>
      <w:r>
        <w:rPr>
          <w:rFonts w:ascii="Arial" w:hAnsi="Arial" w:eastAsia="黑体"/>
          <w:b/>
          <w:color w:val="17324D"/>
          <w:sz w:val="28"/>
        </w:rPr>
        <w:t>4.3 候选实体、关系与证据跨度</w:t>
      </w:r>
    </w:p>
    <w:p>
      <w:pPr>
        <w:keepNext w:val="0"/>
        <w:widowControl/>
        <w:spacing w:before="0" w:after="120" w:line="360" w:lineRule="auto"/>
        <w:ind w:firstLine="480"/>
        <w:jc w:val="both"/>
      </w:pPr>
      <w:r>
        <w:rPr>
          <w:rFonts w:ascii="Times New Roman" w:hAnsi="Times New Roman" w:eastAsia="宋体"/>
          <w:color w:val="243238"/>
          <w:sz w:val="24"/>
        </w:rPr>
        <w:t>当前候选器由版本化词典、别名规则和触发模式构成，优势是可解释、无外部模型依赖和现场稳定；它是工程下限，不代表最终模型。下一阶段采用三路候选并集：高精度规则路、SciBERT/DeepKE/OneKE 监督路、GLiNER/GLiREL 或结构化 LLM 低资源路。所有候选必须绑定章节、句子、字符起止位置和 paper_id。未取得全文的元数据记录只能参与书目检索，代码会将其排除在证据图和关系抽取之外。</w:t>
      </w:r>
    </w:p>
    <w:p>
      <w:pPr>
        <w:pStyle w:val="Heading2"/>
        <w:keepNext/>
        <w:spacing w:before="240" w:after="120"/>
      </w:pPr>
      <w:r>
        <w:rPr>
          <w:rFonts w:ascii="Arial" w:hAnsi="Arial" w:eastAsia="黑体"/>
          <w:b/>
          <w:color w:val="17324D"/>
          <w:sz w:val="28"/>
        </w:rPr>
        <w:t>4.4 实体规范化与跨论文融合</w:t>
      </w:r>
    </w:p>
    <w:p>
      <w:pPr>
        <w:keepNext w:val="0"/>
        <w:widowControl/>
        <w:spacing w:before="0" w:after="120" w:line="360" w:lineRule="auto"/>
        <w:ind w:firstLine="480"/>
        <w:jc w:val="both"/>
      </w:pPr>
      <w:r>
        <w:rPr>
          <w:rFonts w:ascii="Times New Roman" w:hAnsi="Times New Roman" w:eastAsia="宋体"/>
          <w:color w:val="243238"/>
          <w:sz w:val="24"/>
        </w:rPr>
        <w:t>实体融合依次执行 Unicode 与大小写规范化、连字符处理、缩写展开、别名精确匹配和类型兼容检查。正式版本将增加向量召回与交叉编码器重排，并引入邻接结构、作者、时间和版本特征。低于阈值的候选不会被强制合并，而是保留为独立实体进入人工复核；合并操作必须可撤销并记录前后值。</w:t>
      </w:r>
    </w:p>
    <w:p>
      <w:pPr>
        <w:pStyle w:val="Heading2"/>
        <w:keepNext/>
        <w:spacing w:before="240" w:after="120"/>
      </w:pPr>
      <w:r>
        <w:rPr>
          <w:rFonts w:ascii="Arial" w:hAnsi="Arial" w:eastAsia="黑体"/>
          <w:b/>
          <w:color w:val="17324D"/>
          <w:sz w:val="28"/>
        </w:rPr>
        <w:t>4.5 提出者—批判者—裁判的博弈式校验</w:t>
      </w:r>
    </w:p>
    <w:p>
      <w:pPr>
        <w:numPr>
          <w:ilvl w:val="0"/>
          <w:numId w:val="10"/>
        </w:numPr>
        <w:spacing w:after="80" w:line="324" w:lineRule="auto"/>
        <w:ind w:left="510" w:hanging="255"/>
      </w:pPr>
      <w:r>
        <w:rPr>
          <w:rFonts w:ascii="Times New Roman" w:hAnsi="Times New Roman" w:eastAsia="宋体"/>
          <w:color w:val="243238"/>
          <w:sz w:val="23"/>
        </w:rPr>
        <w:t>提出者读取抽取图谱和 schema，形成带来源、类型、候选置信度和 proposal_reason 的命题。</w:t>
      </w:r>
    </w:p>
    <w:p>
      <w:pPr>
        <w:numPr>
          <w:ilvl w:val="0"/>
          <w:numId w:val="10"/>
        </w:numPr>
        <w:spacing w:after="80" w:line="324" w:lineRule="auto"/>
        <w:ind w:left="510" w:hanging="255"/>
      </w:pPr>
      <w:r>
        <w:rPr>
          <w:rFonts w:ascii="Times New Roman" w:hAnsi="Times New Roman" w:eastAsia="宋体"/>
          <w:color w:val="243238"/>
          <w:sz w:val="23"/>
        </w:rPr>
        <w:t>批判者验证 evidence_id、证据语义、实体端点、类型方向、绝对化措辞和单来源风险，并写入 criticisms。</w:t>
      </w:r>
    </w:p>
    <w:p>
      <w:pPr>
        <w:numPr>
          <w:ilvl w:val="0"/>
          <w:numId w:val="10"/>
        </w:numPr>
        <w:spacing w:after="80" w:line="324" w:lineRule="auto"/>
        <w:ind w:left="510" w:hanging="255"/>
      </w:pPr>
      <w:r>
        <w:rPr>
          <w:rFonts w:ascii="Times New Roman" w:hAnsi="Times New Roman" w:eastAsia="宋体"/>
          <w:color w:val="243238"/>
          <w:sz w:val="23"/>
        </w:rPr>
        <w:t>裁判结合基础分、证据奖励、交叉来源奖励与风险惩罚生成 judge_score，输出 accepted、needs_review 或 rejected。</w:t>
      </w:r>
    </w:p>
    <w:p>
      <w:pPr>
        <w:numPr>
          <w:ilvl w:val="0"/>
          <w:numId w:val="10"/>
        </w:numPr>
        <w:spacing w:after="80" w:line="324" w:lineRule="auto"/>
        <w:ind w:left="510" w:hanging="255"/>
      </w:pPr>
      <w:r>
        <w:rPr>
          <w:rFonts w:ascii="Times New Roman" w:hAnsi="Times New Roman" w:eastAsia="宋体"/>
          <w:color w:val="243238"/>
          <w:sz w:val="23"/>
        </w:rPr>
        <w:t>只有 accepted 关系进入下游资源；needs_review 保留给人工审查，rejected 不进入正式概念图。</w:t>
      </w:r>
    </w:p>
    <w:p>
      <w:pPr>
        <w:pStyle w:val="Heading2"/>
        <w:keepNext/>
        <w:spacing w:before="240" w:after="120"/>
      </w:pPr>
      <w:r>
        <w:rPr>
          <w:rFonts w:ascii="Arial" w:hAnsi="Arial" w:eastAsia="黑体"/>
          <w:b/>
          <w:color w:val="17324D"/>
          <w:sz w:val="28"/>
        </w:rPr>
        <w:t>4.6 图融合、社区与增量状态</w:t>
      </w:r>
    </w:p>
    <w:p>
      <w:pPr>
        <w:keepNext w:val="0"/>
        <w:widowControl/>
        <w:spacing w:before="0" w:after="120" w:line="360" w:lineRule="auto"/>
        <w:ind w:firstLine="480"/>
        <w:jc w:val="both"/>
      </w:pPr>
      <w:r>
        <w:rPr>
          <w:rFonts w:ascii="Times New Roman" w:hAnsi="Times New Roman" w:eastAsia="宋体"/>
          <w:color w:val="243238"/>
          <w:sz w:val="24"/>
        </w:rPr>
        <w:t>关系状态按 raw → proposed → reviewed → accepted 迁移。重复关系聚合证据但不覆盖来源，互相冲突的发现可通过 CONTRADICTS 并存。图谱保存首次出现、最近更新、论文发表时间、数据/解析/schema 版本和自动/人工决策。当前以连通分量形成可复现社区，正式版将比较 Leiden 分层社区和社区摘要。</w:t>
      </w:r>
    </w:p>
    <w:p>
      <w:pPr>
        <w:pStyle w:val="Heading2"/>
        <w:keepNext/>
        <w:spacing w:before="240" w:after="120"/>
      </w:pPr>
      <w:r>
        <w:rPr>
          <w:rFonts w:ascii="Arial" w:hAnsi="Arial" w:eastAsia="黑体"/>
          <w:b/>
          <w:color w:val="17324D"/>
          <w:sz w:val="28"/>
        </w:rPr>
        <w:t>4.7 当前证据图规模</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2800"/>
        <w:gridCol w:w="1200"/>
        <w:gridCol w:w="1200"/>
        <w:gridCol w:w="1400"/>
        <w:gridCol w:w="1300"/>
        <w:gridCol w:w="1460"/>
      </w:tblGrid>
      <w:tr>
        <w:trPr>
          <w:tblHeader w:val="true"/>
        </w:trPr>
        <w:tc>
          <w:tcPr>
            <w:tcW w:type="dxa" w:w="28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领域</w:t>
            </w:r>
          </w:p>
        </w:tc>
        <w:tc>
          <w:tcPr>
            <w:tcW w:type="dxa" w:w="12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收录论文</w:t>
            </w:r>
          </w:p>
        </w:tc>
        <w:tc>
          <w:tcPr>
            <w:tcW w:type="dxa" w:w="12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证据卡</w:t>
            </w:r>
          </w:p>
        </w:tc>
        <w:tc>
          <w:tcPr>
            <w:tcW w:type="dxa" w:w="14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证据跨度</w:t>
            </w:r>
          </w:p>
        </w:tc>
        <w:tc>
          <w:tcPr>
            <w:tcW w:type="dxa" w:w="13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规范实体</w:t>
            </w:r>
          </w:p>
        </w:tc>
        <w:tc>
          <w:tcPr>
            <w:tcW w:type="dxa" w:w="14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候选关系</w:t>
            </w:r>
          </w:p>
        </w:tc>
      </w:tr>
      <w:tr>
        <w:tc>
          <w:tcPr>
            <w:tcW w:type="dxa" w:w="28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科学文献信息抽取与知识图谱构建</w:t>
            </w:r>
          </w:p>
        </w:tc>
        <w:tc>
          <w:tcPr>
            <w:tcW w:type="dxa" w:w="1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30</w:t>
            </w:r>
          </w:p>
        </w:tc>
        <w:tc>
          <w:tcPr>
            <w:tcW w:type="dxa" w:w="1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8</w:t>
            </w:r>
          </w:p>
        </w:tc>
        <w:tc>
          <w:tcPr>
            <w:tcW w:type="dxa" w:w="14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47</w:t>
            </w:r>
          </w:p>
        </w:tc>
        <w:tc>
          <w:tcPr>
            <w:tcW w:type="dxa" w:w="1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31</w:t>
            </w:r>
          </w:p>
        </w:tc>
        <w:tc>
          <w:tcPr>
            <w:tcW w:type="dxa" w:w="14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40</w:t>
            </w:r>
          </w:p>
        </w:tc>
      </w:tr>
      <w:tr>
        <w:tc>
          <w:tcPr>
            <w:tcW w:type="dxa" w:w="28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材料发现与图神经网络</w:t>
            </w:r>
          </w:p>
        </w:tc>
        <w:tc>
          <w:tcPr>
            <w:tcW w:type="dxa" w:w="1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30</w:t>
            </w:r>
          </w:p>
        </w:tc>
        <w:tc>
          <w:tcPr>
            <w:tcW w:type="dxa" w:w="1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5</w:t>
            </w:r>
          </w:p>
        </w:tc>
        <w:tc>
          <w:tcPr>
            <w:tcW w:type="dxa" w:w="14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28</w:t>
            </w:r>
          </w:p>
        </w:tc>
        <w:tc>
          <w:tcPr>
            <w:tcW w:type="dxa" w:w="1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17</w:t>
            </w:r>
          </w:p>
        </w:tc>
        <w:tc>
          <w:tcPr>
            <w:tcW w:type="dxa" w:w="14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24</w:t>
            </w:r>
          </w:p>
        </w:tc>
      </w:tr>
      <w:tr>
        <w:tc>
          <w:tcPr>
            <w:tcW w:type="dxa" w:w="28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教育知识追踪与个性化学习</w:t>
            </w:r>
          </w:p>
        </w:tc>
        <w:tc>
          <w:tcPr>
            <w:tcW w:type="dxa" w:w="1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30</w:t>
            </w:r>
          </w:p>
        </w:tc>
        <w:tc>
          <w:tcPr>
            <w:tcW w:type="dxa" w:w="1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6</w:t>
            </w:r>
          </w:p>
        </w:tc>
        <w:tc>
          <w:tcPr>
            <w:tcW w:type="dxa" w:w="14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33</w:t>
            </w:r>
          </w:p>
        </w:tc>
        <w:tc>
          <w:tcPr>
            <w:tcW w:type="dxa" w:w="1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18</w:t>
            </w:r>
          </w:p>
        </w:tc>
        <w:tc>
          <w:tcPr>
            <w:tcW w:type="dxa" w:w="14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27</w:t>
            </w:r>
          </w:p>
        </w:tc>
      </w:tr>
      <w:tr>
        <w:tc>
          <w:tcPr>
            <w:tcW w:type="dxa" w:w="28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合计</w:t>
            </w:r>
          </w:p>
        </w:tc>
        <w:tc>
          <w:tcPr>
            <w:tcW w:type="dxa" w:w="1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90</w:t>
            </w:r>
          </w:p>
        </w:tc>
        <w:tc>
          <w:tcPr>
            <w:tcW w:type="dxa" w:w="1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19</w:t>
            </w:r>
          </w:p>
        </w:tc>
        <w:tc>
          <w:tcPr>
            <w:tcW w:type="dxa" w:w="14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108</w:t>
            </w:r>
          </w:p>
        </w:tc>
        <w:tc>
          <w:tcPr>
            <w:tcW w:type="dxa" w:w="1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66</w:t>
            </w:r>
          </w:p>
        </w:tc>
        <w:tc>
          <w:tcPr>
            <w:tcW w:type="dxa" w:w="14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91</w:t>
            </w:r>
          </w:p>
        </w:tc>
      </w:tr>
    </w:tbl>
    <w:p>
      <w:pPr>
        <w:spacing w:after="20"/>
      </w:pPr>
    </w:p>
    <w:tbl>
      <w:tblPr>
        <w:tblW w:type="dxa" w:w="9360"/>
        <w:jc w:val="center"/>
        <w:tblLayout w:type="fixed"/>
        <w:tblLook w:firstColumn="1" w:firstRow="1" w:lastColumn="0" w:lastRow="0" w:noHBand="0" w:noVBand="1" w:val="04A0"/>
        <w:tblInd w:w="120" w:type="dxa"/>
        <w:tblBorders>
          <w:top w:val="single" w:sz="4" w:space="0" w:color="FCE9E5"/>
          <w:left w:val="single" w:sz="4" w:space="0" w:color="FCE9E5"/>
          <w:bottom w:val="single" w:sz="4" w:space="0" w:color="FCE9E5"/>
          <w:right w:val="single" w:sz="4" w:space="0" w:color="FCE9E5"/>
          <w:insideH w:val="single" w:sz="4" w:space="0" w:color="FCE9E5"/>
          <w:insideV w:val="single" w:sz="4" w:space="0" w:color="FCE9E5"/>
        </w:tblBorders>
      </w:tblPr>
      <w:tblGrid>
        <w:gridCol w:w="9360"/>
      </w:tblGrid>
      <w:tr>
        <w:tc>
          <w:tcPr>
            <w:tcW w:type="dxa" w:w="9360"/>
            <w:vAlign w:val="center"/>
            <w:tcMar>
              <w:top w:w="100" w:type="dxa"/>
              <w:start w:w="120" w:type="dxa"/>
              <w:bottom w:w="100" w:type="dxa"/>
              <w:end w:w="120" w:type="dxa"/>
            </w:tcMar>
            <w:shd w:fill="FCE9E5"/>
          </w:tcPr>
          <w:p>
            <w:pPr>
              <w:keepNext w:val="0"/>
              <w:widowControl/>
              <w:spacing w:before="0" w:after="0" w:line="312" w:lineRule="auto"/>
              <w:jc w:val="left"/>
            </w:pPr>
            <w:r>
              <w:rPr>
                <w:rFonts w:ascii="Arial" w:hAnsi="Arial" w:eastAsia="黑体"/>
                <w:b/>
                <w:color w:val="A54737"/>
                <w:sz w:val="22"/>
              </w:rPr>
              <w:t xml:space="preserve">重要边界  </w:t>
            </w:r>
            <w:r>
              <w:rPr>
                <w:rFonts w:ascii="Times New Roman" w:hAnsi="Times New Roman" w:eastAsia="宋体"/>
                <w:color w:val="A54737"/>
                <w:sz w:val="21"/>
              </w:rPr>
              <w:t>91 条是进入裁决流程的候选关系，不等于 91 条均被领域专家判真；100% 证据绑定只表示候选存在有效本地证据跨度，不等于关系正确率为 100%。</w:t>
            </w:r>
          </w:p>
        </w:tc>
      </w:tr>
    </w:tbl>
    <w:p>
      <w:pPr>
        <w:pStyle w:val="Heading1"/>
        <w:keepNext/>
        <w:spacing w:before="320" w:after="180"/>
      </w:pPr>
      <w:r>
        <w:rPr>
          <w:rFonts w:ascii="Arial" w:hAnsi="Arial" w:eastAsia="黑体"/>
          <w:b/>
          <w:color w:val="075E59"/>
          <w:sz w:val="36"/>
        </w:rPr>
        <w:t>第五章 意图驱动 GraphRAG 与个性化生成</w:t>
      </w:r>
    </w:p>
    <w:p>
      <w:pPr>
        <w:pStyle w:val="Heading2"/>
        <w:keepNext/>
        <w:spacing w:before="240" w:after="120"/>
      </w:pPr>
      <w:r>
        <w:rPr>
          <w:rFonts w:ascii="Arial" w:hAnsi="Arial" w:eastAsia="黑体"/>
          <w:b/>
          <w:color w:val="17324D"/>
          <w:sz w:val="28"/>
        </w:rPr>
        <w:t>5.1 为什么检索、分析和 Idea 不能共用同一路线</w:t>
      </w:r>
    </w:p>
    <w:p>
      <w:pPr>
        <w:keepNext w:val="0"/>
        <w:widowControl/>
        <w:spacing w:before="0" w:after="120" w:line="360" w:lineRule="auto"/>
        <w:ind w:firstLine="480"/>
        <w:jc w:val="both"/>
      </w:pPr>
      <w:r>
        <w:rPr>
          <w:rFonts w:ascii="Times New Roman" w:hAnsi="Times New Roman" w:eastAsia="宋体"/>
          <w:color w:val="243238"/>
          <w:sz w:val="24"/>
        </w:rPr>
        <w:t>信息检索强调覆盖与多样性，机制分析强调少量可信多跳路径，Idea 发现则需要从全局社区进入局部关系并识别缺失边。统一检索器容易在三类目标之间折中失衡，因此系统先识别用户意图，再选择图算法和上下文预算。</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500"/>
        <w:gridCol w:w="1700"/>
        <w:gridCol w:w="3600"/>
        <w:gridCol w:w="2560"/>
      </w:tblGrid>
      <w:tr>
        <w:trPr>
          <w:tblHeader w:val="true"/>
        </w:trPr>
        <w:tc>
          <w:tcPr>
            <w:tcW w:type="dxa" w:w="15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意图</w:t>
            </w:r>
          </w:p>
        </w:tc>
        <w:tc>
          <w:tcPr>
            <w:tcW w:type="dxa" w:w="17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路由</w:t>
            </w:r>
          </w:p>
        </w:tc>
        <w:tc>
          <w:tcPr>
            <w:tcW w:type="dxa" w:w="3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核心策略</w:t>
            </w:r>
          </w:p>
        </w:tc>
        <w:tc>
          <w:tcPr>
            <w:tcW w:type="dxa" w:w="25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主要输出</w:t>
            </w:r>
          </w:p>
        </w:tc>
      </w:tr>
      <w:tr>
        <w:tc>
          <w:tcPr>
            <w:tcW w:type="dxa" w:w="15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文献检索</w:t>
            </w:r>
          </w:p>
        </w:tc>
        <w:tc>
          <w:tcPr>
            <w:tcW w:type="dxa" w:w="1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graph_breadth</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多种子 BFS 展开两层，按证据聚合论文</w:t>
            </w:r>
          </w:p>
        </w:tc>
        <w:tc>
          <w:tcPr>
            <w:tcW w:type="dxa" w:w="25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推荐论文、命中概念、覆盖范围</w:t>
            </w:r>
          </w:p>
        </w:tc>
      </w:tr>
      <w:tr>
        <w:tc>
          <w:tcPr>
            <w:tcW w:type="dxa" w:w="15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分析推理</w:t>
            </w:r>
          </w:p>
        </w:tc>
        <w:tc>
          <w:tcPr>
            <w:tcW w:type="dxa" w:w="1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graph_depth</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锚定实体，搜索最多三跳可信路径</w:t>
            </w:r>
          </w:p>
        </w:tc>
        <w:tc>
          <w:tcPr>
            <w:tcW w:type="dxa" w:w="25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可审计 triples、relation IDs、evidence IDs</w:t>
            </w:r>
          </w:p>
        </w:tc>
      </w:tr>
      <w:tr>
        <w:tc>
          <w:tcPr>
            <w:tcW w:type="dxa" w:w="15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Idea 发现</w:t>
            </w:r>
          </w:p>
        </w:tc>
        <w:tc>
          <w:tcPr>
            <w:tcW w:type="dxa" w:w="1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hybrid_drift</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社区 primer + 局部深挖 + 缺失边检测</w:t>
            </w:r>
          </w:p>
        </w:tc>
        <w:tc>
          <w:tcPr>
            <w:tcW w:type="dxa" w:w="25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待验证假设、证据来源、后续问题</w:t>
            </w:r>
          </w:p>
        </w:tc>
      </w:tr>
    </w:tbl>
    <w:p>
      <w:pPr>
        <w:spacing w:after="20"/>
      </w:pPr>
    </w:p>
    <w:p>
      <w:pPr>
        <w:pStyle w:val="Heading2"/>
        <w:keepNext/>
        <w:spacing w:before="240" w:after="120"/>
      </w:pPr>
      <w:r>
        <w:rPr>
          <w:rFonts w:ascii="Arial" w:hAnsi="Arial" w:eastAsia="黑体"/>
          <w:b/>
          <w:color w:val="17324D"/>
          <w:sz w:val="28"/>
        </w:rPr>
        <w:t>5.2 用户意图感知 Agent</w:t>
      </w:r>
    </w:p>
    <w:p>
      <w:pPr>
        <w:keepNext w:val="0"/>
        <w:widowControl/>
        <w:spacing w:before="0" w:after="120" w:line="360" w:lineRule="auto"/>
        <w:ind w:firstLine="480"/>
        <w:jc w:val="both"/>
      </w:pPr>
      <w:r>
        <w:rPr>
          <w:rFonts w:ascii="Times New Roman" w:hAnsi="Times New Roman" w:eastAsia="宋体"/>
          <w:color w:val="243238"/>
          <w:sz w:val="24"/>
        </w:rPr>
        <w:t>当前版本采用可解释的多标签词法路由，输出 primary_intent、secondary_intents、confidence、matched_signals 和 score_breakdown。其目的不是假装使用复杂模型，而是建立可测契约。下一阶段可使用 Qwen2.5-3B-Instruct 结构化分类或 bge-m3 向量路由，并在独立标注意图集上报告 macro-F1、route accuracy、ECE 和 fallback rate。</w:t>
      </w:r>
    </w:p>
    <w:p>
      <w:pPr>
        <w:pStyle w:val="Heading2"/>
        <w:keepNext/>
        <w:spacing w:before="240" w:after="120"/>
      </w:pPr>
      <w:r>
        <w:rPr>
          <w:rFonts w:ascii="Arial" w:hAnsi="Arial" w:eastAsia="黑体"/>
          <w:b/>
          <w:color w:val="17324D"/>
          <w:sz w:val="28"/>
        </w:rPr>
        <w:t>5.3 图谱辅助理解技术脉络</w:t>
      </w:r>
    </w:p>
    <w:p>
      <w:pPr>
        <w:keepNext w:val="0"/>
        <w:widowControl/>
        <w:spacing w:before="0" w:after="120" w:line="360" w:lineRule="auto"/>
        <w:ind w:firstLine="480"/>
        <w:jc w:val="both"/>
      </w:pPr>
      <w:r>
        <w:rPr>
          <w:rFonts w:ascii="Times New Roman" w:hAnsi="Times New Roman" w:eastAsia="宋体"/>
          <w:color w:val="243238"/>
          <w:sz w:val="24"/>
        </w:rPr>
        <w:t>系统按照论文年份、实体关系和来源证据生成技术演化时间线。例如，科学信息抽取领域可把 span 联合抽取、全文文档级关系、文本—表格联合抽取、开放类型实体/关系抽取组织为带论文依据的路径。图谱不只显示“论文引用论文”，而是显示“方法解决任务、方法使用机制、方法在哪个数据集上评价、论文报告什么结果”。</w:t>
      </w:r>
    </w:p>
    <w:p>
      <w:pPr>
        <w:pStyle w:val="Heading2"/>
        <w:keepNext/>
        <w:spacing w:before="240" w:after="120"/>
      </w:pPr>
      <w:r>
        <w:rPr>
          <w:rFonts w:ascii="Arial" w:hAnsi="Arial" w:eastAsia="黑体"/>
          <w:b/>
          <w:color w:val="17324D"/>
          <w:sz w:val="28"/>
        </w:rPr>
        <w:t>5.4 图谱驱动 Idea</w:t>
      </w:r>
    </w:p>
    <w:p>
      <w:pPr>
        <w:keepNext w:val="0"/>
        <w:widowControl/>
        <w:spacing w:before="0" w:after="120" w:line="360" w:lineRule="auto"/>
        <w:ind w:firstLine="480"/>
        <w:jc w:val="both"/>
      </w:pPr>
      <w:r>
        <w:rPr>
          <w:rFonts w:ascii="Times New Roman" w:hAnsi="Times New Roman" w:eastAsia="宋体"/>
          <w:color w:val="243238"/>
          <w:sz w:val="24"/>
        </w:rPr>
        <w:t>Idea 模块从低交叉验证关系、缺失 EVALUATES_ON 边、跨领域弱连接和争议关系形成候选假设。每条 Idea 保存生成路径与 evidence_ids，并强制标注 novelty_status=unverified。系统只能说明“现有切片中缺少证据”或“值得进一步查证”，不能据此证明全球范围内的新颖性。正式版必须联网检索、查新并由专家评价可行性与新颖性。</w:t>
      </w:r>
    </w:p>
    <w:p>
      <w:pPr>
        <w:pStyle w:val="Heading2"/>
        <w:keepNext/>
        <w:spacing w:before="240" w:after="120"/>
      </w:pPr>
      <w:r>
        <w:rPr>
          <w:rFonts w:ascii="Arial" w:hAnsi="Arial" w:eastAsia="黑体"/>
          <w:b/>
          <w:color w:val="17324D"/>
          <w:sz w:val="28"/>
        </w:rPr>
        <w:t>5.5 个性化资源生成</w:t>
      </w:r>
    </w:p>
    <w:p>
      <w:pPr>
        <w:keepNext w:val="0"/>
        <w:widowControl/>
        <w:spacing w:before="0" w:after="120" w:line="360" w:lineRule="auto"/>
        <w:ind w:firstLine="480"/>
        <w:jc w:val="both"/>
      </w:pPr>
      <w:r>
        <w:rPr>
          <w:rFonts w:ascii="Times New Roman" w:hAnsi="Times New Roman" w:eastAsia="宋体"/>
          <w:color w:val="243238"/>
          <w:sz w:val="24"/>
        </w:rPr>
        <w:t>学习者画像包含目标、兴趣、知识分数、偏好、所需概念和预期难度。诊断服务计算准备度、盲点和目标难度，资源 Agent 只读取 accepted 关系和画像命中的证据，生成定制导读、复现实操与分阶测评。反馈“太难/合适/太简单”会调整下一轮目标难度和解释策略。当前画像为合成数据，避免处理真实学生隐私。</w:t>
      </w:r>
    </w:p>
    <w:p>
      <w:pPr>
        <w:pStyle w:val="Heading1"/>
        <w:keepNext/>
        <w:pageBreakBefore/>
        <w:spacing w:before="320" w:after="180"/>
      </w:pPr>
      <w:r>
        <w:rPr>
          <w:rFonts w:ascii="Arial" w:hAnsi="Arial" w:eastAsia="黑体"/>
          <w:b/>
          <w:color w:val="075E59"/>
          <w:sz w:val="36"/>
        </w:rPr>
        <w:t>第六章 系统设计、实现与使用</w:t>
      </w:r>
    </w:p>
    <w:p>
      <w:pPr>
        <w:pStyle w:val="Heading2"/>
        <w:keepNext/>
        <w:spacing w:before="240" w:after="120"/>
      </w:pPr>
      <w:r>
        <w:rPr>
          <w:rFonts w:ascii="Arial" w:hAnsi="Arial" w:eastAsia="黑体"/>
          <w:b/>
          <w:color w:val="17324D"/>
          <w:sz w:val="28"/>
        </w:rPr>
        <w:t>6.1 技术栈</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600"/>
        <w:gridCol w:w="3600"/>
        <w:gridCol w:w="4160"/>
      </w:tblGrid>
      <w:tr>
        <w:trPr>
          <w:tblHeader w:val="true"/>
        </w:trPr>
        <w:tc>
          <w:tcPr>
            <w:tcW w:type="dxa" w:w="1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层次</w:t>
            </w:r>
          </w:p>
        </w:tc>
        <w:tc>
          <w:tcPr>
            <w:tcW w:type="dxa" w:w="3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当前实现</w:t>
            </w:r>
          </w:p>
        </w:tc>
        <w:tc>
          <w:tcPr>
            <w:tcW w:type="dxa" w:w="41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选择理由</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前端</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HTML5 + CSS3 + 原生 JavaScript + SVG</w:t>
            </w:r>
          </w:p>
        </w:tc>
        <w:tc>
          <w:tcPr>
            <w:tcW w:type="dxa" w:w="4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零构建依赖，适合离线比赛演示</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后端</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Python 3.11+ 标准库 HTTP 服务</w:t>
            </w:r>
          </w:p>
        </w:tc>
        <w:tc>
          <w:tcPr>
            <w:tcW w:type="dxa" w:w="4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轻量、可打包、单进程稳定</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知识加工</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版本化 schema、规则抽取、实体融合、证据审计</w:t>
            </w:r>
          </w:p>
        </w:tc>
        <w:tc>
          <w:tcPr>
            <w:tcW w:type="dxa" w:w="4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形成可运行与可解释下限</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图检索</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GraphRAG-inspired BFS/多跳/混合路由</w:t>
            </w:r>
          </w:p>
        </w:tc>
        <w:tc>
          <w:tcPr>
            <w:tcW w:type="dxa" w:w="4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展示不同意图的图检索差异</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存储</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JSON + SQLite 导出</w:t>
            </w:r>
          </w:p>
        </w:tc>
        <w:tc>
          <w:tcPr>
            <w:tcW w:type="dxa" w:w="4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便于审计、复现和演示</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工程 Harness</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超时、幂等、熔断、有界并发、日志、健康探针</w:t>
            </w:r>
          </w:p>
        </w:tc>
        <w:tc>
          <w:tcPr>
            <w:tcW w:type="dxa" w:w="4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避免网络/并发导致 Demo 卡死</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交付</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Windows 双击脚本 + Docker Compose</w:t>
            </w:r>
          </w:p>
        </w:tc>
        <w:tc>
          <w:tcPr>
            <w:tcW w:type="dxa" w:w="4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接收者可本地复现</w:t>
            </w:r>
          </w:p>
        </w:tc>
      </w:tr>
    </w:tbl>
    <w:p>
      <w:pPr>
        <w:spacing w:after="20"/>
      </w:pPr>
    </w:p>
    <w:p>
      <w:pPr>
        <w:pStyle w:val="Heading2"/>
        <w:keepNext/>
        <w:spacing w:before="240" w:after="120"/>
      </w:pPr>
      <w:r>
        <w:rPr>
          <w:rFonts w:ascii="Arial" w:hAnsi="Arial" w:eastAsia="黑体"/>
          <w:b/>
          <w:color w:val="17324D"/>
          <w:sz w:val="28"/>
        </w:rPr>
        <w:t>6.2 后端可靠性设计</w:t>
      </w:r>
    </w:p>
    <w:p>
      <w:pPr>
        <w:pStyle w:val="ListBullet"/>
        <w:spacing w:after="80" w:line="324" w:lineRule="auto"/>
        <w:ind w:left="420" w:hanging="210"/>
      </w:pPr>
      <w:r>
        <w:rPr>
          <w:rFonts w:ascii="Times New Roman" w:hAnsi="Times New Roman" w:eastAsia="宋体"/>
          <w:color w:val="243238"/>
          <w:sz w:val="23"/>
        </w:rPr>
        <w:t>启动层：后台进程不长期占用调用端句柄，总启动截止默认 10 秒；健康请求单次最多等待 1 秒。</w:t>
      </w:r>
    </w:p>
    <w:p>
      <w:pPr>
        <w:pStyle w:val="ListBullet"/>
        <w:spacing w:after="80" w:line="324" w:lineRule="auto"/>
        <w:ind w:left="420" w:hanging="210"/>
      </w:pPr>
      <w:r>
        <w:rPr>
          <w:rFonts w:ascii="Times New Roman" w:hAnsi="Times New Roman" w:eastAsia="宋体"/>
          <w:color w:val="243238"/>
          <w:sz w:val="23"/>
        </w:rPr>
        <w:t>HTTP 层：限制请求体和字符编码，输出稳定错误结构；写请求使用 Idempotency-Key 防止重复运行。</w:t>
      </w:r>
    </w:p>
    <w:p>
      <w:pPr>
        <w:pStyle w:val="ListBullet"/>
        <w:spacing w:after="80" w:line="324" w:lineRule="auto"/>
        <w:ind w:left="420" w:hanging="210"/>
      </w:pPr>
      <w:r>
        <w:rPr>
          <w:rFonts w:ascii="Times New Roman" w:hAnsi="Times New Roman" w:eastAsia="宋体"/>
          <w:color w:val="243238"/>
          <w:sz w:val="23"/>
        </w:rPr>
        <w:t>任务层：有界 worker 与队列，过载返回 429，任务超时返回 504。</w:t>
      </w:r>
    </w:p>
    <w:p>
      <w:pPr>
        <w:pStyle w:val="ListBullet"/>
        <w:spacing w:after="80" w:line="324" w:lineRule="auto"/>
        <w:ind w:left="420" w:hanging="210"/>
      </w:pPr>
      <w:r>
        <w:rPr>
          <w:rFonts w:ascii="Times New Roman" w:hAnsi="Times New Roman" w:eastAsia="宋体"/>
          <w:color w:val="243238"/>
          <w:sz w:val="23"/>
        </w:rPr>
        <w:t>联网 RAG：有限重试、指数退避和 closed/open/half-open 熔断；失败时回退本地缓存。</w:t>
      </w:r>
    </w:p>
    <w:p>
      <w:pPr>
        <w:pStyle w:val="ListBullet"/>
        <w:spacing w:after="80" w:line="324" w:lineRule="auto"/>
        <w:ind w:left="420" w:hanging="210"/>
      </w:pPr>
      <w:r>
        <w:rPr>
          <w:rFonts w:ascii="Times New Roman" w:hAnsi="Times New Roman" w:eastAsia="宋体"/>
          <w:color w:val="243238"/>
          <w:sz w:val="23"/>
        </w:rPr>
        <w:t>可观测性：请求 ID、运行 ID、结构化日志、聚合指标和 append-only 运行日志。</w:t>
      </w:r>
    </w:p>
    <w:p>
      <w:pPr>
        <w:pStyle w:val="ListBullet"/>
        <w:spacing w:after="80" w:line="324" w:lineRule="auto"/>
        <w:ind w:left="420" w:hanging="210"/>
      </w:pPr>
      <w:r>
        <w:rPr>
          <w:rFonts w:ascii="Times New Roman" w:hAnsi="Times New Roman" w:eastAsia="宋体"/>
          <w:color w:val="243238"/>
          <w:sz w:val="23"/>
        </w:rPr>
        <w:t>安全边界：默认只绑定 127.0.0.1；非回环部署无 Token 时拒绝启动。</w:t>
      </w:r>
    </w:p>
    <w:p>
      <w:pPr>
        <w:pStyle w:val="Heading2"/>
        <w:keepNext/>
        <w:spacing w:before="240" w:after="120"/>
      </w:pPr>
      <w:r>
        <w:rPr>
          <w:rFonts w:ascii="Arial" w:hAnsi="Arial" w:eastAsia="黑体"/>
          <w:b/>
          <w:color w:val="17324D"/>
          <w:sz w:val="28"/>
        </w:rPr>
        <w:t>6.3 前端界面与演示路径</w:t>
      </w:r>
    </w:p>
    <w:p>
      <w:r>
        <w:drawing>
          <wp:inline xmlns:a="http://schemas.openxmlformats.org/drawingml/2006/main" xmlns:pic="http://schemas.openxmlformats.org/drawingml/2006/picture">
            <wp:extent cx="5472000" cy="6229595"/>
            <wp:docPr id="4" name="Picture 4"/>
            <wp:cNvGraphicFramePr>
              <a:graphicFrameLocks noChangeAspect="1"/>
            </wp:cNvGraphicFramePr>
            <a:graphic>
              <a:graphicData uri="http://schemas.openxmlformats.org/drawingml/2006/picture">
                <pic:pic>
                  <pic:nvPicPr>
                    <pic:cNvPr id="0" name="demo-home.png"/>
                    <pic:cNvPicPr/>
                  </pic:nvPicPr>
                  <pic:blipFill>
                    <a:blip r:embed="rId11"/>
                    <a:stretch>
                      <a:fillRect/>
                    </a:stretch>
                  </pic:blipFill>
                  <pic:spPr>
                    <a:xfrm>
                      <a:off x="0" y="0"/>
                      <a:ext cx="5472000" cy="6229595"/>
                    </a:xfrm>
                    <a:prstGeom prst="rect"/>
                  </pic:spPr>
                </pic:pic>
              </a:graphicData>
            </a:graphic>
          </wp:inline>
        </w:drawing>
      </w:r>
    </w:p>
    <w:p>
      <w:pPr>
        <w:keepNext w:val="0"/>
        <w:widowControl/>
        <w:spacing w:before="60" w:after="160" w:line="240" w:lineRule="auto"/>
        <w:jc w:val="center"/>
      </w:pPr>
      <w:r>
        <w:rPr>
          <w:rFonts w:ascii="Times New Roman" w:hAnsi="Times New Roman" w:eastAsia="宋体"/>
          <w:color w:val="66777C"/>
          <w:sz w:val="19"/>
        </w:rPr>
        <w:t>图 6-1 领域知识库与学习者画像选择界面</w:t>
      </w:r>
    </w:p>
    <w:p>
      <w:r>
        <w:drawing>
          <wp:inline xmlns:a="http://schemas.openxmlformats.org/drawingml/2006/main" xmlns:pic="http://schemas.openxmlformats.org/drawingml/2006/picture">
            <wp:extent cx="5472000" cy="5269112"/>
            <wp:docPr id="5" name="Picture 5"/>
            <wp:cNvGraphicFramePr>
              <a:graphicFrameLocks noChangeAspect="1"/>
            </wp:cNvGraphicFramePr>
            <a:graphic>
              <a:graphicData uri="http://schemas.openxmlformats.org/drawingml/2006/picture">
                <pic:pic>
                  <pic:nvPicPr>
                    <pic:cNvPr id="0" name="demo-results.png"/>
                    <pic:cNvPicPr/>
                  </pic:nvPicPr>
                  <pic:blipFill>
                    <a:blip r:embed="rId12"/>
                    <a:stretch>
                      <a:fillRect/>
                    </a:stretch>
                  </pic:blipFill>
                  <pic:spPr>
                    <a:xfrm>
                      <a:off x="0" y="0"/>
                      <a:ext cx="5472000" cy="5269112"/>
                    </a:xfrm>
                    <a:prstGeom prst="rect"/>
                  </pic:spPr>
                </pic:pic>
              </a:graphicData>
            </a:graphic>
          </wp:inline>
        </w:drawing>
      </w:r>
    </w:p>
    <w:p>
      <w:pPr>
        <w:keepNext w:val="0"/>
        <w:widowControl/>
        <w:spacing w:before="60" w:after="160" w:line="240" w:lineRule="auto"/>
        <w:jc w:val="center"/>
      </w:pPr>
      <w:r>
        <w:rPr>
          <w:rFonts w:ascii="Times New Roman" w:hAnsi="Times New Roman" w:eastAsia="宋体"/>
          <w:color w:val="66777C"/>
          <w:sz w:val="19"/>
        </w:rPr>
        <w:t>图 6-2 协同轨迹、图谱检索与消融结果界面</w:t>
      </w:r>
    </w:p>
    <w:p>
      <w:pPr>
        <w:pStyle w:val="Heading2"/>
        <w:keepNext/>
        <w:spacing w:before="240" w:after="120"/>
      </w:pPr>
      <w:r>
        <w:rPr>
          <w:rFonts w:ascii="Arial" w:hAnsi="Arial" w:eastAsia="黑体"/>
          <w:b/>
          <w:color w:val="17324D"/>
          <w:sz w:val="28"/>
        </w:rPr>
        <w:t>6.4 使用方式</w:t>
      </w:r>
    </w:p>
    <w:p>
      <w:pPr>
        <w:numPr>
          <w:ilvl w:val="0"/>
          <w:numId w:val="11"/>
        </w:numPr>
        <w:spacing w:after="80" w:line="324" w:lineRule="auto"/>
        <w:ind w:left="510" w:hanging="255"/>
      </w:pPr>
      <w:r>
        <w:rPr>
          <w:rFonts w:ascii="Times New Roman" w:hAnsi="Times New Roman" w:eastAsia="宋体"/>
          <w:color w:val="243238"/>
          <w:sz w:val="23"/>
        </w:rPr>
        <w:t>完整解压提交 ZIP，安装 Python 3.11 或更高版本并勾选 Add Python to PATH。</w:t>
      </w:r>
    </w:p>
    <w:p>
      <w:pPr>
        <w:numPr>
          <w:ilvl w:val="0"/>
          <w:numId w:val="11"/>
        </w:numPr>
        <w:spacing w:after="80" w:line="324" w:lineRule="auto"/>
        <w:ind w:left="510" w:hanging="255"/>
      </w:pPr>
      <w:r>
        <w:rPr>
          <w:rFonts w:ascii="Times New Roman" w:hAnsi="Times New Roman" w:eastAsia="宋体"/>
          <w:color w:val="243238"/>
          <w:sz w:val="23"/>
        </w:rPr>
        <w:t>双击 RUN_DEMO.bat；健康检查通过后访问 http://127.0.0.1:8765/。</w:t>
      </w:r>
    </w:p>
    <w:p>
      <w:pPr>
        <w:numPr>
          <w:ilvl w:val="0"/>
          <w:numId w:val="11"/>
        </w:numPr>
        <w:spacing w:after="80" w:line="324" w:lineRule="auto"/>
        <w:ind w:left="510" w:hanging="255"/>
      </w:pPr>
      <w:r>
        <w:rPr>
          <w:rFonts w:ascii="Times New Roman" w:hAnsi="Times New Roman" w:eastAsia="宋体"/>
          <w:color w:val="243238"/>
          <w:sz w:val="23"/>
        </w:rPr>
        <w:t>选择领域、学习者画像和研究任务，点击“启动协同推理”。</w:t>
      </w:r>
    </w:p>
    <w:p>
      <w:pPr>
        <w:numPr>
          <w:ilvl w:val="0"/>
          <w:numId w:val="11"/>
        </w:numPr>
        <w:spacing w:after="80" w:line="324" w:lineRule="auto"/>
        <w:ind w:left="510" w:hanging="255"/>
      </w:pPr>
      <w:r>
        <w:rPr>
          <w:rFonts w:ascii="Times New Roman" w:hAnsi="Times New Roman" w:eastAsia="宋体"/>
          <w:color w:val="243238"/>
          <w:sz w:val="23"/>
        </w:rPr>
        <w:t>依次查看知识抽取统计、意图路由、三智能体轨迹、证据图谱、消融与个性化资源。</w:t>
      </w:r>
    </w:p>
    <w:p>
      <w:pPr>
        <w:numPr>
          <w:ilvl w:val="0"/>
          <w:numId w:val="11"/>
        </w:numPr>
        <w:spacing w:after="80" w:line="324" w:lineRule="auto"/>
        <w:ind w:left="510" w:hanging="255"/>
      </w:pPr>
      <w:r>
        <w:rPr>
          <w:rFonts w:ascii="Times New Roman" w:hAnsi="Times New Roman" w:eastAsia="宋体"/>
          <w:color w:val="243238"/>
          <w:sz w:val="23"/>
        </w:rPr>
        <w:t>演示结束双击 STOP_DEMO.bat；若浏览器未自动打开，双击 OPEN_DEMO.url。</w:t>
      </w:r>
    </w:p>
    <w:tbl>
      <w:tblPr>
        <w:tblW w:type="dxa" w:w="9360"/>
        <w:jc w:val="center"/>
        <w:tblLayout w:type="fixed"/>
        <w:tblLook w:firstColumn="1" w:firstRow="1" w:lastColumn="0" w:lastRow="0" w:noHBand="0" w:noVBand="1" w:val="04A0"/>
        <w:tblInd w:w="120" w:type="dxa"/>
        <w:tblBorders>
          <w:top w:val="single" w:sz="4" w:space="0" w:color="FBF3DF"/>
          <w:left w:val="single" w:sz="4" w:space="0" w:color="FBF3DF"/>
          <w:bottom w:val="single" w:sz="4" w:space="0" w:color="FBF3DF"/>
          <w:right w:val="single" w:sz="4" w:space="0" w:color="FBF3DF"/>
          <w:insideH w:val="single" w:sz="4" w:space="0" w:color="FBF3DF"/>
          <w:insideV w:val="single" w:sz="4" w:space="0" w:color="FBF3DF"/>
        </w:tblBorders>
      </w:tblPr>
      <w:tblGrid>
        <w:gridCol w:w="9360"/>
      </w:tblGrid>
      <w:tr>
        <w:tc>
          <w:tcPr>
            <w:tcW w:type="dxa" w:w="9360"/>
            <w:vAlign w:val="center"/>
            <w:tcMar>
              <w:top w:w="100" w:type="dxa"/>
              <w:start w:w="120" w:type="dxa"/>
              <w:bottom w:w="100" w:type="dxa"/>
              <w:end w:w="120" w:type="dxa"/>
            </w:tcMar>
            <w:shd w:fill="FBF3DF"/>
          </w:tcPr>
          <w:p>
            <w:pPr>
              <w:keepNext w:val="0"/>
              <w:widowControl/>
              <w:spacing w:before="0" w:after="0" w:line="312" w:lineRule="auto"/>
              <w:jc w:val="left"/>
            </w:pPr>
            <w:r>
              <w:rPr>
                <w:rFonts w:ascii="Arial" w:hAnsi="Arial" w:eastAsia="黑体"/>
                <w:b/>
                <w:color w:val="17324D"/>
                <w:sz w:val="22"/>
              </w:rPr>
              <w:t xml:space="preserve">离线能力  </w:t>
            </w:r>
            <w:r>
              <w:rPr>
                <w:rFonts w:ascii="Times New Roman" w:hAnsi="Times New Roman" w:eastAsia="宋体"/>
                <w:color w:val="17324D"/>
                <w:sz w:val="21"/>
              </w:rPr>
              <w:t>除 OpenAlex 联网扩展外，领域切片、建图、三智能体裁决、GraphRAG 路由、消融和个性化资源均可离线运行。</w:t>
            </w:r>
          </w:p>
        </w:tc>
      </w:tr>
    </w:tbl>
    <w:p>
      <w:pPr>
        <w:pStyle w:val="Heading1"/>
        <w:keepNext/>
        <w:pageBreakBefore/>
        <w:spacing w:before="320" w:after="180"/>
      </w:pPr>
      <w:r>
        <w:rPr>
          <w:rFonts w:ascii="Arial" w:hAnsi="Arial" w:eastAsia="黑体"/>
          <w:b/>
          <w:color w:val="075E59"/>
          <w:sz w:val="36"/>
        </w:rPr>
        <w:t>第七章 数据、实验与结果分析</w:t>
      </w:r>
    </w:p>
    <w:p>
      <w:pPr>
        <w:pStyle w:val="Heading2"/>
        <w:keepNext/>
        <w:spacing w:before="240" w:after="120"/>
      </w:pPr>
      <w:r>
        <w:rPr>
          <w:rFonts w:ascii="Arial" w:hAnsi="Arial" w:eastAsia="黑体"/>
          <w:b/>
          <w:color w:val="17324D"/>
          <w:sz w:val="28"/>
        </w:rPr>
        <w:t>7.1 数据构成与来源边界</w:t>
      </w:r>
    </w:p>
    <w:p>
      <w:pPr>
        <w:keepNext w:val="0"/>
        <w:widowControl/>
        <w:spacing w:before="0" w:after="120" w:line="360" w:lineRule="auto"/>
        <w:ind w:firstLine="480"/>
        <w:jc w:val="both"/>
      </w:pPr>
      <w:r>
        <w:rPr>
          <w:rFonts w:ascii="Times New Roman" w:hAnsi="Times New Roman" w:eastAsia="宋体"/>
          <w:color w:val="243238"/>
          <w:sz w:val="24"/>
        </w:rPr>
        <w:t>三个领域采用目的性分层选择：科学信息抽取验证项目核心方法，材料发现验证跨学科图结构，教育知识追踪直接对齐榜题中的学习者画像与资源生成。每个领域 30 篇记录由 DOI、官方来源和 Crossref 候选快照支持；其中 19 篇证据卡用于建图，其余 71 篇 metadata_only 记录只参与书目检索。该三领域集合不是统计意义上的随机样本，不能推断系统在全部学科上的平均性能。</w:t>
      </w:r>
    </w:p>
    <w:p>
      <w:pPr>
        <w:pStyle w:val="Heading2"/>
        <w:keepNext/>
        <w:spacing w:before="240" w:after="120"/>
      </w:pPr>
      <w:r>
        <w:rPr>
          <w:rFonts w:ascii="Arial" w:hAnsi="Arial" w:eastAsia="黑体"/>
          <w:b/>
          <w:color w:val="17324D"/>
          <w:sz w:val="28"/>
        </w:rPr>
        <w:t>7.2 两条评测轨道</w:t>
      </w:r>
    </w:p>
    <w:p>
      <w:pPr>
        <w:keepNext w:val="0"/>
        <w:widowControl/>
        <w:spacing w:before="0" w:after="120" w:line="360" w:lineRule="auto"/>
        <w:ind w:firstLine="480"/>
        <w:jc w:val="both"/>
      </w:pPr>
      <w:r>
        <w:rPr>
          <w:rFonts w:ascii="Times New Roman" w:hAnsi="Times New Roman" w:eastAsia="宋体"/>
          <w:color w:val="243238"/>
          <w:sz w:val="24"/>
        </w:rPr>
        <w:t>Track A 固定 24 条候选命题，只改变决策机制，回答异质批判与裁决是否能减少错误入图。压力集包含 13 条支持命题和 11 条不支持命题，以及低置信真阳性、有效证据 ID 语义错配、缺失/错误证据、绝对化和类型方向错误。Track B 是后续必须完成的端到端全文抽取盲测，将比较规则、GLiNER/GLiREL、SciBERT/DyGIE++、DeepKE/OneKE、单次 LLM 和最佳候选器 + 三智能体。</w:t>
      </w:r>
    </w:p>
    <w:p>
      <w:pPr>
        <w:pStyle w:val="Heading2"/>
        <w:keepNext/>
        <w:spacing w:before="240" w:after="120"/>
      </w:pPr>
      <w:r>
        <w:rPr>
          <w:rFonts w:ascii="Arial" w:hAnsi="Arial" w:eastAsia="黑体"/>
          <w:b/>
          <w:color w:val="17324D"/>
          <w:sz w:val="28"/>
        </w:rPr>
        <w:t>7.3 对照结果</w:t>
      </w:r>
    </w:p>
    <w:p>
      <w:r>
        <w:drawing>
          <wp:inline xmlns:a="http://schemas.openxmlformats.org/drawingml/2006/main" xmlns:pic="http://schemas.openxmlformats.org/drawingml/2006/picture">
            <wp:extent cx="5472000" cy="2991360"/>
            <wp:docPr id="6" name="Picture 6"/>
            <wp:cNvGraphicFramePr>
              <a:graphicFrameLocks noChangeAspect="1"/>
            </wp:cNvGraphicFramePr>
            <a:graphic>
              <a:graphicData uri="http://schemas.openxmlformats.org/drawingml/2006/picture">
                <pic:pic>
                  <pic:nvPicPr>
                    <pic:cNvPr id="0" name="ablation.png"/>
                    <pic:cNvPicPr/>
                  </pic:nvPicPr>
                  <pic:blipFill>
                    <a:blip r:embed="rId14"/>
                    <a:stretch>
                      <a:fillRect/>
                    </a:stretch>
                  </pic:blipFill>
                  <pic:spPr>
                    <a:xfrm>
                      <a:off x="0" y="0"/>
                      <a:ext cx="5472000" cy="2991360"/>
                    </a:xfrm>
                    <a:prstGeom prst="rect"/>
                  </pic:spPr>
                </pic:pic>
              </a:graphicData>
            </a:graphic>
          </wp:inline>
        </w:drawing>
      </w:r>
    </w:p>
    <w:p>
      <w:pPr>
        <w:keepNext w:val="0"/>
        <w:widowControl/>
        <w:spacing w:before="60" w:after="160" w:line="240" w:lineRule="auto"/>
        <w:jc w:val="center"/>
      </w:pPr>
      <w:r>
        <w:rPr>
          <w:rFonts w:ascii="Times New Roman" w:hAnsi="Times New Roman" w:eastAsia="宋体"/>
          <w:color w:val="66777C"/>
          <w:sz w:val="19"/>
        </w:rPr>
        <w:t>图 7-1 固定候选池下四种决策机制的接收精确率与 UAR</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2200"/>
        <w:gridCol w:w="1650"/>
        <w:gridCol w:w="1550"/>
        <w:gridCol w:w="1000"/>
        <w:gridCol w:w="1600"/>
        <w:gridCol w:w="1360"/>
      </w:tblGrid>
      <w:tr>
        <w:trPr>
          <w:tblHeader w:val="true"/>
        </w:trPr>
        <w:tc>
          <w:tcPr>
            <w:tcW w:type="dxa" w:w="22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变体</w:t>
            </w:r>
          </w:p>
        </w:tc>
        <w:tc>
          <w:tcPr>
            <w:tcW w:type="dxa" w:w="16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接收精确率</w:t>
            </w:r>
          </w:p>
        </w:tc>
        <w:tc>
          <w:tcPr>
            <w:tcW w:type="dxa" w:w="15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Gold 召回</w:t>
            </w:r>
          </w:p>
        </w:tc>
        <w:tc>
          <w:tcPr>
            <w:tcW w:type="dxa" w:w="10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F1</w:t>
            </w:r>
          </w:p>
        </w:tc>
        <w:tc>
          <w:tcPr>
            <w:tcW w:type="dxa" w:w="1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UAR</w:t>
            </w:r>
          </w:p>
        </w:tc>
        <w:tc>
          <w:tcPr>
            <w:tcW w:type="dxa" w:w="13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接收/复核/拒绝</w:t>
            </w:r>
          </w:p>
        </w:tc>
      </w:tr>
      <w:tr>
        <w:tc>
          <w:tcPr>
            <w:tcW w:type="dxa" w:w="22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E0 普通规则程序</w:t>
            </w:r>
          </w:p>
        </w:tc>
        <w:tc>
          <w:tcPr>
            <w:tcW w:type="dxa" w:w="16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50.0%（11/22）</w:t>
            </w:r>
          </w:p>
        </w:tc>
        <w:tc>
          <w:tcPr>
            <w:tcW w:type="dxa" w:w="15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84.6%（11/13）</w:t>
            </w:r>
          </w:p>
        </w:tc>
        <w:tc>
          <w:tcPr>
            <w:tcW w:type="dxa" w:w="1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62.9%</w:t>
            </w:r>
          </w:p>
        </w:tc>
        <w:tc>
          <w:tcPr>
            <w:tcW w:type="dxa" w:w="1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100.0%（11/11）</w:t>
            </w:r>
          </w:p>
        </w:tc>
        <w:tc>
          <w:tcPr>
            <w:tcW w:type="dxa" w:w="1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22 / 0 / 2</w:t>
            </w:r>
          </w:p>
        </w:tc>
      </w:tr>
      <w:tr>
        <w:tc>
          <w:tcPr>
            <w:tcW w:type="dxa" w:w="22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E1 单次判定</w:t>
            </w:r>
          </w:p>
        </w:tc>
        <w:tc>
          <w:tcPr>
            <w:tcW w:type="dxa" w:w="16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61.1%（11/18）</w:t>
            </w:r>
          </w:p>
        </w:tc>
        <w:tc>
          <w:tcPr>
            <w:tcW w:type="dxa" w:w="15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84.6%（11/13）</w:t>
            </w:r>
          </w:p>
        </w:tc>
        <w:tc>
          <w:tcPr>
            <w:tcW w:type="dxa" w:w="1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71.0%</w:t>
            </w:r>
          </w:p>
        </w:tc>
        <w:tc>
          <w:tcPr>
            <w:tcW w:type="dxa" w:w="1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63.6%（7/11）</w:t>
            </w:r>
          </w:p>
        </w:tc>
        <w:tc>
          <w:tcPr>
            <w:tcW w:type="dxa" w:w="1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18 / 0 / 6</w:t>
            </w:r>
          </w:p>
        </w:tc>
      </w:tr>
      <w:tr>
        <w:tc>
          <w:tcPr>
            <w:tcW w:type="dxa" w:w="22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E2 同质三路投票</w:t>
            </w:r>
          </w:p>
        </w:tc>
        <w:tc>
          <w:tcPr>
            <w:tcW w:type="dxa" w:w="16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61.1%（11/18）</w:t>
            </w:r>
          </w:p>
        </w:tc>
        <w:tc>
          <w:tcPr>
            <w:tcW w:type="dxa" w:w="15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84.6%（11/13）</w:t>
            </w:r>
          </w:p>
        </w:tc>
        <w:tc>
          <w:tcPr>
            <w:tcW w:type="dxa" w:w="1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71.0%</w:t>
            </w:r>
          </w:p>
        </w:tc>
        <w:tc>
          <w:tcPr>
            <w:tcW w:type="dxa" w:w="1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63.6%（7/11）</w:t>
            </w:r>
          </w:p>
        </w:tc>
        <w:tc>
          <w:tcPr>
            <w:tcW w:type="dxa" w:w="1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18 / 0 / 6</w:t>
            </w:r>
          </w:p>
        </w:tc>
      </w:tr>
      <w:tr>
        <w:tc>
          <w:tcPr>
            <w:tcW w:type="dxa" w:w="22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E3 提出—批判—裁判</w:t>
            </w:r>
          </w:p>
        </w:tc>
        <w:tc>
          <w:tcPr>
            <w:tcW w:type="dxa" w:w="16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84.6%（11/13）</w:t>
            </w:r>
          </w:p>
        </w:tc>
        <w:tc>
          <w:tcPr>
            <w:tcW w:type="dxa" w:w="15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84.6%（11/13）</w:t>
            </w:r>
          </w:p>
        </w:tc>
        <w:tc>
          <w:tcPr>
            <w:tcW w:type="dxa" w:w="1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w:t>
            </w:r>
          </w:p>
        </w:tc>
        <w:tc>
          <w:tcPr>
            <w:tcW w:type="dxa" w:w="1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18.2%（2/11）</w:t>
            </w:r>
          </w:p>
        </w:tc>
        <w:tc>
          <w:tcPr>
            <w:tcW w:type="dxa" w:w="1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13 / 2 / 9</w:t>
            </w:r>
          </w:p>
        </w:tc>
      </w:tr>
    </w:tbl>
    <w:p>
      <w:pPr>
        <w:spacing w:after="20"/>
      </w:pPr>
    </w:p>
    <w:p>
      <w:pPr>
        <w:keepNext w:val="0"/>
        <w:widowControl/>
        <w:spacing w:before="0" w:after="120" w:line="360" w:lineRule="auto"/>
        <w:ind w:firstLine="480"/>
        <w:jc w:val="both"/>
      </w:pPr>
      <w:r>
        <w:rPr>
          <w:rFonts w:ascii="Times New Roman" w:hAnsi="Times New Roman" w:eastAsia="宋体"/>
          <w:color w:val="243238"/>
          <w:sz w:val="24"/>
        </w:rPr>
        <w:t>相较最强基线 E1/E2，E3 接收精确率提高 23.5 个百分点，UAR 下降 45.4 个百分点，Gold 召回保持不变。E3 接收精确率和 Gold 召回的 Wilson 95% 区间均为 [0.578, 0.957]，UAR 区间为 [0.051, 0.477]。由于样本规模较小且开发者知道错误类型，结果应解释为“机制可行性与回归证据”，不能表述为统计上显著的公开基准领先。</w:t>
      </w:r>
    </w:p>
    <w:p>
      <w:pPr>
        <w:pStyle w:val="Heading2"/>
        <w:keepNext/>
        <w:spacing w:before="240" w:after="120"/>
      </w:pPr>
      <w:r>
        <w:rPr>
          <w:rFonts w:ascii="Arial" w:hAnsi="Arial" w:eastAsia="黑体"/>
          <w:b/>
          <w:color w:val="17324D"/>
          <w:sz w:val="28"/>
        </w:rPr>
        <w:t>7.4 失败案例与误差分析</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400"/>
        <w:gridCol w:w="2350"/>
        <w:gridCol w:w="2700"/>
        <w:gridCol w:w="2910"/>
      </w:tblGrid>
      <w:tr>
        <w:trPr>
          <w:tblHeader w:val="true"/>
        </w:trPr>
        <w:tc>
          <w:tcPr>
            <w:tcW w:type="dxa" w:w="14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案例</w:t>
            </w:r>
          </w:p>
        </w:tc>
        <w:tc>
          <w:tcPr>
            <w:tcW w:type="dxa" w:w="23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现象</w:t>
            </w:r>
          </w:p>
        </w:tc>
        <w:tc>
          <w:tcPr>
            <w:tcW w:type="dxa" w:w="27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原因</w:t>
            </w:r>
          </w:p>
        </w:tc>
        <w:tc>
          <w:tcPr>
            <w:tcW w:type="dxa" w:w="291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后续修复方向</w:t>
            </w:r>
          </w:p>
        </w:tc>
      </w:tr>
      <w:tr>
        <w:tc>
          <w:tcPr>
            <w:tcW w:type="dxa" w:w="14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B019/B020</w:t>
            </w:r>
          </w:p>
        </w:tc>
        <w:tc>
          <w:tcPr>
            <w:tcW w:type="dxa" w:w="23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E3 仍接收两条不支持命题</w:t>
            </w:r>
          </w:p>
        </w:tc>
        <w:tc>
          <w:tcPr>
            <w:tcW w:type="dxa" w:w="2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evidence_id 有效但语义不支持，结构护栏无法识别</w:t>
            </w:r>
          </w:p>
        </w:tc>
        <w:tc>
          <w:tcPr>
            <w:tcW w:type="dxa" w:w="291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引入 NLI/claim verification 与句级证据充分性模型</w:t>
            </w:r>
          </w:p>
        </w:tc>
      </w:tr>
      <w:tr>
        <w:tc>
          <w:tcPr>
            <w:tcW w:type="dxa" w:w="14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B013/B014</w:t>
            </w:r>
          </w:p>
        </w:tc>
        <w:tc>
          <w:tcPr>
            <w:tcW w:type="dxa" w:w="23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两条支持命题进入复核而非接收</w:t>
            </w:r>
          </w:p>
        </w:tc>
        <w:tc>
          <w:tcPr>
            <w:tcW w:type="dxa" w:w="2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基础置信度较低，裁判偏保守</w:t>
            </w:r>
          </w:p>
        </w:tc>
        <w:tc>
          <w:tcPr>
            <w:tcW w:type="dxa" w:w="291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验证集校准、选择性预测与人工复核成本优化</w:t>
            </w:r>
          </w:p>
        </w:tc>
      </w:tr>
      <w:tr>
        <w:tc>
          <w:tcPr>
            <w:tcW w:type="dxa" w:w="14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元数据论文</w:t>
            </w:r>
          </w:p>
        </w:tc>
        <w:tc>
          <w:tcPr>
            <w:tcW w:type="dxa" w:w="23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不能生成关系</w:t>
            </w:r>
          </w:p>
        </w:tc>
        <w:tc>
          <w:tcPr>
            <w:tcW w:type="dxa" w:w="2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未获得并解析全文</w:t>
            </w:r>
          </w:p>
        </w:tc>
        <w:tc>
          <w:tcPr>
            <w:tcW w:type="dxa" w:w="291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合法取得全文后重新解析与双人标注</w:t>
            </w:r>
          </w:p>
        </w:tc>
      </w:tr>
      <w:tr>
        <w:tc>
          <w:tcPr>
            <w:tcW w:type="dxa" w:w="14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Idea 新颖性</w:t>
            </w:r>
          </w:p>
        </w:tc>
        <w:tc>
          <w:tcPr>
            <w:tcW w:type="dxa" w:w="23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只能提示切片中的缺失边</w:t>
            </w:r>
          </w:p>
        </w:tc>
        <w:tc>
          <w:tcPr>
            <w:tcW w:type="dxa" w:w="2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图谱覆盖有限</w:t>
            </w:r>
          </w:p>
        </w:tc>
        <w:tc>
          <w:tcPr>
            <w:tcW w:type="dxa" w:w="291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联网查新、专利检索和专家盲评</w:t>
            </w:r>
          </w:p>
        </w:tc>
      </w:tr>
    </w:tbl>
    <w:p>
      <w:pPr>
        <w:spacing w:after="20"/>
      </w:pPr>
    </w:p>
    <w:p>
      <w:pPr>
        <w:pStyle w:val="Heading2"/>
        <w:keepNext/>
        <w:spacing w:before="240" w:after="120"/>
      </w:pPr>
      <w:r>
        <w:rPr>
          <w:rFonts w:ascii="Arial" w:hAnsi="Arial" w:eastAsia="黑体"/>
          <w:b/>
          <w:color w:val="17324D"/>
          <w:sz w:val="28"/>
        </w:rPr>
        <w:t>7.5 自动化与工程验收</w:t>
      </w:r>
    </w:p>
    <w:p>
      <w:pPr>
        <w:keepNext w:val="0"/>
        <w:widowControl/>
        <w:spacing w:before="0" w:after="120" w:line="360" w:lineRule="auto"/>
        <w:ind w:firstLine="480"/>
        <w:jc w:val="both"/>
      </w:pPr>
      <w:r>
        <w:rPr>
          <w:rFonts w:ascii="Times New Roman" w:hAnsi="Times New Roman" w:eastAsia="宋体"/>
          <w:color w:val="243238"/>
          <w:sz w:val="24"/>
        </w:rPr>
        <w:t>截至本初稿生成前，Python 源码编译、Node 前端语法检查和完整 unittest 均通过。经 unittest discover 实时统计，当前回归测试共 119 项，全部属于当前验收或版本边界检查，可通过 `python -m unittest discover -s tests` 全量执行复核。测试覆盖领域注册、每领域 30 篇记录、证据端点、关系绑定、意图路由、多跳路径、三智能体版本边界、LLM 决策降级与护栏、语义力度检查、六组实验入口、幂等、熔断、超时、部署路径和前端 API 契约。</w:t>
      </w:r>
    </w:p>
    <w:tbl>
      <w:tblPr>
        <w:tblW w:type="dxa" w:w="9360"/>
        <w:jc w:val="center"/>
        <w:tblLayout w:type="fixed"/>
        <w:tblLook w:firstColumn="1" w:firstRow="1" w:lastColumn="0" w:lastRow="0" w:noHBand="0" w:noVBand="1" w:val="04A0"/>
        <w:tblInd w:w="120" w:type="dxa"/>
        <w:tblBorders>
          <w:top w:val="single" w:sz="4" w:space="0" w:color="FCE9E5"/>
          <w:left w:val="single" w:sz="4" w:space="0" w:color="FCE9E5"/>
          <w:bottom w:val="single" w:sz="4" w:space="0" w:color="FCE9E5"/>
          <w:right w:val="single" w:sz="4" w:space="0" w:color="FCE9E5"/>
          <w:insideH w:val="single" w:sz="4" w:space="0" w:color="FCE9E5"/>
          <w:insideV w:val="single" w:sz="4" w:space="0" w:color="FCE9E5"/>
        </w:tblBorders>
      </w:tblPr>
      <w:tblGrid>
        <w:gridCol w:w="9360"/>
      </w:tblGrid>
      <w:tr>
        <w:tc>
          <w:tcPr>
            <w:tcW w:type="dxa" w:w="9360"/>
            <w:vAlign w:val="center"/>
            <w:tcMar>
              <w:top w:w="100" w:type="dxa"/>
              <w:start w:w="120" w:type="dxa"/>
              <w:bottom w:w="100" w:type="dxa"/>
              <w:end w:w="120" w:type="dxa"/>
            </w:tcMar>
            <w:shd w:fill="FCE9E5"/>
          </w:tcPr>
          <w:p>
            <w:pPr>
              <w:keepNext w:val="0"/>
              <w:widowControl/>
              <w:spacing w:before="0" w:after="0" w:line="312" w:lineRule="auto"/>
              <w:jc w:val="left"/>
            </w:pPr>
            <w:r>
              <w:rPr>
                <w:rFonts w:ascii="Arial" w:hAnsi="Arial" w:eastAsia="黑体"/>
                <w:b/>
                <w:color w:val="A54737"/>
                <w:sz w:val="22"/>
              </w:rPr>
              <w:t xml:space="preserve">指标解释  </w:t>
            </w:r>
            <w:r>
              <w:rPr>
                <w:rFonts w:ascii="Times New Roman" w:hAnsi="Times New Roman" w:eastAsia="宋体"/>
                <w:color w:val="A54737"/>
                <w:sz w:val="21"/>
              </w:rPr>
              <w:t>页面中的单轮“幻觉代理率 0%、适配准确度 100%、知识覆盖率 100%”是结构性健康检查或画像覆盖代理，不作为作品效果主指标。作品书统一使用带分子/分母和失败案例的 24 条压力集结果。</w:t>
            </w:r>
          </w:p>
        </w:tc>
      </w:tr>
    </w:tbl>
    <w:p>
      <w:pPr>
        <w:pStyle w:val="Heading1"/>
        <w:keepNext/>
        <w:pageBreakBefore/>
        <w:spacing w:before="320" w:after="180"/>
      </w:pPr>
      <w:r>
        <w:rPr>
          <w:rFonts w:ascii="Arial" w:hAnsi="Arial" w:eastAsia="黑体"/>
          <w:b/>
          <w:color w:val="075E59"/>
          <w:sz w:val="36"/>
        </w:rPr>
        <w:t>第八章 创新点与技术指标实现</w:t>
      </w:r>
    </w:p>
    <w:p>
      <w:pPr>
        <w:pStyle w:val="Heading2"/>
        <w:keepNext/>
        <w:spacing w:before="240" w:after="120"/>
      </w:pPr>
      <w:r>
        <w:rPr>
          <w:rFonts w:ascii="Arial" w:hAnsi="Arial" w:eastAsia="黑体"/>
          <w:b/>
          <w:color w:val="17324D"/>
          <w:sz w:val="28"/>
        </w:rPr>
        <w:t>8.1 创新点一：证据跨度驱动的论文知识图谱</w:t>
      </w:r>
    </w:p>
    <w:p>
      <w:pPr>
        <w:keepNext w:val="0"/>
        <w:widowControl/>
        <w:spacing w:before="0" w:after="120" w:line="360" w:lineRule="auto"/>
        <w:ind w:firstLine="480"/>
        <w:jc w:val="both"/>
      </w:pPr>
      <w:r>
        <w:rPr>
          <w:rFonts w:ascii="Times New Roman" w:hAnsi="Times New Roman" w:eastAsia="宋体"/>
          <w:color w:val="243238"/>
          <w:sz w:val="24"/>
        </w:rPr>
        <w:t>相较只对标题摘要生成三元组的常见 Demo，本项目把章节、句子、字符跨度、schema、实体规范化和关系状态纳入统一数据契约。每条关系能够沿着“关系—实体—证据—论文”链路回查，元数据论文被强制排除在关系抽取之外。该创新的实质是把可追溯性从展示功能提升为入图前置约束。</w:t>
      </w:r>
    </w:p>
    <w:p>
      <w:pPr>
        <w:pStyle w:val="Heading2"/>
        <w:keepNext/>
        <w:spacing w:before="240" w:after="120"/>
      </w:pPr>
      <w:r>
        <w:rPr>
          <w:rFonts w:ascii="Arial" w:hAnsi="Arial" w:eastAsia="黑体"/>
          <w:b/>
          <w:color w:val="17324D"/>
          <w:sz w:val="28"/>
        </w:rPr>
        <w:t>8.2 创新点二：异质三智能体的选择性裁决</w:t>
      </w:r>
    </w:p>
    <w:p>
      <w:pPr>
        <w:keepNext w:val="0"/>
        <w:widowControl/>
        <w:spacing w:before="0" w:after="120" w:line="360" w:lineRule="auto"/>
        <w:ind w:firstLine="480"/>
        <w:jc w:val="both"/>
      </w:pPr>
      <w:r>
        <w:rPr>
          <w:rFonts w:ascii="Times New Roman" w:hAnsi="Times New Roman" w:eastAsia="宋体"/>
          <w:color w:val="243238"/>
          <w:sz w:val="24"/>
        </w:rPr>
        <w:t>系统将候选生成、反证审查和最终决策分离，允许复核与拒答；同质三路投票作为反例被纳入对照。24 条压力集显示，收益来自职责和检查信号的差异，而不是 Agent 数量。下一阶段将进一步比较共享模型与异构模型、全量辩论与选择性辩论的质量、时延和 token 成本。</w:t>
      </w:r>
    </w:p>
    <w:p>
      <w:pPr>
        <w:pStyle w:val="Heading2"/>
        <w:keepNext/>
        <w:spacing w:before="240" w:after="120"/>
      </w:pPr>
      <w:r>
        <w:rPr>
          <w:rFonts w:ascii="Arial" w:hAnsi="Arial" w:eastAsia="黑体"/>
          <w:b/>
          <w:color w:val="17324D"/>
          <w:sz w:val="28"/>
        </w:rPr>
        <w:t>8.3 创新点三：意图驱动的图检索与科研发现</w:t>
      </w:r>
    </w:p>
    <w:p>
      <w:pPr>
        <w:keepNext w:val="0"/>
        <w:widowControl/>
        <w:spacing w:before="0" w:after="120" w:line="360" w:lineRule="auto"/>
        <w:ind w:firstLine="480"/>
        <w:jc w:val="both"/>
      </w:pPr>
      <w:r>
        <w:rPr>
          <w:rFonts w:ascii="Times New Roman" w:hAnsi="Times New Roman" w:eastAsia="宋体"/>
          <w:color w:val="243238"/>
          <w:sz w:val="24"/>
        </w:rPr>
        <w:t>系统把“找论文、做分析、想 Idea”映射为广度、深度和混合图检索，让不同查询使用不同路径预算和输出契约。Idea 由图谱缺失边和弱连接产生，并带来源与未验证标记，避免把生成式灵感包装为事实。</w:t>
      </w:r>
    </w:p>
    <w:p>
      <w:pPr>
        <w:pStyle w:val="Heading2"/>
        <w:keepNext/>
        <w:spacing w:before="240" w:after="120"/>
      </w:pPr>
      <w:r>
        <w:rPr>
          <w:rFonts w:ascii="Arial" w:hAnsi="Arial" w:eastAsia="黑体"/>
          <w:b/>
          <w:color w:val="17324D"/>
          <w:sz w:val="28"/>
        </w:rPr>
        <w:t>8.4 创新点四：知识底座与学情画像联合决策</w:t>
      </w:r>
    </w:p>
    <w:p>
      <w:pPr>
        <w:keepNext w:val="0"/>
        <w:widowControl/>
        <w:spacing w:before="0" w:after="120" w:line="360" w:lineRule="auto"/>
        <w:ind w:firstLine="480"/>
        <w:jc w:val="both"/>
      </w:pPr>
      <w:r>
        <w:rPr>
          <w:rFonts w:ascii="Times New Roman" w:hAnsi="Times New Roman" w:eastAsia="宋体"/>
          <w:color w:val="243238"/>
          <w:sz w:val="24"/>
        </w:rPr>
        <w:t>同一 accepted 图谱针对本科科研入门、跨学科硕士和企业技术情报画像生成不同的解释深度、学习路径、实操任务和测评。画像不改变事实层，只改变检索重点和资源编排，从架构上避免“为了个性化而改写事实”。</w:t>
      </w:r>
    </w:p>
    <w:p>
      <w:pPr>
        <w:pStyle w:val="Heading2"/>
        <w:keepNext/>
        <w:spacing w:before="240" w:after="120"/>
      </w:pPr>
      <w:r>
        <w:rPr>
          <w:rFonts w:ascii="Arial" w:hAnsi="Arial" w:eastAsia="黑体"/>
          <w:b/>
          <w:color w:val="17324D"/>
          <w:sz w:val="28"/>
        </w:rPr>
        <w:t>8.5 技术指标完成表</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900"/>
        <w:gridCol w:w="2300"/>
        <w:gridCol w:w="3000"/>
        <w:gridCol w:w="2160"/>
      </w:tblGrid>
      <w:tr>
        <w:trPr>
          <w:tblHeader w:val="true"/>
        </w:trPr>
        <w:tc>
          <w:tcPr>
            <w:tcW w:type="dxa" w:w="19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指标</w:t>
            </w:r>
          </w:p>
        </w:tc>
        <w:tc>
          <w:tcPr>
            <w:tcW w:type="dxa" w:w="23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目标</w:t>
            </w:r>
          </w:p>
        </w:tc>
        <w:tc>
          <w:tcPr>
            <w:tcW w:type="dxa" w:w="30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当前结果</w:t>
            </w:r>
          </w:p>
        </w:tc>
        <w:tc>
          <w:tcPr>
            <w:tcW w:type="dxa" w:w="21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结论</w:t>
            </w:r>
          </w:p>
        </w:tc>
      </w:tr>
      <w:tr>
        <w:tc>
          <w:tcPr>
            <w:tcW w:type="dxa" w:w="19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垂直知识库</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 个领域</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3 个领域，每领域 30 篇</w:t>
            </w:r>
          </w:p>
        </w:tc>
        <w:tc>
          <w:tcPr>
            <w:tcW w:type="dxa" w:w="2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Demo 级完成</w:t>
            </w:r>
          </w:p>
        </w:tc>
      </w:tr>
      <w:tr>
        <w:tc>
          <w:tcPr>
            <w:tcW w:type="dxa" w:w="19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学习者画像</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≥2 组</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3 组合成画像</w:t>
            </w:r>
          </w:p>
        </w:tc>
        <w:tc>
          <w:tcPr>
            <w:tcW w:type="dxa" w:w="2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完成</w:t>
            </w:r>
          </w:p>
        </w:tc>
      </w:tr>
      <w:tr>
        <w:tc>
          <w:tcPr>
            <w:tcW w:type="dxa" w:w="19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完整案例</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含输入/中间/输出</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9 组机器可读案例</w:t>
            </w:r>
          </w:p>
        </w:tc>
        <w:tc>
          <w:tcPr>
            <w:tcW w:type="dxa" w:w="2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完成</w:t>
            </w:r>
          </w:p>
        </w:tc>
      </w:tr>
      <w:tr>
        <w:tc>
          <w:tcPr>
            <w:tcW w:type="dxa" w:w="19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可信裁决</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降低错误入图</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precision 84.6%，UAR 18.2%</w:t>
            </w:r>
          </w:p>
        </w:tc>
        <w:tc>
          <w:tcPr>
            <w:tcW w:type="dxa" w:w="2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Track A 初步支持</w:t>
            </w:r>
          </w:p>
        </w:tc>
      </w:tr>
      <w:tr>
        <w:tc>
          <w:tcPr>
            <w:tcW w:type="dxa" w:w="19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证据可追溯</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关系绑定来源</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91 条候选均有结构证据跨度</w:t>
            </w:r>
          </w:p>
        </w:tc>
        <w:tc>
          <w:tcPr>
            <w:tcW w:type="dxa" w:w="2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结构护栏完成</w:t>
            </w:r>
          </w:p>
        </w:tc>
      </w:tr>
      <w:tr>
        <w:tc>
          <w:tcPr>
            <w:tcW w:type="dxa" w:w="19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工程可复现</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可离线运行并自检</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119 项测试通过，六实验入口可执行</w:t>
            </w:r>
          </w:p>
        </w:tc>
        <w:tc>
          <w:tcPr>
            <w:tcW w:type="dxa" w:w="2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完成</w:t>
            </w:r>
          </w:p>
        </w:tc>
      </w:tr>
      <w:tr>
        <w:tc>
          <w:tcPr>
            <w:tcW w:type="dxa" w:w="19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端到端抽取主实验</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全文冻结测试集</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尚未完成</w:t>
            </w:r>
          </w:p>
        </w:tc>
        <w:tc>
          <w:tcPr>
            <w:tcW w:type="dxa" w:w="2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下一阶段核心</w:t>
            </w:r>
          </w:p>
        </w:tc>
      </w:tr>
      <w:tr>
        <w:tc>
          <w:tcPr>
            <w:tcW w:type="dxa" w:w="19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知识产权/应用证明</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按校赛要求补强</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待学校流程与导师审核</w:t>
            </w:r>
          </w:p>
        </w:tc>
        <w:tc>
          <w:tcPr>
            <w:tcW w:type="dxa" w:w="2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不得提前宣称</w:t>
            </w:r>
          </w:p>
        </w:tc>
      </w:tr>
    </w:tbl>
    <w:p>
      <w:pPr>
        <w:spacing w:after="20"/>
      </w:pPr>
    </w:p>
    <w:p>
      <w:pPr>
        <w:pStyle w:val="Heading1"/>
        <w:keepNext/>
        <w:pageBreakBefore/>
        <w:spacing w:before="320" w:after="180"/>
      </w:pPr>
      <w:r>
        <w:rPr>
          <w:rFonts w:ascii="Arial" w:hAnsi="Arial" w:eastAsia="黑体"/>
          <w:b/>
          <w:color w:val="075E59"/>
          <w:sz w:val="36"/>
        </w:rPr>
        <w:t>第九章 应用价值、竞品与实施计划</w:t>
      </w:r>
    </w:p>
    <w:p>
      <w:pPr>
        <w:pStyle w:val="Heading2"/>
        <w:keepNext/>
        <w:spacing w:before="240" w:after="120"/>
      </w:pPr>
      <w:r>
        <w:rPr>
          <w:rFonts w:ascii="Arial" w:hAnsi="Arial" w:eastAsia="黑体"/>
          <w:b/>
          <w:color w:val="17324D"/>
          <w:sz w:val="28"/>
        </w:rPr>
        <w:t>9.1 高校科研场景</w:t>
      </w:r>
    </w:p>
    <w:p>
      <w:pPr>
        <w:keepNext w:val="0"/>
        <w:widowControl/>
        <w:spacing w:before="0" w:after="120" w:line="360" w:lineRule="auto"/>
        <w:ind w:firstLine="480"/>
        <w:jc w:val="both"/>
      </w:pPr>
      <w:r>
        <w:rPr>
          <w:rFonts w:ascii="Times New Roman" w:hAnsi="Times New Roman" w:eastAsia="宋体"/>
          <w:color w:val="243238"/>
          <w:sz w:val="24"/>
        </w:rPr>
        <w:t>面向本科生和研究生，系统可将一个陌生领域拆解为核心方法、任务、数据集、指标和证据路径，降低阅读门槛；对导师和课题组，可用于构建实验室领域图谱、追踪技术演化和检查学生综述中的证据来源。系统生成的 Idea 只作为讨论起点，不能替代查新、实验与导师判断。</w:t>
      </w:r>
    </w:p>
    <w:p>
      <w:pPr>
        <w:pStyle w:val="Heading2"/>
        <w:keepNext/>
        <w:spacing w:before="240" w:after="120"/>
      </w:pPr>
      <w:r>
        <w:rPr>
          <w:rFonts w:ascii="Arial" w:hAnsi="Arial" w:eastAsia="黑体"/>
          <w:b/>
          <w:color w:val="17324D"/>
          <w:sz w:val="28"/>
        </w:rPr>
        <w:t>9.2 企业技术情报场景</w:t>
      </w:r>
    </w:p>
    <w:p>
      <w:pPr>
        <w:keepNext w:val="0"/>
        <w:widowControl/>
        <w:spacing w:before="0" w:after="120" w:line="360" w:lineRule="auto"/>
        <w:ind w:firstLine="480"/>
        <w:jc w:val="both"/>
      </w:pPr>
      <w:r>
        <w:rPr>
          <w:rFonts w:ascii="Times New Roman" w:hAnsi="Times New Roman" w:eastAsia="宋体"/>
          <w:color w:val="243238"/>
          <w:sz w:val="24"/>
        </w:rPr>
        <w:t>面向研发与战略部门，系统可围绕某项技术形成证据图、关键论文、能力边界和待验证路线，帮助团队从“人工阅读大量文献”转向“先看关系与证据，再回读重点论文”。企业版本需要增加账号权限、私有语料隔离、任务队列、审计和私有化部署。</w:t>
      </w:r>
    </w:p>
    <w:p>
      <w:pPr>
        <w:pStyle w:val="Heading2"/>
        <w:keepNext/>
        <w:spacing w:before="240" w:after="120"/>
      </w:pPr>
      <w:r>
        <w:rPr>
          <w:rFonts w:ascii="Arial" w:hAnsi="Arial" w:eastAsia="黑体"/>
          <w:b/>
          <w:color w:val="17324D"/>
          <w:sz w:val="28"/>
        </w:rPr>
        <w:t>9.3 个性化科研训练场景</w:t>
      </w:r>
    </w:p>
    <w:p>
      <w:pPr>
        <w:keepNext w:val="0"/>
        <w:widowControl/>
        <w:spacing w:before="0" w:after="120" w:line="360" w:lineRule="auto"/>
        <w:ind w:firstLine="480"/>
        <w:jc w:val="both"/>
      </w:pPr>
      <w:r>
        <w:rPr>
          <w:rFonts w:ascii="Times New Roman" w:hAnsi="Times New Roman" w:eastAsia="宋体"/>
          <w:color w:val="243238"/>
          <w:sz w:val="24"/>
        </w:rPr>
        <w:t>榜题强调学习者画像与多智能体决策。本项目把图谱证据与画像结合，生成不同难度的导读、实操和测评，可用于科研方法课、文献研读训练和企业内部技术培训。未来需要在真实学习者上开展前后测、任务完成时间和主观有用性评估。</w:t>
      </w:r>
    </w:p>
    <w:p>
      <w:pPr>
        <w:pStyle w:val="Heading2"/>
        <w:keepNext/>
        <w:spacing w:before="240" w:after="120"/>
      </w:pPr>
      <w:r>
        <w:rPr>
          <w:rFonts w:ascii="Arial" w:hAnsi="Arial" w:eastAsia="黑体"/>
          <w:b/>
          <w:color w:val="17324D"/>
          <w:sz w:val="28"/>
        </w:rPr>
        <w:t>9.4 实施路线</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700"/>
        <w:gridCol w:w="4300"/>
        <w:gridCol w:w="3360"/>
      </w:tblGrid>
      <w:tr>
        <w:trPr>
          <w:tblHeader w:val="true"/>
        </w:trPr>
        <w:tc>
          <w:tcPr>
            <w:tcW w:type="dxa" w:w="17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阶段</w:t>
            </w:r>
          </w:p>
        </w:tc>
        <w:tc>
          <w:tcPr>
            <w:tcW w:type="dxa" w:w="43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核心任务</w:t>
            </w:r>
          </w:p>
        </w:tc>
        <w:tc>
          <w:tcPr>
            <w:tcW w:type="dxa" w:w="33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验收证据</w:t>
            </w:r>
          </w:p>
        </w:tc>
      </w:tr>
      <w:tr>
        <w:tc>
          <w:tcPr>
            <w:tcW w:type="dxa" w:w="17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M1：全文 Pilot</w:t>
            </w:r>
          </w:p>
        </w:tc>
        <w:tc>
          <w:tcPr>
            <w:tcW w:type="dxa" w:w="4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30 篇合法全文；10 篇双人标注；固化 schema</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解析质量、标注一致性、首版金标准</w:t>
            </w:r>
          </w:p>
        </w:tc>
      </w:tr>
      <w:tr>
        <w:tc>
          <w:tcPr>
            <w:tcW w:type="dxa" w:w="17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M2：候选模型</w:t>
            </w:r>
          </w:p>
        </w:tc>
        <w:tc>
          <w:tcPr>
            <w:tcW w:type="dxa" w:w="4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GLiNER/GLiREL、OneKE、SciBERT 基线</w:t>
            </w:r>
          </w:p>
        </w:tc>
        <w:tc>
          <w:tcPr>
            <w:tcW w:type="dxa" w:w="3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实体/关系/证据跨度 F1</w:t>
            </w:r>
          </w:p>
        </w:tc>
      </w:tr>
      <w:tr>
        <w:tc>
          <w:tcPr>
            <w:tcW w:type="dxa" w:w="17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M3：端到端盲测</w:t>
            </w:r>
          </w:p>
        </w:tc>
        <w:tc>
          <w:tcPr>
            <w:tcW w:type="dxa" w:w="4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冻结 60+ 关系、跨领域/OOD 与表格子集</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主结果、消融、置信区间、错误分析</w:t>
            </w:r>
          </w:p>
        </w:tc>
      </w:tr>
      <w:tr>
        <w:tc>
          <w:tcPr>
            <w:tcW w:type="dxa" w:w="17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M4：GraphRAG 接入</w:t>
            </w:r>
          </w:p>
        </w:tc>
        <w:tc>
          <w:tcPr>
            <w:tcW w:type="dxa" w:w="4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BYOG、Leiden、社区报告与 embeddings</w:t>
            </w:r>
          </w:p>
        </w:tc>
        <w:tc>
          <w:tcPr>
            <w:tcW w:type="dxa" w:w="3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质量/时延/token 成本对比</w:t>
            </w:r>
          </w:p>
        </w:tc>
      </w:tr>
      <w:tr>
        <w:tc>
          <w:tcPr>
            <w:tcW w:type="dxa" w:w="17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M5：真实试点</w:t>
            </w:r>
          </w:p>
        </w:tc>
        <w:tc>
          <w:tcPr>
            <w:tcW w:type="dxa" w:w="4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高校课题组与企业情报用户任务</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完成时间、有用性、复核负担与应用证明</w:t>
            </w:r>
          </w:p>
        </w:tc>
      </w:tr>
    </w:tbl>
    <w:p>
      <w:pPr>
        <w:spacing w:after="20"/>
      </w:pPr>
    </w:p>
    <w:p>
      <w:pPr>
        <w:pStyle w:val="Heading2"/>
        <w:keepNext/>
        <w:spacing w:before="240" w:after="120"/>
      </w:pPr>
      <w:r>
        <w:rPr>
          <w:rFonts w:ascii="Arial" w:hAnsi="Arial" w:eastAsia="黑体"/>
          <w:b/>
          <w:color w:val="17324D"/>
          <w:sz w:val="28"/>
        </w:rPr>
        <w:t>9.5 风险与合规</w:t>
      </w:r>
    </w:p>
    <w:p>
      <w:pPr>
        <w:pStyle w:val="ListBullet"/>
        <w:spacing w:after="80" w:line="324" w:lineRule="auto"/>
        <w:ind w:left="420" w:hanging="210"/>
      </w:pPr>
      <w:r>
        <w:rPr>
          <w:rFonts w:ascii="Times New Roman" w:hAnsi="Times New Roman" w:eastAsia="宋体"/>
          <w:color w:val="243238"/>
          <w:sz w:val="23"/>
        </w:rPr>
        <w:t>论文版权：无法再分发的全文只保存来源链接、哈希和合法标注偏移，不将论文 PDF 打入公开仓库。</w:t>
      </w:r>
    </w:p>
    <w:p>
      <w:pPr>
        <w:pStyle w:val="ListBullet"/>
        <w:spacing w:after="80" w:line="324" w:lineRule="auto"/>
        <w:ind w:left="420" w:hanging="210"/>
      </w:pPr>
      <w:r>
        <w:rPr>
          <w:rFonts w:ascii="Times New Roman" w:hAnsi="Times New Roman" w:eastAsia="宋体"/>
          <w:color w:val="243238"/>
          <w:sz w:val="23"/>
        </w:rPr>
        <w:t>事实风险：所有生成回答必须引用 accepted 图谱；Idea 明确标注待验证，保留人工复核入口。</w:t>
      </w:r>
    </w:p>
    <w:p>
      <w:pPr>
        <w:pStyle w:val="ListBullet"/>
        <w:spacing w:after="80" w:line="324" w:lineRule="auto"/>
        <w:ind w:left="420" w:hanging="210"/>
      </w:pPr>
      <w:r>
        <w:rPr>
          <w:rFonts w:ascii="Times New Roman" w:hAnsi="Times New Roman" w:eastAsia="宋体"/>
          <w:color w:val="243238"/>
          <w:sz w:val="23"/>
        </w:rPr>
        <w:t>隐私风险：当前使用合成画像；真实学习数据接入前需最小化采集、授权、脱敏和访问控制。</w:t>
      </w:r>
    </w:p>
    <w:p>
      <w:pPr>
        <w:pStyle w:val="ListBullet"/>
        <w:spacing w:after="80" w:line="324" w:lineRule="auto"/>
        <w:ind w:left="420" w:hanging="210"/>
      </w:pPr>
      <w:r>
        <w:rPr>
          <w:rFonts w:ascii="Times New Roman" w:hAnsi="Times New Roman" w:eastAsia="宋体"/>
          <w:color w:val="243238"/>
          <w:sz w:val="23"/>
        </w:rPr>
        <w:t>模型与开源许可：第三方组件须记录版本、许可证和修改范围；自研代码与第三方代码边界清晰。</w:t>
      </w:r>
    </w:p>
    <w:p>
      <w:pPr>
        <w:pStyle w:val="ListBullet"/>
        <w:spacing w:after="80" w:line="324" w:lineRule="auto"/>
        <w:ind w:left="420" w:hanging="210"/>
      </w:pPr>
      <w:r>
        <w:rPr>
          <w:rFonts w:ascii="Times New Roman" w:hAnsi="Times New Roman" w:eastAsia="宋体"/>
          <w:color w:val="243238"/>
          <w:sz w:val="23"/>
        </w:rPr>
        <w:t>生产风险：当前是单机竞赛 Demo，不等同于多租户生产系统；公网长期部署前需 TLS、认证、共享状态、监控和备份。</w:t>
      </w:r>
    </w:p>
    <w:p>
      <w:pPr>
        <w:pStyle w:val="Heading1"/>
        <w:keepNext/>
        <w:pageBreakBefore/>
        <w:spacing w:before="320" w:after="180"/>
      </w:pPr>
      <w:r>
        <w:rPr>
          <w:rFonts w:ascii="Arial" w:hAnsi="Arial" w:eastAsia="黑体"/>
          <w:b/>
          <w:color w:val="075E59"/>
          <w:sz w:val="36"/>
        </w:rPr>
        <w:t>第十章 总结、局限与下一阶段</w:t>
      </w:r>
    </w:p>
    <w:p>
      <w:pPr>
        <w:pStyle w:val="Heading2"/>
        <w:keepNext/>
        <w:spacing w:before="240" w:after="120"/>
      </w:pPr>
      <w:r>
        <w:rPr>
          <w:rFonts w:ascii="Arial" w:hAnsi="Arial" w:eastAsia="黑体"/>
          <w:b/>
          <w:color w:val="17324D"/>
          <w:sz w:val="28"/>
        </w:rPr>
        <w:t>10.1 项目总结</w:t>
      </w:r>
    </w:p>
    <w:p>
      <w:pPr>
        <w:keepNext w:val="0"/>
        <w:widowControl/>
        <w:spacing w:before="0" w:after="120" w:line="360" w:lineRule="auto"/>
        <w:ind w:firstLine="480"/>
        <w:jc w:val="both"/>
      </w:pPr>
      <w:r>
        <w:rPr>
          <w:rFonts w:ascii="Times New Roman" w:hAnsi="Times New Roman" w:eastAsia="宋体"/>
          <w:color w:val="243238"/>
          <w:sz w:val="24"/>
        </w:rPr>
        <w:t>“研海寻踪”围绕科研文献碎片化与榜题中的个性化、多智能体协同要求，完成了从领域文献切片、证据跨度抽取、可信建图、异质三智能体裁决到意图驱动图检索和个性化资源生成的可运行闭环。项目的核心价值不在于页面展示，而在于把“每条关系能否回到证据、错误能否被批判、裁判为何接收或拒绝”变成显式数据与可复现实验。</w:t>
      </w:r>
    </w:p>
    <w:p>
      <w:pPr>
        <w:pStyle w:val="Heading2"/>
        <w:keepNext/>
        <w:spacing w:before="240" w:after="120"/>
      </w:pPr>
      <w:r>
        <w:rPr>
          <w:rFonts w:ascii="Arial" w:hAnsi="Arial" w:eastAsia="黑体"/>
          <w:b/>
          <w:color w:val="17324D"/>
          <w:sz w:val="28"/>
        </w:rPr>
        <w:t>10.2 当前局限</w:t>
      </w:r>
    </w:p>
    <w:p>
      <w:pPr>
        <w:pStyle w:val="ListBullet"/>
        <w:spacing w:after="80" w:line="324" w:lineRule="auto"/>
        <w:ind w:left="420" w:hanging="210"/>
      </w:pPr>
      <w:r>
        <w:rPr>
          <w:rFonts w:ascii="Times New Roman" w:hAnsi="Times New Roman" w:eastAsia="宋体"/>
          <w:color w:val="243238"/>
          <w:sz w:val="23"/>
        </w:rPr>
        <w:t>19 篇证据卡仍以项目组释义和公开摘要为主，尚未形成大规模合法全文解析集。</w:t>
      </w:r>
    </w:p>
    <w:p>
      <w:pPr>
        <w:pStyle w:val="ListBullet"/>
        <w:spacing w:after="80" w:line="324" w:lineRule="auto"/>
        <w:ind w:left="420" w:hanging="210"/>
      </w:pPr>
      <w:r>
        <w:rPr>
          <w:rFonts w:ascii="Times New Roman" w:hAnsi="Times New Roman" w:eastAsia="宋体"/>
          <w:color w:val="243238"/>
          <w:sz w:val="23"/>
        </w:rPr>
        <w:t>24 条压力命题样本较小且开发可见，存在机制过拟合风险；已补充 390 条三领域真实证据机制用例（冻结 + 内容指纹）并启动人工抽查核验。</w:t>
      </w:r>
    </w:p>
    <w:p>
      <w:pPr>
        <w:pStyle w:val="ListBullet"/>
        <w:spacing w:after="80" w:line="324" w:lineRule="auto"/>
        <w:ind w:left="420" w:hanging="210"/>
      </w:pPr>
      <w:r>
        <w:rPr>
          <w:rFonts w:ascii="Times New Roman" w:hAnsi="Times New Roman" w:eastAsia="宋体"/>
          <w:color w:val="243238"/>
          <w:sz w:val="23"/>
        </w:rPr>
        <w:t>候选器以规则为主；LLM 三智能体（异质批判/裁判 + 模型无关护栏）与 6 家厂商对比实验框架已就绪，正式模型对比结果待 API 接入后补充。</w:t>
      </w:r>
    </w:p>
    <w:p>
      <w:pPr>
        <w:pStyle w:val="ListBullet"/>
        <w:spacing w:after="80" w:line="324" w:lineRule="auto"/>
        <w:ind w:left="420" w:hanging="210"/>
      </w:pPr>
      <w:r>
        <w:rPr>
          <w:rFonts w:ascii="Times New Roman" w:hAnsi="Times New Roman" w:eastAsia="宋体"/>
          <w:color w:val="243238"/>
          <w:sz w:val="23"/>
        </w:rPr>
        <w:t>未完成双人独立标注、第三人仲裁、专家盲评和真实学习者试点。</w:t>
      </w:r>
    </w:p>
    <w:p>
      <w:pPr>
        <w:pStyle w:val="ListBullet"/>
        <w:spacing w:after="80" w:line="324" w:lineRule="auto"/>
        <w:ind w:left="420" w:hanging="210"/>
      </w:pPr>
      <w:r>
        <w:rPr>
          <w:rFonts w:ascii="Times New Roman" w:hAnsi="Times New Roman" w:eastAsia="宋体"/>
          <w:color w:val="243238"/>
          <w:sz w:val="23"/>
        </w:rPr>
        <w:t>未取得可在本初稿中核验的学生近两年论文、专利、软著或应用证明。</w:t>
      </w:r>
    </w:p>
    <w:p>
      <w:pPr>
        <w:pStyle w:val="Heading2"/>
        <w:keepNext/>
        <w:spacing w:before="240" w:after="120"/>
      </w:pPr>
      <w:r>
        <w:rPr>
          <w:rFonts w:ascii="Arial" w:hAnsi="Arial" w:eastAsia="黑体"/>
          <w:b/>
          <w:color w:val="17324D"/>
          <w:sz w:val="28"/>
        </w:rPr>
        <w:t>10.3 下一阶段优先级</w:t>
      </w:r>
    </w:p>
    <w:p>
      <w:pPr>
        <w:numPr>
          <w:ilvl w:val="0"/>
          <w:numId w:val="12"/>
        </w:numPr>
        <w:spacing w:after="80" w:line="324" w:lineRule="auto"/>
        <w:ind w:left="510" w:hanging="255"/>
      </w:pPr>
      <w:r>
        <w:rPr>
          <w:rFonts w:ascii="Times New Roman" w:hAnsi="Times New Roman" w:eastAsia="宋体"/>
          <w:color w:val="243238"/>
          <w:sz w:val="23"/>
        </w:rPr>
        <w:t>优先完成全文 Pilot、标注手册和金标准，先把论文信息抽取做实。</w:t>
      </w:r>
    </w:p>
    <w:p>
      <w:pPr>
        <w:numPr>
          <w:ilvl w:val="0"/>
          <w:numId w:val="12"/>
        </w:numPr>
        <w:spacing w:after="80" w:line="324" w:lineRule="auto"/>
        <w:ind w:left="510" w:hanging="255"/>
      </w:pPr>
      <w:r>
        <w:rPr>
          <w:rFonts w:ascii="Times New Roman" w:hAnsi="Times New Roman" w:eastAsia="宋体"/>
          <w:color w:val="243238"/>
          <w:sz w:val="23"/>
        </w:rPr>
        <w:t>接入至少两类候选模型，冻结 Track B 测试集并完成端到端主结果与消融。</w:t>
      </w:r>
    </w:p>
    <w:p>
      <w:pPr>
        <w:numPr>
          <w:ilvl w:val="0"/>
          <w:numId w:val="12"/>
        </w:numPr>
        <w:spacing w:after="80" w:line="324" w:lineRule="auto"/>
        <w:ind w:left="510" w:hanging="255"/>
      </w:pPr>
      <w:r>
        <w:rPr>
          <w:rFonts w:ascii="Times New Roman" w:hAnsi="Times New Roman" w:eastAsia="宋体"/>
          <w:color w:val="243238"/>
          <w:sz w:val="23"/>
        </w:rPr>
        <w:t>将当前图导出为 GraphRAG BYOG 数据，比较 Local/Global/DRIFT 与离线基线。</w:t>
      </w:r>
    </w:p>
    <w:p>
      <w:pPr>
        <w:numPr>
          <w:ilvl w:val="0"/>
          <w:numId w:val="12"/>
        </w:numPr>
        <w:spacing w:after="80" w:line="324" w:lineRule="auto"/>
        <w:ind w:left="510" w:hanging="255"/>
      </w:pPr>
      <w:r>
        <w:rPr>
          <w:rFonts w:ascii="Times New Roman" w:hAnsi="Times New Roman" w:eastAsia="宋体"/>
          <w:color w:val="243238"/>
          <w:sz w:val="23"/>
        </w:rPr>
        <w:t>开展 2—3 组真实用户任务，获取导师、科研人员或企业分析师的可核验反馈。</w:t>
      </w:r>
    </w:p>
    <w:p>
      <w:pPr>
        <w:numPr>
          <w:ilvl w:val="0"/>
          <w:numId w:val="12"/>
        </w:numPr>
        <w:spacing w:after="80" w:line="324" w:lineRule="auto"/>
        <w:ind w:left="510" w:hanging="255"/>
      </w:pPr>
      <w:r>
        <w:rPr>
          <w:rFonts w:ascii="Times New Roman" w:hAnsi="Times New Roman" w:eastAsia="宋体"/>
          <w:color w:val="243238"/>
          <w:sz w:val="23"/>
        </w:rPr>
        <w:t>在学校指导下推进软著/专利/论文，所有权属成果在获得受理或证书后再写入定稿。</w:t>
      </w:r>
    </w:p>
    <w:p>
      <w:pPr>
        <w:pStyle w:val="Heading1"/>
        <w:keepNext/>
        <w:pageBreakBefore/>
        <w:spacing w:before="320" w:after="180"/>
      </w:pPr>
      <w:r>
        <w:rPr>
          <w:rFonts w:ascii="Arial" w:hAnsi="Arial" w:eastAsia="黑体"/>
          <w:b/>
          <w:color w:val="075E59"/>
          <w:sz w:val="36"/>
        </w:rPr>
        <w:t>参考文献</w:t>
      </w:r>
    </w:p>
    <w:p>
      <w:pPr>
        <w:keepNext w:val="0"/>
        <w:widowControl/>
        <w:spacing w:before="0" w:after="80" w:line="288" w:lineRule="auto"/>
        <w:ind w:left="397" w:hanging="397"/>
        <w:jc w:val="left"/>
      </w:pPr>
      <w:r>
        <w:rPr>
          <w:rFonts w:ascii="Times New Roman" w:hAnsi="Times New Roman" w:eastAsia="宋体"/>
          <w:color w:val="243238"/>
          <w:sz w:val="19"/>
        </w:rPr>
        <w:t>[1] Edge D, Trinh H, Cheng N, et al. From Local to Global: A Graph RAG Approach to Query-Focused Summarization. arXiv:2404.16130, 2024.</w:t>
      </w:r>
    </w:p>
    <w:p>
      <w:pPr>
        <w:keepNext w:val="0"/>
        <w:widowControl/>
        <w:spacing w:before="0" w:after="80" w:line="288" w:lineRule="auto"/>
        <w:ind w:left="397" w:hanging="397"/>
        <w:jc w:val="left"/>
      </w:pPr>
      <w:r>
        <w:rPr>
          <w:rFonts w:ascii="Times New Roman" w:hAnsi="Times New Roman" w:eastAsia="宋体"/>
          <w:color w:val="243238"/>
          <w:sz w:val="19"/>
        </w:rPr>
        <w:t>[2] Luan Y, Wadden D, He L, et al. A General Framework for Information Extraction using Dynamic Span Graphs. NAACL, 2019.</w:t>
      </w:r>
    </w:p>
    <w:p>
      <w:pPr>
        <w:keepNext w:val="0"/>
        <w:widowControl/>
        <w:spacing w:before="0" w:after="80" w:line="288" w:lineRule="auto"/>
        <w:ind w:left="397" w:hanging="397"/>
        <w:jc w:val="left"/>
      </w:pPr>
      <w:r>
        <w:rPr>
          <w:rFonts w:ascii="Times New Roman" w:hAnsi="Times New Roman" w:eastAsia="宋体"/>
          <w:color w:val="243238"/>
          <w:sz w:val="19"/>
        </w:rPr>
        <w:t>[3] Wadden D, Wennberg U, Luan Y, et al. Entity, Relation, and Event Extraction with Contextualized Span Representations. EMNLP-IJCNLP, 2019.</w:t>
      </w:r>
    </w:p>
    <w:p>
      <w:pPr>
        <w:keepNext w:val="0"/>
        <w:widowControl/>
        <w:spacing w:before="0" w:after="80" w:line="288" w:lineRule="auto"/>
        <w:ind w:left="397" w:hanging="397"/>
        <w:jc w:val="left"/>
      </w:pPr>
      <w:r>
        <w:rPr>
          <w:rFonts w:ascii="Times New Roman" w:hAnsi="Times New Roman" w:eastAsia="宋体"/>
          <w:color w:val="243238"/>
          <w:sz w:val="19"/>
        </w:rPr>
        <w:t>[4] Jain S, van Zuylen M, Hajishirzi H, et al. SciREX: A Challenge Dataset for Document-Level Information Extraction. ACL, 2020.</w:t>
      </w:r>
    </w:p>
    <w:p>
      <w:pPr>
        <w:keepNext w:val="0"/>
        <w:widowControl/>
        <w:spacing w:before="0" w:after="80" w:line="288" w:lineRule="auto"/>
        <w:ind w:left="397" w:hanging="397"/>
        <w:jc w:val="left"/>
      </w:pPr>
      <w:r>
        <w:rPr>
          <w:rFonts w:ascii="Times New Roman" w:hAnsi="Times New Roman" w:eastAsia="宋体"/>
          <w:color w:val="243238"/>
          <w:sz w:val="19"/>
        </w:rPr>
        <w:t>[5] Viswanathan V, Neubig G, et al. ReSel: N-ary Relation Extraction from Scientific Text and Tables. EMNLP, 2022.</w:t>
      </w:r>
    </w:p>
    <w:p>
      <w:pPr>
        <w:keepNext w:val="0"/>
        <w:widowControl/>
        <w:spacing w:before="0" w:after="80" w:line="288" w:lineRule="auto"/>
        <w:ind w:left="397" w:hanging="397"/>
        <w:jc w:val="left"/>
      </w:pPr>
      <w:r>
        <w:rPr>
          <w:rFonts w:ascii="Times New Roman" w:hAnsi="Times New Roman" w:eastAsia="宋体"/>
          <w:color w:val="243238"/>
          <w:sz w:val="19"/>
        </w:rPr>
        <w:t>[6] Veyseh A P B, Dernoncourt F, Nguyen T H. GLiNER: Generalist Model for Named Entity Recognition using Bidirectional Transformer. NAACL, 2024.</w:t>
      </w:r>
    </w:p>
    <w:p>
      <w:pPr>
        <w:keepNext w:val="0"/>
        <w:widowControl/>
        <w:spacing w:before="0" w:after="80" w:line="288" w:lineRule="auto"/>
        <w:ind w:left="397" w:hanging="397"/>
        <w:jc w:val="left"/>
      </w:pPr>
      <w:r>
        <w:rPr>
          <w:rFonts w:ascii="Times New Roman" w:hAnsi="Times New Roman" w:eastAsia="宋体"/>
          <w:color w:val="243238"/>
          <w:sz w:val="19"/>
        </w:rPr>
        <w:t>[7] Zaratiana U, Tomeh N, Holat P, et al. GLiREL: Generalist Model for Zero-Shot Relation Extraction. NAACL, 2025.</w:t>
      </w:r>
    </w:p>
    <w:p>
      <w:pPr>
        <w:keepNext w:val="0"/>
        <w:widowControl/>
        <w:spacing w:before="0" w:after="80" w:line="288" w:lineRule="auto"/>
        <w:ind w:left="397" w:hanging="397"/>
        <w:jc w:val="left"/>
      </w:pPr>
      <w:r>
        <w:rPr>
          <w:rFonts w:ascii="Times New Roman" w:hAnsi="Times New Roman" w:eastAsia="宋体"/>
          <w:color w:val="243238"/>
          <w:sz w:val="19"/>
        </w:rPr>
        <w:t>[8] Lo K, Wang L L, Neumann M, et al. S2ORC: The Semantic Scholar Open Research Corpus. ACL, 2020.</w:t>
      </w:r>
    </w:p>
    <w:p>
      <w:pPr>
        <w:keepNext w:val="0"/>
        <w:widowControl/>
        <w:spacing w:before="0" w:after="80" w:line="288" w:lineRule="auto"/>
        <w:ind w:left="397" w:hanging="397"/>
        <w:jc w:val="left"/>
      </w:pPr>
      <w:r>
        <w:rPr>
          <w:rFonts w:ascii="Times New Roman" w:hAnsi="Times New Roman" w:eastAsia="宋体"/>
          <w:color w:val="243238"/>
          <w:sz w:val="19"/>
        </w:rPr>
        <w:t>[9] Auer C, Dolfi M, Carvalho A, et al. Docling Technical Report. arXiv:2408.09869, 2024.</w:t>
      </w:r>
    </w:p>
    <w:p>
      <w:pPr>
        <w:keepNext w:val="0"/>
        <w:widowControl/>
        <w:spacing w:before="0" w:after="80" w:line="288" w:lineRule="auto"/>
        <w:ind w:left="397" w:hanging="397"/>
        <w:jc w:val="left"/>
      </w:pPr>
      <w:r>
        <w:rPr>
          <w:rFonts w:ascii="Times New Roman" w:hAnsi="Times New Roman" w:eastAsia="宋体"/>
          <w:color w:val="243238"/>
          <w:sz w:val="19"/>
        </w:rPr>
        <w:t>[10] Lairgi Y, Moncla L, Cazabet R, et al. iText2KG: Incremental Knowledge Graphs Construction Using Large Language Models. arXiv:2409.03284, 2024.</w:t>
      </w:r>
    </w:p>
    <w:p>
      <w:pPr>
        <w:keepNext w:val="0"/>
        <w:widowControl/>
        <w:spacing w:before="0" w:after="80" w:line="288" w:lineRule="auto"/>
        <w:ind w:left="397" w:hanging="397"/>
        <w:jc w:val="left"/>
      </w:pPr>
      <w:r>
        <w:rPr>
          <w:rFonts w:ascii="Times New Roman" w:hAnsi="Times New Roman" w:eastAsia="宋体"/>
          <w:color w:val="243238"/>
          <w:sz w:val="19"/>
        </w:rPr>
        <w:t>[11] Li G, Hammoud H A A K, Itani H, et al. CAMEL: Communicative Agents for Mind Exploration of Large Scale Language Model Society. NeurIPS, 2023.</w:t>
      </w:r>
    </w:p>
    <w:p>
      <w:pPr>
        <w:keepNext w:val="0"/>
        <w:widowControl/>
        <w:spacing w:before="0" w:after="80" w:line="288" w:lineRule="auto"/>
        <w:ind w:left="397" w:hanging="397"/>
        <w:jc w:val="left"/>
      </w:pPr>
      <w:r>
        <w:rPr>
          <w:rFonts w:ascii="Times New Roman" w:hAnsi="Times New Roman" w:eastAsia="宋体"/>
          <w:color w:val="243238"/>
          <w:sz w:val="19"/>
        </w:rPr>
        <w:t>[12] Wu Q, Bansal G, Zhang J, et al. AutoGen: Enabling Next-Gen LLM Applications via Multi-Agent Conversation. arXiv:2308.08155, 2023.</w:t>
      </w:r>
    </w:p>
    <w:p>
      <w:pPr>
        <w:keepNext w:val="0"/>
        <w:widowControl/>
        <w:spacing w:before="0" w:after="80" w:line="288" w:lineRule="auto"/>
        <w:ind w:left="397" w:hanging="397"/>
        <w:jc w:val="left"/>
      </w:pPr>
      <w:r>
        <w:rPr>
          <w:rFonts w:ascii="Times New Roman" w:hAnsi="Times New Roman" w:eastAsia="宋体"/>
          <w:color w:val="243238"/>
          <w:sz w:val="19"/>
        </w:rPr>
        <w:t>[13] Madaan A, Tandon N, Gupta P, et al. Self-Refine: Iterative Refinement with Self-Feedback. NeurIPS, 2023.</w:t>
      </w:r>
    </w:p>
    <w:p>
      <w:pPr>
        <w:keepNext w:val="0"/>
        <w:widowControl/>
        <w:spacing w:before="0" w:after="80" w:line="288" w:lineRule="auto"/>
        <w:ind w:left="397" w:hanging="397"/>
        <w:jc w:val="left"/>
      </w:pPr>
      <w:r>
        <w:rPr>
          <w:rFonts w:ascii="Times New Roman" w:hAnsi="Times New Roman" w:eastAsia="宋体"/>
          <w:color w:val="243238"/>
          <w:sz w:val="19"/>
        </w:rPr>
        <w:t>[14] Piech C, Bassen J, Huang J, et al. Deep Knowledge Tracing. NeurIPS, 2015.</w:t>
      </w:r>
    </w:p>
    <w:p>
      <w:pPr>
        <w:keepNext w:val="0"/>
        <w:widowControl/>
        <w:spacing w:before="0" w:after="80" w:line="288" w:lineRule="auto"/>
        <w:ind w:left="397" w:hanging="397"/>
        <w:jc w:val="left"/>
      </w:pPr>
      <w:r>
        <w:rPr>
          <w:rFonts w:ascii="Times New Roman" w:hAnsi="Times New Roman" w:eastAsia="宋体"/>
          <w:color w:val="243238"/>
          <w:sz w:val="19"/>
        </w:rPr>
        <w:t>[15] Merchant A, Batzner S, Schoenholz S S, et al. Scaling Deep Learning for Materials Discovery. Nature, 2023.</w:t>
      </w:r>
    </w:p>
    <w:p>
      <w:pPr>
        <w:pStyle w:val="Heading1"/>
        <w:keepNext/>
        <w:pageBreakBefore/>
        <w:spacing w:before="320" w:after="180"/>
      </w:pPr>
      <w:r>
        <w:rPr>
          <w:rFonts w:ascii="Arial" w:hAnsi="Arial" w:eastAsia="黑体"/>
          <w:b/>
          <w:color w:val="075E59"/>
          <w:sz w:val="36"/>
        </w:rPr>
        <w:t>附录 A：Demo 复核清单</w:t>
      </w:r>
    </w:p>
    <w:p>
      <w:pPr>
        <w:pStyle w:val="ListBullet"/>
        <w:spacing w:after="80" w:line="324" w:lineRule="auto"/>
        <w:ind w:left="420" w:hanging="210"/>
      </w:pPr>
      <w:r>
        <w:rPr>
          <w:rFonts w:ascii="Times New Roman" w:hAnsi="Times New Roman" w:eastAsia="宋体"/>
          <w:color w:val="243238"/>
          <w:sz w:val="23"/>
        </w:rPr>
        <w:t>解压 ZIP 后确认根目录存在 RUN_DEMO.bat、STOP_DEMO.bat、OPEN_DEMO.url、GITHUB_REPOSITORY.url。</w:t>
      </w:r>
    </w:p>
    <w:p>
      <w:pPr>
        <w:pStyle w:val="ListBullet"/>
        <w:spacing w:after="80" w:line="324" w:lineRule="auto"/>
        <w:ind w:left="420" w:hanging="210"/>
      </w:pPr>
      <w:r>
        <w:rPr>
          <w:rFonts w:ascii="Times New Roman" w:hAnsi="Times New Roman" w:eastAsia="宋体"/>
          <w:color w:val="243238"/>
          <w:sz w:val="23"/>
        </w:rPr>
        <w:t>双击运行，检查 /api/health 和 /api/ready 正常，页面显示 3 个领域和 90 篇论文记录。</w:t>
      </w:r>
    </w:p>
    <w:p>
      <w:pPr>
        <w:pStyle w:val="ListBullet"/>
        <w:spacing w:after="80" w:line="324" w:lineRule="auto"/>
        <w:ind w:left="420" w:hanging="210"/>
      </w:pPr>
      <w:r>
        <w:rPr>
          <w:rFonts w:ascii="Times New Roman" w:hAnsi="Times New Roman" w:eastAsia="宋体"/>
          <w:color w:val="243238"/>
          <w:sz w:val="23"/>
        </w:rPr>
        <w:t>运行任意领域与画像，检查 2 个专职 Agent、3 个核心决策 Agent 及 3 项服务轨迹。</w:t>
      </w:r>
    </w:p>
    <w:p>
      <w:pPr>
        <w:pStyle w:val="ListBullet"/>
        <w:spacing w:after="80" w:line="324" w:lineRule="auto"/>
        <w:ind w:left="420" w:hanging="210"/>
      </w:pPr>
      <w:r>
        <w:rPr>
          <w:rFonts w:ascii="Times New Roman" w:hAnsi="Times New Roman" w:eastAsia="宋体"/>
          <w:color w:val="243238"/>
          <w:sz w:val="23"/>
        </w:rPr>
        <w:t>核对知识图谱中的论文—证据—实体链、裁判分解和 24 条压力集消融。</w:t>
      </w:r>
    </w:p>
    <w:p>
      <w:pPr>
        <w:pStyle w:val="ListBullet"/>
        <w:spacing w:after="80" w:line="324" w:lineRule="auto"/>
        <w:ind w:left="420" w:hanging="210"/>
      </w:pPr>
      <w:r>
        <w:rPr>
          <w:rFonts w:ascii="Times New Roman" w:hAnsi="Times New Roman" w:eastAsia="宋体"/>
          <w:color w:val="243238"/>
          <w:sz w:val="23"/>
        </w:rPr>
        <w:t>点击 GitHub 快捷方式，核对默认 main 分支与提交历史。</w:t>
      </w:r>
    </w:p>
    <w:p>
      <w:pPr>
        <w:pStyle w:val="Heading1"/>
        <w:keepNext/>
        <w:pageBreakBefore/>
        <w:spacing w:before="320" w:after="180"/>
      </w:pPr>
      <w:r>
        <w:rPr>
          <w:rFonts w:ascii="Arial" w:hAnsi="Arial" w:eastAsia="黑体"/>
          <w:b/>
          <w:color w:val="075E59"/>
          <w:sz w:val="36"/>
        </w:rPr>
        <w:t>附录 B：当前支撑材料</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2100"/>
        <w:gridCol w:w="3600"/>
        <w:gridCol w:w="3660"/>
      </w:tblGrid>
      <w:tr>
        <w:trPr>
          <w:tblHeader w:val="true"/>
        </w:trPr>
        <w:tc>
          <w:tcPr>
            <w:tcW w:type="dxa" w:w="21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材料</w:t>
            </w:r>
          </w:p>
        </w:tc>
        <w:tc>
          <w:tcPr>
            <w:tcW w:type="dxa" w:w="3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位置/状态</w:t>
            </w:r>
          </w:p>
        </w:tc>
        <w:tc>
          <w:tcPr>
            <w:tcW w:type="dxa" w:w="36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用途</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源代码仓库</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GitHub main，提交 df15e37</w:t>
            </w:r>
          </w:p>
        </w:tc>
        <w:tc>
          <w:tcPr>
            <w:tcW w:type="dxa" w:w="36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复核代码与历史</w:t>
            </w:r>
          </w:p>
        </w:tc>
      </w:tr>
      <w:tr>
        <w:tc>
          <w:tcPr>
            <w:tcW w:type="dxa" w:w="21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Windows Demo ZIP</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dist/yanhai-demo-windows.zip</w:t>
            </w:r>
          </w:p>
        </w:tc>
        <w:tc>
          <w:tcPr>
            <w:tcW w:type="dxa" w:w="36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离线运行</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领域知识库</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data/vertical_kb</w:t>
            </w:r>
          </w:p>
        </w:tc>
        <w:tc>
          <w:tcPr>
            <w:tcW w:type="dxa" w:w="36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3 领域 × 30 篇</w:t>
            </w:r>
          </w:p>
        </w:tc>
      </w:tr>
      <w:tr>
        <w:tc>
          <w:tcPr>
            <w:tcW w:type="dxa" w:w="21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完整样例</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data/examples/complete_demo_cases.json</w:t>
            </w:r>
          </w:p>
        </w:tc>
        <w:tc>
          <w:tcPr>
            <w:tcW w:type="dxa" w:w="36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输入—中间—输出</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压力测试集</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data/evaluation/decision_benchmark.json</w:t>
            </w:r>
          </w:p>
        </w:tc>
        <w:tc>
          <w:tcPr>
            <w:tcW w:type="dxa" w:w="36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四组对照与错误案例</w:t>
            </w:r>
          </w:p>
        </w:tc>
      </w:tr>
      <w:tr>
        <w:tc>
          <w:tcPr>
            <w:tcW w:type="dxa" w:w="21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架构、路线与实验文档</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docs/08、11、14、15、16</w:t>
            </w:r>
          </w:p>
        </w:tc>
        <w:tc>
          <w:tcPr>
            <w:tcW w:type="dxa" w:w="36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技术与复现说明</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参考作品书</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references/competition_examples</w:t>
            </w:r>
          </w:p>
        </w:tc>
        <w:tc>
          <w:tcPr>
            <w:tcW w:type="dxa" w:w="36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格式与结构参考</w:t>
            </w:r>
          </w:p>
        </w:tc>
      </w:tr>
    </w:tbl>
    <w:p>
      <w:pPr>
        <w:spacing w:after="20"/>
      </w:pPr>
    </w:p>
    <w:p>
      <w:pPr>
        <w:pStyle w:val="Heading1"/>
        <w:keepNext/>
        <w:pageBreakBefore/>
        <w:spacing w:before="320" w:after="180"/>
      </w:pPr>
      <w:r>
        <w:rPr>
          <w:rFonts w:ascii="Arial" w:hAnsi="Arial" w:eastAsia="黑体"/>
          <w:b/>
          <w:color w:val="075E59"/>
          <w:sz w:val="36"/>
        </w:rPr>
        <w:t>附录 C：定稿前必须补充</w:t>
      </w:r>
    </w:p>
    <w:tbl>
      <w:tblPr>
        <w:tblW w:type="dxa" w:w="9360"/>
        <w:jc w:val="center"/>
        <w:tblLayout w:type="fixed"/>
        <w:tblLook w:firstColumn="1" w:firstRow="1" w:lastColumn="0" w:lastRow="0" w:noHBand="0" w:noVBand="1" w:val="04A0"/>
        <w:tblInd w:w="120" w:type="dxa"/>
        <w:tblBorders>
          <w:top w:val="single" w:sz="4" w:space="0" w:color="FBF3DF"/>
          <w:left w:val="single" w:sz="4" w:space="0" w:color="FBF3DF"/>
          <w:bottom w:val="single" w:sz="4" w:space="0" w:color="FBF3DF"/>
          <w:right w:val="single" w:sz="4" w:space="0" w:color="FBF3DF"/>
          <w:insideH w:val="single" w:sz="4" w:space="0" w:color="FBF3DF"/>
          <w:insideV w:val="single" w:sz="4" w:space="0" w:color="FBF3DF"/>
        </w:tblBorders>
      </w:tblPr>
      <w:tblGrid>
        <w:gridCol w:w="9360"/>
      </w:tblGrid>
      <w:tr>
        <w:tc>
          <w:tcPr>
            <w:tcW w:type="dxa" w:w="9360"/>
            <w:vAlign w:val="center"/>
            <w:tcMar>
              <w:top w:w="100" w:type="dxa"/>
              <w:start w:w="120" w:type="dxa"/>
              <w:bottom w:w="100" w:type="dxa"/>
              <w:end w:w="120" w:type="dxa"/>
            </w:tcMar>
            <w:shd w:fill="FBF3DF"/>
          </w:tcPr>
          <w:p>
            <w:pPr>
              <w:keepNext w:val="0"/>
              <w:widowControl/>
              <w:spacing w:before="0" w:after="0" w:line="312" w:lineRule="auto"/>
              <w:jc w:val="left"/>
            </w:pPr>
            <w:r>
              <w:rPr>
                <w:rFonts w:ascii="Arial" w:hAnsi="Arial" w:eastAsia="黑体"/>
                <w:b/>
                <w:color w:val="17324D"/>
                <w:sz w:val="22"/>
              </w:rPr>
              <w:t xml:space="preserve">导师审核项  </w:t>
            </w:r>
            <w:r>
              <w:rPr>
                <w:rFonts w:ascii="Times New Roman" w:hAnsi="Times New Roman" w:eastAsia="宋体"/>
                <w:color w:val="17324D"/>
                <w:sz w:val="21"/>
              </w:rPr>
              <w:t>申报者与指导教师姓名、正式封面届次、联系方式、学校/学院标识、团队分工与贡献说明、经导师确认的创新表述。</w:t>
            </w:r>
          </w:p>
        </w:tc>
      </w:tr>
    </w:tbl>
    <w:tbl>
      <w:tblPr>
        <w:tblW w:type="dxa" w:w="9360"/>
        <w:jc w:val="center"/>
        <w:tblLayout w:type="fixed"/>
        <w:tblLook w:firstColumn="1" w:firstRow="1" w:lastColumn="0" w:lastRow="0" w:noHBand="0" w:noVBand="1" w:val="04A0"/>
        <w:tblInd w:w="120" w:type="dxa"/>
        <w:tblBorders>
          <w:top w:val="single" w:sz="4" w:space="0" w:color="FCE9E5"/>
          <w:left w:val="single" w:sz="4" w:space="0" w:color="FCE9E5"/>
          <w:bottom w:val="single" w:sz="4" w:space="0" w:color="FCE9E5"/>
          <w:right w:val="single" w:sz="4" w:space="0" w:color="FCE9E5"/>
          <w:insideH w:val="single" w:sz="4" w:space="0" w:color="FCE9E5"/>
          <w:insideV w:val="single" w:sz="4" w:space="0" w:color="FCE9E5"/>
        </w:tblBorders>
      </w:tblPr>
      <w:tblGrid>
        <w:gridCol w:w="9360"/>
      </w:tblGrid>
      <w:tr>
        <w:tc>
          <w:tcPr>
            <w:tcW w:type="dxa" w:w="9360"/>
            <w:vAlign w:val="center"/>
            <w:tcMar>
              <w:top w:w="100" w:type="dxa"/>
              <w:start w:w="120" w:type="dxa"/>
              <w:bottom w:w="100" w:type="dxa"/>
              <w:end w:w="120" w:type="dxa"/>
            </w:tcMar>
            <w:shd w:fill="FCE9E5"/>
          </w:tcPr>
          <w:p>
            <w:pPr>
              <w:keepNext w:val="0"/>
              <w:widowControl/>
              <w:spacing w:before="0" w:after="0" w:line="312" w:lineRule="auto"/>
              <w:jc w:val="left"/>
            </w:pPr>
            <w:r>
              <w:rPr>
                <w:rFonts w:ascii="Arial" w:hAnsi="Arial" w:eastAsia="黑体"/>
                <w:b/>
                <w:color w:val="A54737"/>
                <w:sz w:val="22"/>
              </w:rPr>
              <w:t xml:space="preserve">支撑材料缺口  </w:t>
            </w:r>
            <w:r>
              <w:rPr>
                <w:rFonts w:ascii="Times New Roman" w:hAnsi="Times New Roman" w:eastAsia="宋体"/>
                <w:color w:val="A54737"/>
                <w:sz w:val="21"/>
              </w:rPr>
              <w:t>学生近两年论文、专利、软著、应用证明、专家推荐等目前无可核验材料。若团队已有，请只在取得证书、受理通知、正式论文或盖章证明后加入，并建立与创新点的对应关系。</w:t>
            </w:r>
          </w:p>
        </w:tc>
      </w:tr>
    </w:tbl>
    <w:tbl>
      <w:tblPr>
        <w:tblW w:type="dxa" w:w="9360"/>
        <w:jc w:val="center"/>
        <w:tblLayout w:type="fixed"/>
        <w:tblLook w:firstColumn="1" w:firstRow="1" w:lastColumn="0" w:lastRow="0" w:noHBand="0" w:noVBand="1" w:val="04A0"/>
        <w:tblInd w:w="120" w:type="dxa"/>
        <w:tblBorders>
          <w:top w:val="single" w:sz="4" w:space="0" w:color="EAF0F6"/>
          <w:left w:val="single" w:sz="4" w:space="0" w:color="EAF0F6"/>
          <w:bottom w:val="single" w:sz="4" w:space="0" w:color="EAF0F6"/>
          <w:right w:val="single" w:sz="4" w:space="0" w:color="EAF0F6"/>
          <w:insideH w:val="single" w:sz="4" w:space="0" w:color="EAF0F6"/>
          <w:insideV w:val="single" w:sz="4" w:space="0" w:color="EAF0F6"/>
        </w:tblBorders>
      </w:tblPr>
      <w:tblGrid>
        <w:gridCol w:w="9360"/>
      </w:tblGrid>
      <w:tr>
        <w:tc>
          <w:tcPr>
            <w:tcW w:type="dxa" w:w="9360"/>
            <w:vAlign w:val="center"/>
            <w:tcMar>
              <w:top w:w="100" w:type="dxa"/>
              <w:start w:w="120" w:type="dxa"/>
              <w:bottom w:w="100" w:type="dxa"/>
              <w:end w:w="120" w:type="dxa"/>
            </w:tcMar>
            <w:shd w:fill="EAF0F6"/>
          </w:tcPr>
          <w:p>
            <w:pPr>
              <w:keepNext w:val="0"/>
              <w:widowControl/>
              <w:spacing w:before="0" w:after="0" w:line="312" w:lineRule="auto"/>
              <w:jc w:val="left"/>
            </w:pPr>
            <w:r>
              <w:rPr>
                <w:rFonts w:ascii="Arial" w:hAnsi="Arial" w:eastAsia="黑体"/>
                <w:b/>
                <w:color w:val="17324D"/>
                <w:sz w:val="22"/>
              </w:rPr>
              <w:t xml:space="preserve">实验缺口  </w:t>
            </w:r>
            <w:r>
              <w:rPr>
                <w:rFonts w:ascii="Times New Roman" w:hAnsi="Times New Roman" w:eastAsia="宋体"/>
                <w:color w:val="17324D"/>
                <w:sz w:val="21"/>
              </w:rPr>
              <w:t>合法全文、双人标注与仲裁、端到端 Track B、真实用户试点和专家盲评是作品从“完整 Demo”提升为“优质科研作品”的决定性工作。</w:t>
            </w:r>
          </w:p>
        </w:tc>
      </w:tr>
    </w:tbl>
    <w:sectPr w:rsidR="00FC693F" w:rsidRPr="0006063C" w:rsidSect="00034616">
      <w:pgSz w:w="11906" w:h="16838"/>
      <w:pgMar w:top="1440" w:right="1531" w:bottom="1440" w:left="153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宋体"/>
        <w:color w:val="66777C"/>
        <w:sz w:val="18"/>
      </w:rPr>
      <w:t xml:space="preserve">第 </w:t>
      <w:fldChar w:fldCharType="begin"/>
      <w:instrText xml:space="preserve"> PAGE </w:instrText>
      <w:fldChar w:fldCharType="separate"/>
      <w:t>1</w:t>
      <w:fldChar w:fldCharType="end"/>
    </w:r>
    <w:r>
      <w:rPr>
        <w:rFonts w:ascii="Times New Roman" w:hAnsi="Times New Roman" w:eastAsia="宋体"/>
        <w:color w:val="66777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4" w:space="4" w:color="B7C5C2"/>
      </w:pBdr>
    </w:pPr>
    <w:r>
      <w:rPr>
        <w:rFonts w:ascii="Times New Roman" w:hAnsi="Times New Roman" w:eastAsia="宋体"/>
        <w:color w:val="66777C"/>
        <w:sz w:val="17"/>
      </w:rPr>
      <w:t>研海寻踪：基于多智能体博弈推理的科研知识图谱发现系统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eastAsia="宋体"/>
      <w:color w:val="24323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75E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研海寻踪：基于多智能体博弈推理的科研知识图谱发现系统</dc:title>
  <dc:subject>挑战杯揭榜挂帅专项赛作品书预审核初稿</dc:subject>
  <dc:creator>研海寻踪项目组</dc:creator>
  <cp:keywords>科研知识图谱, 多智能体, GraphRAG, 科学信息抽取, 证据溯源</cp:keywords>
  <dc:description>预审核初稿；提交前须经指导老师确认。</dc:description>
  <cp:lastModifiedBy/>
  <cp:revision>1</cp:revision>
  <dcterms:created xsi:type="dcterms:W3CDTF">2013-12-23T23:15:00Z</dcterms:created>
  <dcterms:modified xsi:type="dcterms:W3CDTF">2013-12-23T23:15:00Z</dcterms:modified>
  <cp:category/>
</cp:coreProperties>
</file>