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3ECDB">
      <w:pPr>
        <w:numPr>
          <w:ilvl w:val="0"/>
          <w:numId w:val="0"/>
        </w:numPr>
        <w:ind w:leftChars="0"/>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公司背景信息</w:t>
      </w:r>
    </w:p>
    <w:p w14:paraId="11978692">
      <w:pPr>
        <w:numPr>
          <w:ilvl w:val="0"/>
          <w:numId w:val="0"/>
        </w:numPr>
        <w:ind w:leftChars="0"/>
        <w:rPr>
          <w:rFonts w:hint="eastAsia" w:ascii="宋体" w:hAnsi="宋体" w:eastAsia="宋体" w:cs="宋体"/>
          <w:lang w:val="en-US" w:eastAsia="zh-CN"/>
        </w:rPr>
      </w:pPr>
    </w:p>
    <w:p w14:paraId="0C105B4A">
      <w:pPr>
        <w:numPr>
          <w:ilvl w:val="0"/>
          <w:numId w:val="0"/>
        </w:numPr>
        <w:ind w:leftChars="0"/>
        <w:rPr>
          <w:rFonts w:hint="default" w:ascii="宋体" w:hAnsi="宋体" w:eastAsia="宋体" w:cs="宋体"/>
          <w:b/>
          <w:bCs/>
          <w:lang w:val="en-US" w:eastAsia="zh-CN"/>
        </w:rPr>
      </w:pPr>
      <w:r>
        <w:rPr>
          <w:rFonts w:hint="eastAsia" w:ascii="宋体" w:hAnsi="宋体" w:eastAsia="宋体" w:cs="宋体"/>
          <w:b/>
          <w:bCs/>
          <w:lang w:val="en-US" w:eastAsia="zh-CN"/>
        </w:rPr>
        <w:t>一、公司基本信息</w:t>
      </w:r>
    </w:p>
    <w:p w14:paraId="5FC83591">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公司全称为：深圳好博窗控技术股份有限公司</w:t>
      </w:r>
    </w:p>
    <w:p w14:paraId="6860EFB0">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公司简称：好博窗控</w:t>
      </w:r>
    </w:p>
    <w:p w14:paraId="7C48B436">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官网网址：</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"http://www.hopo.com.cn" </w:instrText>
      </w:r>
      <w:r>
        <w:rPr>
          <w:rFonts w:hint="eastAsia" w:ascii="宋体" w:hAnsi="宋体" w:eastAsia="宋体" w:cs="宋体"/>
          <w:lang w:val="en-US" w:eastAsia="zh-CN"/>
        </w:rPr>
        <w:fldChar w:fldCharType="separate"/>
      </w:r>
      <w:r>
        <w:rPr>
          <w:rStyle w:val="4"/>
          <w:rFonts w:hint="eastAsia" w:ascii="宋体" w:hAnsi="宋体" w:eastAsia="宋体" w:cs="宋体"/>
          <w:lang w:val="en-US" w:eastAsia="zh-CN"/>
        </w:rPr>
        <w:t>www.hopo.com.cn</w:t>
      </w:r>
      <w:r>
        <w:rPr>
          <w:rFonts w:hint="eastAsia" w:ascii="宋体" w:hAnsi="宋体" w:eastAsia="宋体" w:cs="宋体"/>
          <w:lang w:val="en-US" w:eastAsia="zh-CN"/>
        </w:rPr>
        <w:fldChar w:fldCharType="end"/>
      </w:r>
    </w:p>
    <w:p w14:paraId="1B5761A0">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邮箱后缀：@hopo.com.cn</w:t>
      </w:r>
    </w:p>
    <w:p w14:paraId="73675D2F">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公司品牌LOGO为字母组合：HOPO</w:t>
      </w:r>
    </w:p>
    <w:p w14:paraId="4FA02C21">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公司VI企业色为：红色（RGB 215,1,29）</w:t>
      </w:r>
    </w:p>
    <w:p w14:paraId="60B1A34B">
      <w:pPr>
        <w:numPr>
          <w:ilvl w:val="0"/>
          <w:numId w:val="0"/>
        </w:numPr>
        <w:ind w:leftChars="0"/>
        <w:rPr>
          <w:rFonts w:hint="eastAsia" w:ascii="宋体" w:hAnsi="宋体" w:eastAsia="宋体" w:cs="宋体"/>
          <w:lang w:val="en-US" w:eastAsia="zh-CN"/>
        </w:rPr>
      </w:pPr>
    </w:p>
    <w:p w14:paraId="25CD9BCA">
      <w:pPr>
        <w:numPr>
          <w:ilvl w:val="0"/>
          <w:numId w:val="0"/>
        </w:numPr>
        <w:ind w:leftChars="0"/>
        <w:rPr>
          <w:rFonts w:hint="default" w:ascii="宋体" w:hAnsi="宋体" w:eastAsia="宋体" w:cs="宋体"/>
          <w:b/>
          <w:bCs/>
          <w:lang w:val="en-US" w:eastAsia="zh-CN"/>
        </w:rPr>
      </w:pPr>
      <w:r>
        <w:rPr>
          <w:rFonts w:hint="eastAsia" w:ascii="宋体" w:hAnsi="宋体" w:eastAsia="宋体" w:cs="宋体"/>
          <w:b/>
          <w:bCs/>
          <w:lang w:val="en-US" w:eastAsia="zh-CN"/>
        </w:rPr>
        <w:t>二、公司概况及核心优势</w:t>
      </w:r>
      <w:bookmarkStart w:id="0" w:name="_GoBack"/>
      <w:bookmarkEnd w:id="0"/>
    </w:p>
    <w:p w14:paraId="361BAEE7">
      <w:pPr>
        <w:numPr>
          <w:ilvl w:val="0"/>
          <w:numId w:val="0"/>
        </w:numPr>
        <w:ind w:leftChars="0"/>
        <w:rPr>
          <w:rFonts w:hint="eastAsia" w:ascii="宋体" w:hAnsi="宋体" w:eastAsia="宋体" w:cs="宋体"/>
          <w:lang w:val="en-US" w:eastAsia="zh-CN"/>
        </w:rPr>
      </w:pPr>
      <w:r>
        <w:rPr>
          <w:rFonts w:hint="eastAsia" w:ascii="宋体" w:hAnsi="宋体" w:eastAsia="宋体" w:cs="宋体"/>
          <w:lang w:val="en-US" w:eastAsia="zh-CN"/>
        </w:rPr>
        <w:t xml:space="preserve">公司概况：一家位于中国广东的门窗五金制造业，具备完整的研发、生产、销售及运营保障体系，是中国国内门窗五金领域的头部企业。 </w:t>
      </w:r>
    </w:p>
    <w:p w14:paraId="721F929D">
      <w:pPr>
        <w:numPr>
          <w:numId w:val="0"/>
        </w:numPr>
        <w:ind w:leftChars="0"/>
        <w:rPr>
          <w:rFonts w:hint="eastAsia" w:ascii="宋体" w:hAnsi="宋体" w:eastAsia="宋体" w:cs="宋体"/>
          <w:lang w:val="en-US" w:eastAsia="zh-CN"/>
        </w:rPr>
      </w:pPr>
      <w:r>
        <w:rPr>
          <w:rFonts w:hint="eastAsia" w:ascii="宋体" w:hAnsi="宋体" w:eastAsia="宋体" w:cs="宋体"/>
          <w:lang w:val="en-US" w:eastAsia="zh-CN"/>
        </w:rPr>
        <w:t>公司核心优势：公司在门窗执手、五金方面有较强的研发能力；有执手、铰链、智能五金等产品装配产线，能够保障成品生产；有小规模的成品窗加工能力，也称为系统窗产品；有强大的渠道销售及大客户直销能力。</w:t>
      </w:r>
    </w:p>
    <w:p w14:paraId="52E66D1A">
      <w:pPr>
        <w:numPr>
          <w:ilvl w:val="0"/>
          <w:numId w:val="0"/>
        </w:numPr>
        <w:ind w:leftChars="0"/>
        <w:rPr>
          <w:rFonts w:hint="eastAsia" w:ascii="宋体" w:hAnsi="宋体" w:eastAsia="宋体" w:cs="宋体"/>
          <w:lang w:val="en-US" w:eastAsia="zh-CN"/>
        </w:rPr>
      </w:pPr>
    </w:p>
    <w:p w14:paraId="5F68C09F">
      <w:pPr>
        <w:numPr>
          <w:ilvl w:val="0"/>
          <w:numId w:val="0"/>
        </w:numPr>
        <w:ind w:leftChars="0"/>
        <w:rPr>
          <w:rFonts w:hint="eastAsia" w:ascii="宋体" w:hAnsi="宋体" w:eastAsia="宋体" w:cs="宋体"/>
          <w:b/>
          <w:bCs/>
          <w:lang w:val="en-US" w:eastAsia="zh-CN"/>
        </w:rPr>
      </w:pPr>
      <w:r>
        <w:rPr>
          <w:rFonts w:hint="eastAsia" w:ascii="宋体" w:hAnsi="宋体" w:eastAsia="宋体" w:cs="宋体"/>
          <w:b/>
          <w:bCs/>
          <w:lang w:val="en-US" w:eastAsia="zh-CN"/>
        </w:rPr>
        <w:t>三、公司组织架构</w:t>
      </w:r>
    </w:p>
    <w:p w14:paraId="0BF71E46">
      <w:pPr>
        <w:numPr>
          <w:ilvl w:val="0"/>
          <w:numId w:val="1"/>
        </w:numPr>
        <w:ind w:leftChars="0"/>
        <w:rPr>
          <w:rFonts w:hint="eastAsia" w:ascii="宋体" w:hAnsi="宋体" w:eastAsia="宋体" w:cs="宋体"/>
          <w:lang w:val="en-US" w:eastAsia="zh-CN"/>
        </w:rPr>
      </w:pPr>
      <w:r>
        <w:rPr>
          <w:rFonts w:hint="eastAsia" w:ascii="宋体" w:hAnsi="宋体" w:eastAsia="宋体" w:cs="宋体"/>
          <w:lang w:val="en-US" w:eastAsia="zh-CN"/>
        </w:rPr>
        <w:t>公司销售体系，包括4个一级部门（事业部/中心），分别如下：</w:t>
      </w:r>
    </w:p>
    <w:p w14:paraId="268BA57D">
      <w:pPr>
        <w:numPr>
          <w:ilvl w:val="0"/>
          <w:numId w:val="2"/>
        </w:numPr>
        <w:ind w:left="218" w:leftChars="104" w:firstLine="0" w:firstLineChars="0"/>
        <w:rPr>
          <w:rFonts w:hint="eastAsia" w:ascii="宋体" w:hAnsi="宋体" w:eastAsia="宋体" w:cs="宋体"/>
          <w:lang w:val="en-US" w:eastAsia="zh-CN"/>
        </w:rPr>
      </w:pPr>
      <w:r>
        <w:rPr>
          <w:rFonts w:hint="eastAsia" w:ascii="宋体" w:hAnsi="宋体" w:eastAsia="宋体" w:cs="宋体"/>
          <w:lang w:val="en-US" w:eastAsia="zh-CN"/>
        </w:rPr>
        <w:t>五金家装客户中心，包括11个二级部门销售团队：室内门及智能产品（直营）、东北区（直营）、华南区（直营）、安徽区（直营）、合生（直营）、华东区（代理）、华北区（代理）、华中区（代理）、西北区（代理）、西南区（代理）。</w:t>
      </w:r>
    </w:p>
    <w:p w14:paraId="4B6A2463">
      <w:pPr>
        <w:numPr>
          <w:ilvl w:val="0"/>
          <w:numId w:val="2"/>
        </w:numPr>
        <w:ind w:left="218" w:leftChars="104" w:firstLine="0" w:firstLineChars="0"/>
        <w:rPr>
          <w:rFonts w:hint="eastAsia" w:ascii="宋体" w:hAnsi="宋体" w:eastAsia="宋体" w:cs="宋体"/>
          <w:lang w:val="en-US" w:eastAsia="zh-CN"/>
        </w:rPr>
      </w:pPr>
      <w:r>
        <w:rPr>
          <w:rFonts w:hint="eastAsia" w:ascii="宋体" w:hAnsi="宋体" w:eastAsia="宋体" w:cs="宋体"/>
          <w:lang w:val="en-US" w:eastAsia="zh-CN"/>
        </w:rPr>
        <w:t>门窗系统客户中心，包括2个二级部门销售团队：家装业务拓展部、消费者业务拓展部。</w:t>
      </w:r>
    </w:p>
    <w:p w14:paraId="7EE1B150">
      <w:pPr>
        <w:numPr>
          <w:ilvl w:val="0"/>
          <w:numId w:val="2"/>
        </w:numPr>
        <w:ind w:left="218" w:leftChars="104" w:firstLine="0" w:firstLineChars="0"/>
        <w:rPr>
          <w:rFonts w:hint="eastAsia" w:ascii="宋体" w:hAnsi="宋体" w:eastAsia="宋体" w:cs="宋体"/>
          <w:lang w:val="en-US" w:eastAsia="zh-CN"/>
        </w:rPr>
      </w:pPr>
      <w:r>
        <w:rPr>
          <w:rFonts w:hint="eastAsia" w:ascii="宋体" w:hAnsi="宋体" w:eastAsia="宋体" w:cs="宋体"/>
          <w:lang w:val="en-US" w:eastAsia="zh-CN"/>
        </w:rPr>
        <w:t>国际业务中心，包括1个二级部门销售团队：国际业务部。</w:t>
      </w:r>
    </w:p>
    <w:p w14:paraId="1E98745B">
      <w:pPr>
        <w:numPr>
          <w:ilvl w:val="0"/>
          <w:numId w:val="2"/>
        </w:numPr>
        <w:ind w:left="218" w:leftChars="104" w:firstLine="0" w:firstLineChars="0"/>
        <w:rPr>
          <w:rFonts w:hint="eastAsia" w:ascii="宋体" w:hAnsi="宋体" w:eastAsia="宋体" w:cs="宋体"/>
          <w:lang w:val="en-US" w:eastAsia="zh-CN"/>
        </w:rPr>
      </w:pPr>
      <w:r>
        <w:rPr>
          <w:rFonts w:hint="eastAsia" w:ascii="宋体" w:hAnsi="宋体" w:eastAsia="宋体" w:cs="宋体"/>
          <w:lang w:val="en-US" w:eastAsia="zh-CN"/>
        </w:rPr>
        <w:t>工程业务中心，包括1个二级部门销售团队：工程业务部。</w:t>
      </w:r>
    </w:p>
    <w:p w14:paraId="241DBF9A">
      <w:pPr>
        <w:numPr>
          <w:ilvl w:val="0"/>
          <w:numId w:val="1"/>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公司供应链体系，包括1个一级部门（中心）：供应链中心；包括7个二级部门部门：计划部、采购部、工程部、深圳生产部、肇庆生产部、冲压车间、物流部。</w:t>
      </w:r>
    </w:p>
    <w:p w14:paraId="18C8A16A">
      <w:pPr>
        <w:numPr>
          <w:ilvl w:val="0"/>
          <w:numId w:val="1"/>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产品研发体系，包括1个一级部门（中心）：产品研发中心；包括7个二级部门部门：技术支持部、产品项目管理部、五金研发部、室内门及工业设计部、系统研发部、智能化研发部、实验室。 </w:t>
      </w:r>
    </w:p>
    <w:p w14:paraId="1880EAC5">
      <w:pPr>
        <w:numPr>
          <w:ilvl w:val="0"/>
          <w:numId w:val="1"/>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品牌市场体系，包括1个一级部门（中心）：品牌市场中心，包括3个二级部门部门：新媒体部、品牌部、市场部。</w:t>
      </w:r>
    </w:p>
    <w:p w14:paraId="4B9FC54D">
      <w:pPr>
        <w:numPr>
          <w:ilvl w:val="0"/>
          <w:numId w:val="1"/>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职能管理体系，包括10个一级部门：总经办、战略组织人才保障部、销售管理部、品质部、财务部、审计部、物业中心、AI与数字化部、精益办公室。</w:t>
      </w:r>
    </w:p>
    <w:p w14:paraId="1605D0D0">
      <w:pPr>
        <w:numPr>
          <w:ilvl w:val="0"/>
          <w:numId w:val="0"/>
        </w:numPr>
        <w:ind w:leftChars="0"/>
        <w:rPr>
          <w:rFonts w:hint="eastAsia" w:ascii="宋体" w:hAnsi="宋体" w:eastAsia="宋体" w:cs="宋体"/>
          <w:lang w:val="en-US" w:eastAsia="zh-CN"/>
        </w:rPr>
      </w:pPr>
    </w:p>
    <w:p w14:paraId="75A90572">
      <w:pPr>
        <w:numPr>
          <w:ilvl w:val="0"/>
          <w:numId w:val="0"/>
        </w:numPr>
        <w:ind w:leftChars="0"/>
        <w:rPr>
          <w:rFonts w:hint="default" w:ascii="宋体" w:hAnsi="宋体" w:eastAsia="宋体" w:cs="宋体"/>
          <w:b/>
          <w:bCs/>
          <w:lang w:val="en-US" w:eastAsia="zh-CN"/>
        </w:rPr>
      </w:pPr>
      <w:r>
        <w:rPr>
          <w:rFonts w:hint="eastAsia" w:ascii="宋体" w:hAnsi="宋体" w:eastAsia="宋体" w:cs="宋体"/>
          <w:b/>
          <w:bCs/>
          <w:lang w:val="en-US" w:eastAsia="zh-CN"/>
        </w:rPr>
        <w:t>四、公司产品线、产品及物料构成</w:t>
      </w:r>
    </w:p>
    <w:p w14:paraId="0C624C75">
      <w:pPr>
        <w:numPr>
          <w:ilvl w:val="0"/>
          <w:numId w:val="3"/>
        </w:numPr>
        <w:ind w:left="0" w:leftChars="0" w:firstLine="0" w:firstLineChars="0"/>
        <w:rPr>
          <w:rFonts w:hint="default" w:ascii="宋体" w:hAnsi="宋体" w:eastAsia="宋体" w:cs="宋体"/>
          <w:lang w:val="en-US" w:eastAsia="zh-CN"/>
        </w:rPr>
      </w:pPr>
      <w:r>
        <w:rPr>
          <w:rFonts w:hint="eastAsia" w:ascii="宋体" w:hAnsi="宋体" w:eastAsia="宋体" w:cs="宋体"/>
          <w:lang w:val="en-US" w:eastAsia="zh-CN"/>
        </w:rPr>
        <w:t>公司产品线：内开类产品线、外开类产品线、推拉类产品线、小品类产品线、智能类产品线、室内门类产品线、门窗系统类产品线、合生产品线、</w:t>
      </w:r>
      <w:r>
        <w:rPr>
          <w:rFonts w:hint="eastAsia" w:ascii="宋体" w:hAnsi="宋体" w:eastAsia="宋体" w:cs="宋体"/>
          <w:lang w:val="en-US" w:eastAsia="zh-CN"/>
        </w:rPr>
        <w:t>Wehag产品线、iHandle产品线。</w:t>
      </w:r>
      <w:r>
        <w:rPr>
          <w:rFonts w:hint="eastAsia" w:ascii="宋体" w:hAnsi="宋体" w:eastAsia="宋体" w:cs="宋体"/>
          <w:lang w:val="en-US" w:eastAsia="zh-CN"/>
        </w:rPr>
        <w:t>每一个产品线，都有各自的明细产品。产品包括：成套产品、配件、辅料。</w:t>
      </w:r>
    </w:p>
    <w:p w14:paraId="5E696B5C">
      <w:pPr>
        <w:numPr>
          <w:ilvl w:val="0"/>
          <w:numId w:val="3"/>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公司产品特点及构成：成品窗=型材+玻璃+执手+五金+胶条辅料。公司不直接生产成品窗，主要给中国国内及全球地区的门窗加工厂商提供五金产品和配件。 </w:t>
      </w:r>
    </w:p>
    <w:p w14:paraId="74C23217">
      <w:pPr>
        <w:numPr>
          <w:ilvl w:val="0"/>
          <w:numId w:val="3"/>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公司物料BOM构成。一级BOM为：执手系列、窗纱一体系列、内开内倒系列、悬挂系列、平开系列、室内门系列、智能五金产品系列等。二级BOM为：以窗纱一体产品系列为例，包括PH900执手、SP700方轴、E系列传动壳、安全锁杆、C槽安全锁座、纱扇铰链、摩擦铰链等。三级BOM为：以某摩擦铰链为例，包括不锈钢悬臂、断臂、垫片、螺丝螺母等。此外，公司研发部门、生产制造部门也有各自的BOM，分别为EBOM、MBOM。</w:t>
      </w:r>
    </w:p>
    <w:p w14:paraId="0B72F375">
      <w:pPr>
        <w:numPr>
          <w:ilvl w:val="0"/>
          <w:numId w:val="0"/>
        </w:numPr>
        <w:ind w:leftChars="0"/>
        <w:rPr>
          <w:rFonts w:hint="eastAsia" w:ascii="宋体" w:hAnsi="宋体" w:eastAsia="宋体" w:cs="宋体"/>
          <w:lang w:val="en-US" w:eastAsia="zh-CN"/>
        </w:rPr>
      </w:pPr>
    </w:p>
    <w:p w14:paraId="4EA2DA12">
      <w:pPr>
        <w:numPr>
          <w:ilvl w:val="0"/>
          <w:numId w:val="0"/>
        </w:numPr>
        <w:ind w:leftChars="0"/>
        <w:rPr>
          <w:rFonts w:hint="default" w:ascii="宋体" w:hAnsi="宋体" w:eastAsia="宋体" w:cs="宋体"/>
          <w:lang w:val="en-US" w:eastAsia="zh-CN"/>
        </w:rPr>
      </w:pPr>
      <w:r>
        <w:rPr>
          <w:rFonts w:hint="eastAsia" w:ascii="宋体" w:hAnsi="宋体" w:eastAsia="宋体" w:cs="宋体"/>
          <w:b/>
          <w:bCs/>
          <w:lang w:val="en-US" w:eastAsia="zh-CN"/>
        </w:rPr>
        <w:t>五、公司主要业务流程</w:t>
      </w:r>
    </w:p>
    <w:p w14:paraId="34313EED">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生成供应链组织形式：2025年以前公司主要向供应商采购配件，由深圳生产车间负责装配为成品，深圳车间主要组装铰链、执手、智能五金；2025年自建肇庆冲压车间，具备配件加工能力，自己采购不锈钢卷材由肇庆冲压车间自行冲压加工配件，部分配件外协采购；2025年自建肇庆生产车间，投资了多条成品装配线，提高了成品装配的产能。</w:t>
      </w:r>
    </w:p>
    <w:p w14:paraId="6071A680">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采购流程：客户需求预测+存货数据——MRP计划运算——采购计划——采购执行——原材料入库（原材料、辅料及包装物）。 </w:t>
      </w:r>
    </w:p>
    <w:p w14:paraId="283FA6E0">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生产流程：客户需求预测+存货数据——MRP计划运算——生产计划——产线及工人准备——生产——产成品入库（产成品）。</w:t>
      </w:r>
    </w:p>
    <w:p w14:paraId="6CCE9104">
      <w:pPr>
        <w:numPr>
          <w:ilvl w:val="0"/>
          <w:numId w:val="4"/>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销售流程：销售员接受客户下单——ERP订单——ERP发货通知单——ERP出库单、拣货出库——打包、物流——客户地址收货——送货单回签——月末与客户对账——开票——生成ERP应收单——根据订单约定收款（通常有两种收款方式：款到发货、月结30天内付款）。</w:t>
      </w:r>
    </w:p>
    <w:p w14:paraId="7E40E44E">
      <w:pPr>
        <w:numPr>
          <w:ilvl w:val="0"/>
          <w:numId w:val="0"/>
        </w:numPr>
        <w:ind w:leftChars="0"/>
        <w:rPr>
          <w:rFonts w:hint="eastAsia" w:ascii="宋体" w:hAnsi="宋体" w:eastAsia="宋体" w:cs="宋体"/>
          <w:lang w:val="en-US" w:eastAsia="zh-CN"/>
        </w:rPr>
      </w:pPr>
    </w:p>
    <w:p w14:paraId="76F1F440">
      <w:pPr>
        <w:numPr>
          <w:ilvl w:val="0"/>
          <w:numId w:val="0"/>
        </w:numPr>
        <w:ind w:leftChars="0"/>
        <w:rPr>
          <w:rFonts w:hint="default" w:ascii="宋体" w:hAnsi="宋体" w:eastAsia="宋体" w:cs="宋体"/>
          <w:lang w:val="en-US" w:eastAsia="zh-CN"/>
        </w:rPr>
      </w:pPr>
      <w:r>
        <w:rPr>
          <w:rFonts w:hint="eastAsia" w:ascii="宋体" w:hAnsi="宋体" w:eastAsia="宋体" w:cs="宋体"/>
          <w:b/>
          <w:bCs/>
          <w:lang w:val="en-US" w:eastAsia="zh-CN"/>
        </w:rPr>
        <w:t>六、公司销售业务特点</w:t>
      </w:r>
    </w:p>
    <w:p w14:paraId="29498EC3">
      <w:pPr>
        <w:numPr>
          <w:ilvl w:val="0"/>
          <w:numId w:val="5"/>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五金家装客户中心：面向B端门窗厂（如皇派、新豪轩等门窗企业）销售执手、五金，再由门窗厂自己加工成品窗并销售给C端消费者，其中，部分省份是代理商销售（上海、北京、江西、湖北、湖南、海南、福建、广西、云南、贵州、四川、甘肃、新疆、河南、陕西、内蒙、山西）、部分省份是直营销售（广东、安徽、辽宁）。</w:t>
      </w:r>
    </w:p>
    <w:p w14:paraId="1C1D0E87">
      <w:pPr>
        <w:numPr>
          <w:ilvl w:val="0"/>
          <w:numId w:val="5"/>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工程业务部：利用国内房地产项目所在当地门窗厂的成品窗加工能力及属地安装服务优势，间接向房地产项目销售成品窗、五金产品、型材及胶条辅料等。</w:t>
      </w:r>
    </w:p>
    <w:p w14:paraId="6DF22AA9">
      <w:pPr>
        <w:numPr>
          <w:ilvl w:val="0"/>
          <w:numId w:val="5"/>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国贸业务部：面向中国香港及国外地区销售门窗五金产品，由海外事业部负责。</w:t>
      </w:r>
    </w:p>
    <w:p w14:paraId="233BC33B">
      <w:pPr>
        <w:numPr>
          <w:ilvl w:val="0"/>
          <w:numId w:val="5"/>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门窗系统客户中心：面向中小门窗厂和C端客户销售成品窗、智能五金产品、型材及胶条辅料等。</w:t>
      </w:r>
    </w:p>
    <w:p w14:paraId="07E99E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93116B"/>
    <w:multiLevelType w:val="singleLevel"/>
    <w:tmpl w:val="FB93116B"/>
    <w:lvl w:ilvl="0" w:tentative="0">
      <w:start w:val="1"/>
      <w:numFmt w:val="decimal"/>
      <w:suff w:val="nothing"/>
      <w:lvlText w:val="（%1）"/>
      <w:lvlJc w:val="left"/>
    </w:lvl>
  </w:abstractNum>
  <w:abstractNum w:abstractNumId="1">
    <w:nsid w:val="18201672"/>
    <w:multiLevelType w:val="singleLevel"/>
    <w:tmpl w:val="18201672"/>
    <w:lvl w:ilvl="0" w:tentative="0">
      <w:start w:val="1"/>
      <w:numFmt w:val="upperLetter"/>
      <w:suff w:val="nothing"/>
      <w:lvlText w:val="%1、"/>
      <w:lvlJc w:val="left"/>
    </w:lvl>
  </w:abstractNum>
  <w:abstractNum w:abstractNumId="2">
    <w:nsid w:val="28DA632B"/>
    <w:multiLevelType w:val="singleLevel"/>
    <w:tmpl w:val="28DA632B"/>
    <w:lvl w:ilvl="0" w:tentative="0">
      <w:start w:val="1"/>
      <w:numFmt w:val="upperLetter"/>
      <w:suff w:val="nothing"/>
      <w:lvlText w:val="%1、"/>
      <w:lvlJc w:val="left"/>
    </w:lvl>
  </w:abstractNum>
  <w:abstractNum w:abstractNumId="3">
    <w:nsid w:val="60C76110"/>
    <w:multiLevelType w:val="singleLevel"/>
    <w:tmpl w:val="60C76110"/>
    <w:lvl w:ilvl="0" w:tentative="0">
      <w:start w:val="1"/>
      <w:numFmt w:val="upperLetter"/>
      <w:suff w:val="nothing"/>
      <w:lvlText w:val="%1、"/>
      <w:lvlJc w:val="left"/>
    </w:lvl>
  </w:abstractNum>
  <w:abstractNum w:abstractNumId="4">
    <w:nsid w:val="7F7A19D6"/>
    <w:multiLevelType w:val="singleLevel"/>
    <w:tmpl w:val="7F7A19D6"/>
    <w:lvl w:ilvl="0" w:tentative="0">
      <w:start w:val="1"/>
      <w:numFmt w:val="upperLetter"/>
      <w:suff w:val="nothing"/>
      <w:lvlText w:val="%1、"/>
      <w:lvlJc w:val="left"/>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EA4B68"/>
    <w:rsid w:val="00450836"/>
    <w:rsid w:val="20F71F25"/>
    <w:rsid w:val="3EEA4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2026-05-09T01:42:00Z</dcterms:created>
  <dc:creator>Huxx</dc:creator>
  <cp:lastModifiedBy>Huxx</cp:lastModifiedBy>
  <dcterms:modified xsi:type="dcterms:W3CDTF">2026-05-09T02:03:13Z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CFE9DA494D56444F98279E0456FC7E97_11</vt:lpwstr>
  </property>
  <property fmtid="{D5CDD505-2E9C-101B-9397-08002B2CF9AE}" pid="4" name="KSOTemplateDocerSaveRecord">
    <vt:lpwstr>eyJoZGlkIjoiZDMzOTc1NzMwNjJlM2Q1MjZjYzVmZDg5ZTM1NzI4ODAiLCJ1c2VySWQiOiIzMDEyNDQ2MDUifQ==</vt:lpwstr>
  </property>
</Properties>
</file>