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447" w:rsidRPr="003654F5" w:rsidRDefault="000D6447" w:rsidP="000D6447">
      <w:pPr>
        <w:jc w:val="center"/>
        <w:rPr>
          <w:b/>
          <w:sz w:val="28"/>
          <w:szCs w:val="28"/>
        </w:rPr>
      </w:pPr>
      <w:r w:rsidRPr="003654F5">
        <w:rPr>
          <w:b/>
          <w:sz w:val="28"/>
          <w:szCs w:val="28"/>
        </w:rPr>
        <w:t>Структура территориального фонда ОМС РИ</w:t>
      </w:r>
    </w:p>
    <w:p w:rsidR="00A21D0A" w:rsidRDefault="002349B5" w:rsidP="00A21D0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1.7pt;margin-top:18.7pt;width:190.75pt;height:33.5pt;z-index:251660288;mso-width-relative:margin;mso-height-relative:margin" strokeweight="3pt">
            <v:stroke linestyle="thinThin"/>
            <v:textbox style="mso-next-textbox:#_x0000_s1030">
              <w:txbxContent>
                <w:p w:rsidR="00FD0AE8" w:rsidRPr="00FE3077" w:rsidRDefault="00FD0AE8" w:rsidP="00A21D0A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FE3077">
                    <w:rPr>
                      <w:b/>
                      <w:sz w:val="40"/>
                      <w:szCs w:val="40"/>
                    </w:rPr>
                    <w:t>Директор</w:t>
                  </w:r>
                </w:p>
              </w:txbxContent>
            </v:textbox>
          </v:shape>
        </w:pict>
      </w:r>
    </w:p>
    <w:p w:rsidR="000D6447" w:rsidRDefault="000D6447" w:rsidP="000D6447"/>
    <w:p w:rsidR="000D6447" w:rsidRDefault="002349B5" w:rsidP="000D6447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47.25pt;margin-top:2.95pt;width:.05pt;height:35.25pt;z-index:251667456" o:connectortype="straight"/>
        </w:pict>
      </w:r>
    </w:p>
    <w:p w:rsidR="000D6447" w:rsidRDefault="002349B5" w:rsidP="000D6447">
      <w:r>
        <w:rPr>
          <w:noProof/>
          <w:lang w:eastAsia="ru-RU"/>
        </w:rPr>
        <w:pict>
          <v:shape id="_x0000_s1059" type="#_x0000_t202" style="position:absolute;margin-left:221.8pt;margin-top:261.65pt;width:304.25pt;height:21.85pt;z-index:251687936;mso-width-relative:margin;mso-height-relative:margin" strokeweight="3pt">
            <v:stroke linestyle="thinThin"/>
            <v:textbox style="mso-next-textbox:#_x0000_s1059">
              <w:txbxContent>
                <w:p w:rsidR="00FD0AE8" w:rsidRDefault="00FD0AE8" w:rsidP="00954CDC">
                  <w:pPr>
                    <w:spacing w:after="0" w:line="240" w:lineRule="auto"/>
                    <w:jc w:val="center"/>
                  </w:pPr>
                  <w:r>
                    <w:rPr>
                      <w:sz w:val="18"/>
                      <w:szCs w:val="18"/>
                    </w:rPr>
                    <w:t xml:space="preserve">Филиал по Сунженскому району и </w:t>
                  </w:r>
                  <w:proofErr w:type="gramStart"/>
                  <w:r>
                    <w:rPr>
                      <w:sz w:val="18"/>
                      <w:szCs w:val="18"/>
                    </w:rPr>
                    <w:t>г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. Карабулак 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0" type="#_x0000_t202" style="position:absolute;margin-left:221.8pt;margin-top:295.55pt;width:304.25pt;height:21.85pt;z-index:251688960;mso-width-relative:margin;mso-height-relative:margin" strokeweight="3pt">
            <v:stroke linestyle="thinThin"/>
            <v:textbox style="mso-next-textbox:#_x0000_s1060">
              <w:txbxContent>
                <w:p w:rsidR="00FD0AE8" w:rsidRDefault="00FD0AE8" w:rsidP="00954CDC">
                  <w:pPr>
                    <w:spacing w:after="0" w:line="240" w:lineRule="auto"/>
                    <w:jc w:val="center"/>
                  </w:pPr>
                  <w:r>
                    <w:rPr>
                      <w:sz w:val="18"/>
                      <w:szCs w:val="18"/>
                    </w:rPr>
                    <w:t xml:space="preserve">Филиал по Малгобекскому району и </w:t>
                  </w:r>
                  <w:proofErr w:type="gramStart"/>
                  <w:r>
                    <w:rPr>
                      <w:sz w:val="18"/>
                      <w:szCs w:val="18"/>
                    </w:rPr>
                    <w:t>г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. Малгобек 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32" style="position:absolute;margin-left:379.05pt;margin-top:283.55pt;width:0;height:12pt;z-index:251691008" o:connectortype="straight"/>
        </w:pict>
      </w:r>
      <w:r>
        <w:rPr>
          <w:noProof/>
          <w:lang w:eastAsia="ru-RU"/>
        </w:rPr>
        <w:pict>
          <v:shape id="_x0000_s1061" type="#_x0000_t32" style="position:absolute;margin-left:379.05pt;margin-top:249.7pt;width:0;height:12pt;z-index:251689984" o:connectortype="straight"/>
        </w:pict>
      </w:r>
      <w:r>
        <w:rPr>
          <w:noProof/>
          <w:lang w:eastAsia="ru-RU"/>
        </w:rPr>
        <w:pict>
          <v:shape id="_x0000_s1057" type="#_x0000_t202" style="position:absolute;margin-left:222.55pt;margin-top:227.85pt;width:304.25pt;height:21.85pt;z-index:251686912;mso-width-relative:margin;mso-height-relative:margin" strokeweight="3pt">
            <v:stroke linestyle="thinThin"/>
            <v:textbox style="mso-next-textbox:#_x0000_s1057">
              <w:txbxContent>
                <w:p w:rsidR="00FD0AE8" w:rsidRDefault="00FD0AE8" w:rsidP="00954CDC">
                  <w:pPr>
                    <w:spacing w:after="0" w:line="240" w:lineRule="auto"/>
                    <w:jc w:val="center"/>
                  </w:pPr>
                  <w:r>
                    <w:rPr>
                      <w:sz w:val="18"/>
                      <w:szCs w:val="18"/>
                    </w:rPr>
                    <w:t xml:space="preserve">Филиал по Назрановскому и </w:t>
                  </w:r>
                  <w:proofErr w:type="spellStart"/>
                  <w:r>
                    <w:rPr>
                      <w:sz w:val="18"/>
                      <w:szCs w:val="18"/>
                    </w:rPr>
                    <w:t>Джейрахскому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районам и г</w:t>
                  </w:r>
                  <w:proofErr w:type="gramStart"/>
                  <w:r>
                    <w:rPr>
                      <w:sz w:val="18"/>
                      <w:szCs w:val="18"/>
                    </w:rPr>
                    <w:t>.Н</w:t>
                  </w:r>
                  <w:proofErr w:type="gramEnd"/>
                  <w:r>
                    <w:rPr>
                      <w:sz w:val="18"/>
                      <w:szCs w:val="18"/>
                    </w:rPr>
                    <w:t>азрань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6" type="#_x0000_t32" style="position:absolute;margin-left:379.05pt;margin-top:12.8pt;width:0;height:215.05pt;z-index:251685888" o:connectortype="straight"/>
        </w:pict>
      </w:r>
      <w:r>
        <w:rPr>
          <w:noProof/>
          <w:lang w:eastAsia="ru-RU"/>
        </w:rPr>
        <w:pict>
          <v:shape id="_x0000_s1052" type="#_x0000_t202" style="position:absolute;margin-left:592.5pt;margin-top:261.65pt;width:158.95pt;height:38.2pt;z-index:251681792;mso-width-relative:margin;mso-height-relative:margin" strokeweight="3pt">
            <v:stroke linestyle="thinThin"/>
            <v:textbox style="mso-next-textbox:#_x0000_s1052">
              <w:txbxContent>
                <w:p w:rsidR="00FD0AE8" w:rsidRPr="005665A0" w:rsidRDefault="00FD0AE8" w:rsidP="00954CDC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bookmarkStart w:id="0" w:name="_GoBack"/>
                  <w:r w:rsidRPr="005665A0">
                    <w:rPr>
                      <w:sz w:val="20"/>
                      <w:szCs w:val="20"/>
                    </w:rPr>
                    <w:t xml:space="preserve">Планово – экономический отдел </w:t>
                  </w:r>
                  <w:bookmarkEnd w:id="0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8" type="#_x0000_t32" style="position:absolute;margin-left:673.1pt;margin-top:242.25pt;width:0;height:19.4pt;z-index:251696128" o:connectortype="straight"/>
        </w:pict>
      </w:r>
      <w:r>
        <w:rPr>
          <w:noProof/>
          <w:lang w:eastAsia="ru-RU"/>
        </w:rPr>
        <w:pict>
          <v:shape id="_x0000_s1050" type="#_x0000_t202" style="position:absolute;margin-left:592.5pt;margin-top:188.85pt;width:158.95pt;height:52.75pt;z-index:251679744;mso-width-relative:margin;mso-height-relative:margin" strokeweight="3pt">
            <v:stroke linestyle="thinThin"/>
            <v:textbox style="mso-next-textbox:#_x0000_s1050">
              <w:txbxContent>
                <w:p w:rsidR="00FD0AE8" w:rsidRPr="00FD0AE8" w:rsidRDefault="00FD0AE8" w:rsidP="00B64E76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FD0AE8">
                    <w:rPr>
                      <w:sz w:val="20"/>
                      <w:szCs w:val="20"/>
                    </w:rPr>
                    <w:t>Отдел формиров</w:t>
                  </w:r>
                  <w:r w:rsidR="005665A0">
                    <w:rPr>
                      <w:sz w:val="20"/>
                      <w:szCs w:val="20"/>
                    </w:rPr>
                    <w:t>ания тарифов и администрирования</w:t>
                  </w:r>
                  <w:r w:rsidRPr="00FD0AE8">
                    <w:rPr>
                      <w:sz w:val="20"/>
                      <w:szCs w:val="20"/>
                    </w:rPr>
                    <w:t xml:space="preserve"> доходов бюджета ТФОМС 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4" type="#_x0000_t202" style="position:absolute;margin-left:413.7pt;margin-top:157.15pt;width:158.95pt;height:45.65pt;z-index:251683840;mso-width-relative:margin;mso-height-relative:margin" strokeweight="3pt">
            <v:stroke linestyle="thinThin"/>
            <v:textbox style="mso-next-textbox:#_x0000_s1054">
              <w:txbxContent>
                <w:p w:rsidR="00FD0AE8" w:rsidRPr="00FD0AE8" w:rsidRDefault="00FD0AE8" w:rsidP="00954CDC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FD0AE8">
                    <w:rPr>
                      <w:sz w:val="20"/>
                      <w:szCs w:val="20"/>
                    </w:rPr>
                    <w:t>Отдел информационного обеспечения и защиты информации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6" type="#_x0000_t32" style="position:absolute;margin-left:135.65pt;margin-top:142.85pt;width:21.5pt;height:0;flip:x;z-index:251714560" o:connectortype="straight"/>
        </w:pict>
      </w:r>
      <w:r>
        <w:rPr>
          <w:noProof/>
          <w:lang w:eastAsia="ru-RU"/>
        </w:rPr>
        <w:pict>
          <v:shape id="_x0000_s1097" type="#_x0000_t32" style="position:absolute;margin-left:135.55pt;margin-top:92.15pt;width:21.5pt;height:0;flip:x;z-index:251715584" o:connectortype="straight"/>
        </w:pict>
      </w:r>
      <w:r>
        <w:rPr>
          <w:noProof/>
          <w:lang w:eastAsia="ru-RU"/>
        </w:rPr>
        <w:pict>
          <v:shape id="_x0000_s1095" type="#_x0000_t32" style="position:absolute;margin-left:135.75pt;margin-top:196.85pt;width:21.5pt;height:0;flip:x;z-index:251713536" o:connectortype="straight"/>
        </w:pict>
      </w:r>
      <w:r>
        <w:rPr>
          <w:noProof/>
          <w:lang w:eastAsia="ru-RU"/>
        </w:rPr>
        <w:pict>
          <v:shape id="_x0000_s1094" type="#_x0000_t32" style="position:absolute;margin-left:157.4pt;margin-top:12.9pt;width:0;height:183.95pt;z-index:251712512" o:connectortype="straight"/>
        </w:pict>
      </w:r>
      <w:r>
        <w:rPr>
          <w:noProof/>
          <w:lang w:eastAsia="ru-RU"/>
        </w:rPr>
        <w:pict>
          <v:shape id="_x0000_s1091" type="#_x0000_t202" style="position:absolute;margin-left:.25pt;margin-top:177.3pt;width:133.65pt;height:35.5pt;z-index:251711488;mso-width-relative:margin;mso-height-relative:margin" strokeweight="3pt">
            <v:stroke linestyle="thinThin"/>
            <v:textbox style="mso-next-textbox:#_x0000_s1091">
              <w:txbxContent>
                <w:p w:rsidR="00FD0AE8" w:rsidRPr="005665A0" w:rsidRDefault="00FD0AE8" w:rsidP="009D4FB6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5665A0">
                    <w:rPr>
                      <w:sz w:val="20"/>
                      <w:szCs w:val="20"/>
                    </w:rPr>
                    <w:t>Отдел по работе с персоналом</w:t>
                  </w:r>
                </w:p>
                <w:p w:rsidR="00FD0AE8" w:rsidRDefault="00FD0AE8" w:rsidP="009D4FB6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0" type="#_x0000_t202" style="position:absolute;margin-left:.25pt;margin-top:124.9pt;width:133.65pt;height:35.5pt;z-index:251710464;mso-width-relative:margin;mso-height-relative:margin" strokeweight="3pt">
            <v:stroke linestyle="thinThin"/>
            <v:textbox style="mso-next-textbox:#_x0000_s1090">
              <w:txbxContent>
                <w:p w:rsidR="00FD0AE8" w:rsidRPr="005665A0" w:rsidRDefault="00FD0AE8" w:rsidP="009D4FB6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5665A0">
                    <w:rPr>
                      <w:sz w:val="20"/>
                      <w:szCs w:val="20"/>
                    </w:rPr>
                    <w:t xml:space="preserve">Контрольно – ревизионный отдел </w:t>
                  </w:r>
                </w:p>
                <w:p w:rsidR="00FD0AE8" w:rsidRDefault="00FD0AE8" w:rsidP="009D4FB6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202" style="position:absolute;margin-left:.25pt;margin-top:74.75pt;width:133.65pt;height:35.5pt;z-index:251661312;mso-width-relative:margin;mso-height-relative:margin" strokeweight="3pt">
            <v:stroke linestyle="thinThin"/>
            <v:textbox style="mso-next-textbox:#_x0000_s1031">
              <w:txbxContent>
                <w:p w:rsidR="00FD0AE8" w:rsidRPr="005665A0" w:rsidRDefault="00FD0AE8" w:rsidP="009D4FB6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5665A0">
                    <w:rPr>
                      <w:sz w:val="20"/>
                      <w:szCs w:val="20"/>
                    </w:rPr>
                    <w:t>Юридический отдел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202" style="position:absolute;margin-left:.25pt;margin-top:25.35pt;width:133.65pt;height:36pt;z-index:251676672;mso-width-relative:margin;mso-height-relative:margin" strokeweight="3pt">
            <v:stroke linestyle="thinThin"/>
            <v:textbox style="mso-next-textbox:#_x0000_s1047">
              <w:txbxContent>
                <w:p w:rsidR="00FD0AE8" w:rsidRPr="005665A0" w:rsidRDefault="00FD0AE8" w:rsidP="00B64E76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5665A0">
                    <w:rPr>
                      <w:sz w:val="20"/>
                      <w:szCs w:val="20"/>
                    </w:rPr>
                    <w:t>Отдел бухгалтерского учета и отчетности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4" type="#_x0000_t32" style="position:absolute;margin-left:676.25pt;margin-top:171pt;width:.15pt;height:17.85pt;z-index:251701248" o:connectortype="straight"/>
        </w:pict>
      </w:r>
      <w:r>
        <w:rPr>
          <w:noProof/>
          <w:lang w:eastAsia="ru-RU"/>
        </w:rPr>
        <w:pict>
          <v:shape id="_x0000_s1049" type="#_x0000_t202" style="position:absolute;margin-left:592.5pt;margin-top:133.9pt;width:158.95pt;height:35.5pt;z-index:251678720;mso-width-relative:margin;mso-height-relative:margin" strokeweight="3pt">
            <v:stroke linestyle="thinThin"/>
            <v:textbox style="mso-next-textbox:#_x0000_s1049">
              <w:txbxContent>
                <w:p w:rsidR="00FD0AE8" w:rsidRPr="005665A0" w:rsidRDefault="00FD0AE8" w:rsidP="00164084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5665A0">
                    <w:rPr>
                      <w:sz w:val="20"/>
                      <w:szCs w:val="20"/>
                    </w:rPr>
                    <w:t>Бюджетный отдел</w:t>
                  </w:r>
                </w:p>
                <w:p w:rsidR="00FD0AE8" w:rsidRPr="00164084" w:rsidRDefault="00FD0AE8" w:rsidP="00164084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32" style="position:absolute;margin-left:676.4pt;margin-top:120.8pt;width:0;height:12pt;z-index:251700224" o:connectortype="straight"/>
        </w:pict>
      </w:r>
      <w:r>
        <w:rPr>
          <w:noProof/>
          <w:lang w:eastAsia="ru-RU"/>
        </w:rPr>
        <w:pict>
          <v:shape id="_x0000_s1045" type="#_x0000_t202" style="position:absolute;margin-left:592.5pt;margin-top:82.4pt;width:158.95pt;height:37.65pt;z-index:251674624;mso-width-relative:margin;mso-height-relative:margin" strokeweight="3pt">
            <v:stroke linestyle="thinThin"/>
            <v:textbox style="mso-next-textbox:#_x0000_s1045">
              <w:txbxContent>
                <w:p w:rsidR="00FD0AE8" w:rsidRPr="005665A0" w:rsidRDefault="00FD0AE8" w:rsidP="00B64E76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5665A0">
                    <w:rPr>
                      <w:sz w:val="20"/>
                      <w:szCs w:val="20"/>
                    </w:rPr>
                    <w:t>Финансово-экономическое управление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4" type="#_x0000_t32" style="position:absolute;margin-left:676.05pt;margin-top:65.85pt;width:.35pt;height:16.55pt;z-index:251708416" o:connectortype="straight"/>
        </w:pict>
      </w:r>
      <w:r>
        <w:rPr>
          <w:noProof/>
          <w:lang w:eastAsia="ru-RU"/>
        </w:rPr>
        <w:pict>
          <v:shape id="_x0000_s1083" type="#_x0000_t202" style="position:absolute;margin-left:592.5pt;margin-top:25.1pt;width:158.95pt;height:41.75pt;z-index:251707392;mso-width-relative:margin;mso-height-relative:margin;v-text-anchor:middle" strokeweight="3pt">
            <v:stroke linestyle="thinThin"/>
            <v:textbox style="mso-next-textbox:#_x0000_s1083">
              <w:txbxContent>
                <w:p w:rsidR="00FD0AE8" w:rsidRPr="005665A0" w:rsidRDefault="00FD0AE8" w:rsidP="0088182A">
                  <w:pPr>
                    <w:jc w:val="center"/>
                    <w:rPr>
                      <w:sz w:val="20"/>
                      <w:szCs w:val="20"/>
                    </w:rPr>
                  </w:pPr>
                  <w:r w:rsidRPr="005665A0">
                    <w:rPr>
                      <w:sz w:val="20"/>
                      <w:szCs w:val="20"/>
                    </w:rPr>
                    <w:t>Заместитель директора по экономическим вопросам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1" type="#_x0000_t202" style="position:absolute;margin-left:177.8pt;margin-top:139.3pt;width:158.95pt;height:39.7pt;z-index:251680768;mso-width-relative:margin;mso-height-relative:margin" strokeweight="3pt">
            <v:stroke linestyle="thinThin"/>
            <v:textbox style="mso-next-textbox:#_x0000_s1051">
              <w:txbxContent>
                <w:p w:rsidR="00FD0AE8" w:rsidRPr="00FD0AE8" w:rsidRDefault="00FD0AE8" w:rsidP="00B64E76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FD0AE8">
                    <w:rPr>
                      <w:sz w:val="20"/>
                      <w:szCs w:val="20"/>
                    </w:rPr>
                    <w:t xml:space="preserve">Отдел по защите прав застрахованных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8" type="#_x0000_t202" style="position:absolute;margin-left:177.95pt;margin-top:83.65pt;width:158.95pt;height:39.7pt;z-index:251677696;mso-width-relative:margin;mso-height-relative:margin" strokeweight="3pt">
            <v:stroke linestyle="thinThin"/>
            <v:textbox style="mso-next-textbox:#_x0000_s1048">
              <w:txbxContent>
                <w:p w:rsidR="00FD0AE8" w:rsidRPr="00B64E76" w:rsidRDefault="00FD0AE8" w:rsidP="00B64E7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B64E76">
                    <w:rPr>
                      <w:sz w:val="18"/>
                      <w:szCs w:val="18"/>
                    </w:rPr>
                    <w:t>Отдел организации обязательного медицинского страхования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7" type="#_x0000_t32" style="position:absolute;margin-left:254.25pt;margin-top:124.9pt;width:0;height:12pt;z-index:251695104" o:connectortype="straight"/>
        </w:pict>
      </w:r>
      <w:r>
        <w:rPr>
          <w:noProof/>
          <w:lang w:eastAsia="ru-RU"/>
        </w:rPr>
        <w:pict>
          <v:shape id="_x0000_s1066" type="#_x0000_t32" style="position:absolute;margin-left:254.4pt;margin-top:12.55pt;width:0;height:12pt;z-index:251694080" o:connectortype="straight"/>
        </w:pict>
      </w:r>
      <w:r>
        <w:rPr>
          <w:noProof/>
          <w:lang w:eastAsia="ru-RU"/>
        </w:rPr>
        <w:pict>
          <v:shape id="_x0000_s1077" type="#_x0000_t32" style="position:absolute;margin-left:254.3pt;margin-top:66.85pt;width:.1pt;height:15.15pt;flip:x;z-index:251703296" o:connectortype="straight"/>
        </w:pict>
      </w:r>
      <w:r>
        <w:rPr>
          <w:noProof/>
          <w:lang w:eastAsia="ru-RU"/>
        </w:rPr>
        <w:pict>
          <v:shape id="_x0000_s1076" type="#_x0000_t202" style="position:absolute;margin-left:177.8pt;margin-top:24.55pt;width:158.95pt;height:42.3pt;z-index:251702272;mso-width-relative:margin;mso-height-relative:margin" strokeweight="3pt">
            <v:stroke linestyle="thinThin"/>
            <v:textbox style="mso-next-textbox:#_x0000_s1076">
              <w:txbxContent>
                <w:p w:rsidR="00FD0AE8" w:rsidRPr="00B64E76" w:rsidRDefault="00FD0AE8" w:rsidP="00DB2BA3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Управление организации</w:t>
                  </w:r>
                  <w:r w:rsidRPr="00B64E76">
                    <w:rPr>
                      <w:sz w:val="18"/>
                      <w:szCs w:val="18"/>
                    </w:rPr>
                    <w:t xml:space="preserve"> обязательного медицинского страхования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4" type="#_x0000_t32" style="position:absolute;margin-left:62.2pt;margin-top:11.95pt;width:0;height:12pt;z-index:251692032" o:connectortype="straight"/>
        </w:pict>
      </w:r>
      <w:r>
        <w:rPr>
          <w:noProof/>
          <w:lang w:eastAsia="ru-RU"/>
        </w:rPr>
        <w:pict>
          <v:shape id="_x0000_s1039" type="#_x0000_t32" style="position:absolute;margin-left:62.25pt;margin-top:12.8pt;width:610.85pt;height:0;flip:x;z-index:251668480" o:connectortype="straight"/>
        </w:pict>
      </w:r>
      <w:r>
        <w:rPr>
          <w:noProof/>
          <w:lang w:eastAsia="ru-RU"/>
        </w:rPr>
        <w:pict>
          <v:shape id="_x0000_s1082" type="#_x0000_t32" style="position:absolute;margin-left:673.7pt;margin-top:12.65pt;width:0;height:12pt;z-index:251706368" o:connectortype="straight"/>
        </w:pict>
      </w:r>
      <w:r>
        <w:rPr>
          <w:noProof/>
          <w:lang w:eastAsia="ru-RU"/>
        </w:rPr>
        <w:pict>
          <v:shape id="_x0000_s1080" type="#_x0000_t32" style="position:absolute;margin-left:492.25pt;margin-top:12.75pt;width:0;height:12pt;z-index:251705344" o:connectortype="straight"/>
        </w:pict>
      </w:r>
      <w:r>
        <w:rPr>
          <w:noProof/>
          <w:lang w:eastAsia="ru-RU"/>
        </w:rPr>
        <w:pict>
          <v:shape id="_x0000_s1070" type="#_x0000_t32" style="position:absolute;margin-left:492.5pt;margin-top:142.9pt;width:0;height:12pt;z-index:251698176" o:connectortype="straight"/>
        </w:pict>
      </w:r>
      <w:r>
        <w:rPr>
          <w:noProof/>
          <w:lang w:eastAsia="ru-RU"/>
        </w:rPr>
        <w:pict>
          <v:shape id="_x0000_s1069" type="#_x0000_t32" style="position:absolute;margin-left:492.2pt;margin-top:89.95pt;width:0;height:12pt;z-index:251697152" o:connectortype="straight"/>
        </w:pict>
      </w:r>
      <w:r>
        <w:rPr>
          <w:noProof/>
          <w:lang w:eastAsia="ru-RU"/>
        </w:rPr>
        <w:pict>
          <v:shape id="_x0000_s1053" type="#_x0000_t202" style="position:absolute;margin-left:413.85pt;margin-top:101.95pt;width:158.95pt;height:39.7pt;z-index:251682816;mso-width-relative:margin;mso-height-relative:margin" strokeweight="3pt">
            <v:stroke linestyle="thinThin"/>
            <v:textbox style="mso-next-textbox:#_x0000_s1053">
              <w:txbxContent>
                <w:p w:rsidR="00FD0AE8" w:rsidRPr="00FD0AE8" w:rsidRDefault="00FD0AE8" w:rsidP="00954CDC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FD0AE8">
                    <w:rPr>
                      <w:sz w:val="20"/>
                      <w:szCs w:val="20"/>
                    </w:rPr>
                    <w:t>Отдел материально – технического обеспечения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202" style="position:absolute;margin-left:414.3pt;margin-top:25.4pt;width:158.95pt;height:63.25pt;z-index:251673600;mso-width-relative:margin;mso-height-relative:margin;v-text-anchor:middle" strokeweight="3pt">
            <v:stroke linestyle="thinThin"/>
            <v:textbox style="mso-next-textbox:#_x0000_s1044">
              <w:txbxContent>
                <w:p w:rsidR="00FD0AE8" w:rsidRPr="005665A0" w:rsidRDefault="00FD0AE8" w:rsidP="00B64E76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5665A0">
                    <w:rPr>
                      <w:sz w:val="20"/>
                      <w:szCs w:val="20"/>
                    </w:rPr>
                    <w:t>Заместитель директора по административным вопросам и информационному обеспечению</w:t>
                  </w:r>
                </w:p>
              </w:txbxContent>
            </v:textbox>
          </v:shape>
        </w:pict>
      </w:r>
    </w:p>
    <w:sectPr w:rsidR="000D6447" w:rsidSect="000D6447">
      <w:headerReference w:type="default" r:id="rId7"/>
      <w:pgSz w:w="16838" w:h="11906" w:orient="landscape"/>
      <w:pgMar w:top="56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AE8" w:rsidRDefault="00FD0AE8" w:rsidP="00D43E41">
      <w:pPr>
        <w:spacing w:after="0" w:line="240" w:lineRule="auto"/>
      </w:pPr>
      <w:r>
        <w:separator/>
      </w:r>
    </w:p>
  </w:endnote>
  <w:endnote w:type="continuationSeparator" w:id="1">
    <w:p w:rsidR="00FD0AE8" w:rsidRDefault="00FD0AE8" w:rsidP="00D4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AE8" w:rsidRDefault="00FD0AE8" w:rsidP="00D43E41">
      <w:pPr>
        <w:spacing w:after="0" w:line="240" w:lineRule="auto"/>
      </w:pPr>
      <w:r>
        <w:separator/>
      </w:r>
    </w:p>
  </w:footnote>
  <w:footnote w:type="continuationSeparator" w:id="1">
    <w:p w:rsidR="00FD0AE8" w:rsidRDefault="00FD0AE8" w:rsidP="00D43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AE8" w:rsidRDefault="00FD0AE8" w:rsidP="00D43E41">
    <w:pPr>
      <w:spacing w:after="0" w:line="240" w:lineRule="auto"/>
      <w:jc w:val="right"/>
    </w:pPr>
    <w:r>
      <w:t xml:space="preserve">Приложение </w:t>
    </w:r>
    <w:r w:rsidR="001869D6">
      <w:t>№ 2</w:t>
    </w:r>
  </w:p>
  <w:p w:rsidR="00FD0AE8" w:rsidRDefault="00FD0AE8" w:rsidP="00D43E41">
    <w:pPr>
      <w:spacing w:after="0" w:line="240" w:lineRule="auto"/>
      <w:jc w:val="right"/>
    </w:pPr>
    <w:r>
      <w:t xml:space="preserve"> к Постановлению Правительства</w:t>
    </w:r>
  </w:p>
  <w:p w:rsidR="00FD0AE8" w:rsidRDefault="00FD0AE8" w:rsidP="00D43E41">
    <w:pPr>
      <w:spacing w:after="0" w:line="240" w:lineRule="auto"/>
      <w:jc w:val="right"/>
    </w:pPr>
    <w:r>
      <w:t>Республики Ингушетия</w:t>
    </w:r>
  </w:p>
  <w:p w:rsidR="00FD0AE8" w:rsidRDefault="001869D6" w:rsidP="00D43E41">
    <w:pPr>
      <w:spacing w:after="0" w:line="240" w:lineRule="auto"/>
      <w:jc w:val="right"/>
    </w:pPr>
    <w:r>
      <w:t>от ___________2017</w:t>
    </w:r>
    <w:r w:rsidR="00FD0AE8">
      <w:t xml:space="preserve"> года № </w:t>
    </w:r>
  </w:p>
  <w:p w:rsidR="00FD0AE8" w:rsidRDefault="00FD0AE8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447"/>
    <w:rsid w:val="000312A0"/>
    <w:rsid w:val="000D6447"/>
    <w:rsid w:val="00164084"/>
    <w:rsid w:val="001863DC"/>
    <w:rsid w:val="001869D6"/>
    <w:rsid w:val="001E6CCC"/>
    <w:rsid w:val="002349B5"/>
    <w:rsid w:val="002959E1"/>
    <w:rsid w:val="002A6A76"/>
    <w:rsid w:val="002F6720"/>
    <w:rsid w:val="00303DB5"/>
    <w:rsid w:val="003654F5"/>
    <w:rsid w:val="0038477C"/>
    <w:rsid w:val="004213E3"/>
    <w:rsid w:val="00496494"/>
    <w:rsid w:val="004E0135"/>
    <w:rsid w:val="0055449C"/>
    <w:rsid w:val="005600FD"/>
    <w:rsid w:val="005665A0"/>
    <w:rsid w:val="006A7E54"/>
    <w:rsid w:val="007B1A38"/>
    <w:rsid w:val="007F265E"/>
    <w:rsid w:val="00845CDF"/>
    <w:rsid w:val="0088182A"/>
    <w:rsid w:val="008B40CE"/>
    <w:rsid w:val="008F7F5F"/>
    <w:rsid w:val="00914488"/>
    <w:rsid w:val="00925B8B"/>
    <w:rsid w:val="00943CC6"/>
    <w:rsid w:val="00954CDC"/>
    <w:rsid w:val="00982F46"/>
    <w:rsid w:val="00997452"/>
    <w:rsid w:val="009D4FB6"/>
    <w:rsid w:val="00A17CB0"/>
    <w:rsid w:val="00A21D0A"/>
    <w:rsid w:val="00AC341D"/>
    <w:rsid w:val="00AE4733"/>
    <w:rsid w:val="00B64E76"/>
    <w:rsid w:val="00B83D55"/>
    <w:rsid w:val="00C0263E"/>
    <w:rsid w:val="00CA3104"/>
    <w:rsid w:val="00CA4A08"/>
    <w:rsid w:val="00CD5F13"/>
    <w:rsid w:val="00D25395"/>
    <w:rsid w:val="00D43E41"/>
    <w:rsid w:val="00DB2BA3"/>
    <w:rsid w:val="00DD1C84"/>
    <w:rsid w:val="00E276D8"/>
    <w:rsid w:val="00E30EA7"/>
    <w:rsid w:val="00E928FA"/>
    <w:rsid w:val="00F02720"/>
    <w:rsid w:val="00FD0AE8"/>
    <w:rsid w:val="00FE3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  <o:rules v:ext="edit">
        <o:r id="V:Rule22" type="connector" idref="#_x0000_s1074"/>
        <o:r id="V:Rule23" type="connector" idref="#_x0000_s1066"/>
        <o:r id="V:Rule24" type="connector" idref="#_x0000_s1064"/>
        <o:r id="V:Rule25" type="connector" idref="#_x0000_s1094"/>
        <o:r id="V:Rule26" type="connector" idref="#_x0000_s1070"/>
        <o:r id="V:Rule27" type="connector" idref="#_x0000_s1069"/>
        <o:r id="V:Rule28" type="connector" idref="#_x0000_s1038"/>
        <o:r id="V:Rule29" type="connector" idref="#_x0000_s1056"/>
        <o:r id="V:Rule30" type="connector" idref="#_x0000_s1095"/>
        <o:r id="V:Rule31" type="connector" idref="#_x0000_s1096"/>
        <o:r id="V:Rule32" type="connector" idref="#_x0000_s1084"/>
        <o:r id="V:Rule33" type="connector" idref="#_x0000_s1080"/>
        <o:r id="V:Rule34" type="connector" idref="#_x0000_s1067"/>
        <o:r id="V:Rule35" type="connector" idref="#_x0000_s1082"/>
        <o:r id="V:Rule36" type="connector" idref="#_x0000_s1039"/>
        <o:r id="V:Rule37" type="connector" idref="#_x0000_s1061"/>
        <o:r id="V:Rule38" type="connector" idref="#_x0000_s1068"/>
        <o:r id="V:Rule39" type="connector" idref="#_x0000_s1077"/>
        <o:r id="V:Rule40" type="connector" idref="#_x0000_s1062"/>
        <o:r id="V:Rule41" type="connector" idref="#_x0000_s1073"/>
        <o:r id="V:Rule42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F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6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644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43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43E41"/>
  </w:style>
  <w:style w:type="paragraph" w:styleId="a7">
    <w:name w:val="footer"/>
    <w:basedOn w:val="a"/>
    <w:link w:val="a8"/>
    <w:uiPriority w:val="99"/>
    <w:semiHidden/>
    <w:unhideWhenUsed/>
    <w:rsid w:val="00D43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43E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6A786-9EC9-4F94-95C4-72CFE5C9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04Tariev</dc:creator>
  <cp:lastModifiedBy>bashir</cp:lastModifiedBy>
  <cp:revision>8</cp:revision>
  <cp:lastPrinted>2017-04-24T10:25:00Z</cp:lastPrinted>
  <dcterms:created xsi:type="dcterms:W3CDTF">2015-04-06T08:04:00Z</dcterms:created>
  <dcterms:modified xsi:type="dcterms:W3CDTF">2017-04-24T10:26:00Z</dcterms:modified>
</cp:coreProperties>
</file>