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Аксессуары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Руководство пользователя — 1</w:t>
      </w:r>
    </w:p>
    <w:p>
      <w:pPr>
        <w:pStyle w:val="Normal"/>
        <w:ind w:firstLine="567"/>
        <w:jc w:val="both"/>
        <w:rPr/>
      </w:pPr>
      <w:r>
        <w:rPr/>
        <w:t>Шнур питания — 1</w:t>
      </w:r>
    </w:p>
    <w:p>
      <w:pPr>
        <w:pStyle w:val="Normal"/>
        <w:ind w:firstLine="567"/>
        <w:jc w:val="both"/>
        <w:rPr/>
      </w:pPr>
      <w:r>
        <w:rPr/>
        <w:t>Запасной предохранитель для источника питания (согласно спецификации напряжения) — 1</w:t>
      </w:r>
    </w:p>
    <w:p>
      <w:pPr>
        <w:pStyle w:val="Normal"/>
        <w:ind w:firstLine="567"/>
        <w:jc w:val="both"/>
        <w:rPr/>
      </w:pPr>
      <w:r>
        <w:rPr/>
        <w:t>100 В, 120 В: 250 В F 1.0 AL 20 mm x 5 mm</w:t>
      </w:r>
    </w:p>
    <w:p>
      <w:pPr>
        <w:pStyle w:val="Normal"/>
        <w:ind w:firstLine="567"/>
        <w:jc w:val="both"/>
        <w:rPr/>
      </w:pPr>
      <w:r>
        <w:rPr/>
        <w:t>220 В, 240 В: 250 В F 0.5 AL 20 mm x 5 mm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Датчики и приспособления не входят в стандартную комплектацию. Их следует заказывать отдельно в соответствии с требованиями.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предостоторожности при транспортировке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транспортировке, по возможности, используйте оригинальные упаковочные материалы.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Параметры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Приложение 6 «Параметры» (стр. А9).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Товарные знаки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Microsoft, Windows и Visual Basic являются зарегистрированными товарными знаками или товарными знаками корпорации Microsoft в США и других странах.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ИНФОРМАЦИЯ ПО ТЕХНИКЕ БЕЗОПАСНОСТИ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Прибор разработан в соответствии со стандартами безопасности IEC 61010 и был тщательно протестирован. Тем не менее неправильное обращение с прибором может повлечь за собой травмы, смерть или поломку оборудования. Перед использованием прибора внимательно ознакомьтесь с инструкциями и мерами предостородности, описанными в данном руководстве. Мы не несем ответственности за несчастные случаи или травмы, которые не вызваны непосредственно дефектами оборудования.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Данное руководство содержит информацию и предупреждения, необходимые для безопасной эксплуатации и поддержания оборудования в рабочем состоянии. Перед его использованием обязательно прочтите следующие меры предосторожности.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Предупреждающие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В руководстве символ указывает на особо важную информацию, которую пользователь должен прочитать перед использованием устройства. Символ , изображенный на отдельном узле, указывает на то, что пользователь должен обратиться к соответствующей теме в руководстве (отмеченной символом) перед использованием соответствующей функции. 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АС (переменный ток).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клемму заземления.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предохранитель.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включения переключателя питания.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выключения переключателя питания.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Следующие символы обозначают относительную важность предупреждений.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представляет значительную опасность, может привести к травмам или смерти пользователя.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может повлечь за собой травмы пользователя или повреждение устройства.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рекомендации, связанные с правильностью работы прибора.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Остальные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запрещенное действие.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расположение справочной информации.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краткие справочные сведения по эксплуатации и способам устранения и исправления проблем.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Обозначает, что ниже представлена описательная информация.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Категории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обеспечения безопасной эксплуатации измерительных приборов IEC 61010 устанавливает стандарты безопасности для различных электрических сред, отнесенных к категориям CAT II — CAT IV, называемых категориями измерений. Они определены следующим образом: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в оборудовании, подключенном к электрической розетке сети переменного тока с помощью шнура питания (переносные инструменты, бытовая техника и др.).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тяжелого оборудования (стационарных установок) подключаются непосредственно к электросети, а не через шнур и вилку.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IV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Оборудование подключено непосредственно к агрегату питания и его первичным цепям (распределительному щиту).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Использование измерительного прибора в среде, превышающей ту, на которую он рассчитан, может привести к серьезным последствиям. Не следует использовать измерительные приборы, не соответствующие категориям CAT II — CAT IV, это может привести к серьезной аварии.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Точность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Допуски измерений определены с помощью величин rdg (показание) и dgt (разряд) со следующими значениями: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422"/>
        <w:gridCol w:w="6214"/>
      </w:tblGrid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rdg (показание или отображаемое значение)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Текущее измеряемое значение, указанное на измерительном приборе.</w:t>
            </w:r>
          </w:p>
        </w:tc>
      </w:tr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dgt (разряд)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Наименьшая единица, отображаемая на цифровом измерительном приборе, т.е. входная величина, которая вызывает на дисплее единицу.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ПРЕДОСТОРОЖНОСТИ ПРИ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Соблюдайте меры предосторожности для обеспечения безопасной и эффективной работы.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Предварительные проверки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первичным использованием прибора убедитесь, что он работает исправно и на нем нет повреждений из-за неправильного хранения и транспортировки.  Если Вы обнаружили какое-либо повреждение, обратитесь к своему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  <w:t>Перед использованием прибора убедитесь в том, что изоляция на датчиках и кабелях не повреждена, проверьте оголенные провода. Неисправности кабелей и проводов могут вызвать поражение электрическим током. В случае обнаружения дефектов обратитесь к своему дилеру или представителю Hioki для замены.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Условия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Рабочая температура и влажность: от 0 до 40 </w:t>
      </w:r>
      <w:r>
        <w:rPr>
          <w:rFonts w:eastAsia="Calibri" w:cs="" w:ascii="Ubuntu" w:hAnsi="Ubuntu"/>
        </w:rPr>
        <w:t>°</w:t>
      </w:r>
      <w:r>
        <w:rPr/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/>
        <w:t xml:space="preserve">Температура и влажность хранения: от </w:t>
      </w:r>
      <w:r>
        <w:rPr>
          <w:rFonts w:eastAsia="Calibri" w:cs="" w:ascii="Ubuntu" w:hAnsi="Ubuntu"/>
        </w:rPr>
        <w:t xml:space="preserve">- </w:t>
      </w:r>
      <w:r>
        <w:rPr/>
        <w:t xml:space="preserve">10 до 55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>
          <w:rFonts w:eastAsia="Calibri" w:cs=""/>
        </w:rPr>
        <w:t xml:space="preserve">Гарантированная точность диапазонов температуры и влажности: 23 </w:t>
      </w:r>
      <w:r>
        <w:rPr>
          <w:rFonts w:eastAsia="Calibri" w:cs="" w:ascii="Ubuntu" w:hAnsi="Ubuntu"/>
        </w:rPr>
        <w:t>±</w:t>
      </w:r>
      <w:r>
        <w:rPr>
          <w:rFonts w:eastAsia="Calibri" w:cs=""/>
        </w:rPr>
        <w:t xml:space="preserve"> 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80 % относительной влажности.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rFonts w:eastAsia="Calibri" w:cs=""/>
          <w:b/>
          <w:bCs/>
        </w:rPr>
        <w:t>Следует избегать мест, где есть следующие факторы, которые могут привести к аварии или поломке прибора: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529"/>
        <w:gridCol w:w="3059"/>
        <w:gridCol w:w="1617"/>
        <w:gridCol w:w="3431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Прямые солнечные лучи.</w:t>
            </w:r>
          </w:p>
          <w:p>
            <w:pPr>
              <w:pStyle w:val="TableContents"/>
              <w:rPr/>
            </w:pPr>
            <w:r>
              <w:rPr/>
              <w:t>Высокие температуры.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коррозионных или взрывоопасных газов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жидкостей, высокой влажности или конденсата.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сильных электромагнитных полей. Электромагнитные радиаторы.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Сильное воздействие твердых частиц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Сильные вибрации.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Установка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Устанавливайте прибор только на нижнюю сторону.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закрывайте вентиляционные отверстия.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Обращение с прибором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допускайте намокания прибора и не проводите измерения мокрыми руками. Это может вызвать поражение электрическим током.</w:t>
      </w:r>
    </w:p>
    <w:p>
      <w:pPr>
        <w:pStyle w:val="Normal"/>
        <w:ind w:firstLine="567"/>
        <w:jc w:val="both"/>
        <w:rPr/>
      </w:pPr>
      <w:r>
        <w:rPr/>
        <w:t>Никогда не дорабатывайте прибор. Разбирать или ремонтировать прибор могут только сервисные инженеры. Несоблюдение этих требований может привести к пожару, поражению электрическим током или травмам.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Если во время работы прибора произойдет что-то нетипичное, немедленно выключите питание и обратитесь в любой сервисный центр Hioki.</w:t>
      </w:r>
    </w:p>
    <w:p>
      <w:pPr>
        <w:pStyle w:val="Normal"/>
        <w:ind w:firstLine="567"/>
        <w:jc w:val="both"/>
        <w:rPr/>
      </w:pPr>
      <w:r>
        <w:rPr/>
        <w:t xml:space="preserve">Во избежание повреждения прибора </w:t>
      </w:r>
      <w:r>
        <w:rPr/>
        <w:t>при транспортировке или эксплуатации берегите его от ударов.</w:t>
      </w:r>
      <w:r>
        <w:rPr/>
        <w:t xml:space="preserve">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При использовании в жилых районах прибор может вызывать помехи. </w:t>
      </w:r>
      <w:r>
        <w:rPr/>
        <w:t>В связи с этим следует принимать специальные меры для уменьшения электромагнитного излучения с целью предотвращения помех приему радио- и телепередач.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Перед подключением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включением устройства убедитесь, что напряжение питания соответствует указанному на разъеме питания. Подключение к ненадлежащему напряжению питания может повредить прибор и или привести к поражению электрическим током.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Напряжение источника питания можно переключать. Во избежание аварии проверьте правильность установки переключателя напряжения на источнике питания.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См. 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>астройки для напряжения питания: 2.2 «Проверка напряжения питания» (</w:t>
      </w:r>
      <w:r>
        <w:rPr>
          <w:b w:val="false"/>
          <w:bCs w:val="false"/>
        </w:rPr>
        <w:t>стр</w:t>
      </w:r>
      <w:r>
        <w:rPr>
          <w:b w:val="false"/>
          <w:bCs w:val="false"/>
        </w:rPr>
        <w:t>. 18)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несчастных случаев, связанных с электрическим током, и для соблюдения требований техники безопасности подключайте шнур питания, входящий в комплект, только к трех</w:t>
      </w:r>
      <w:r>
        <w:rPr>
          <w:b w:val="false"/>
          <w:bCs w:val="false"/>
        </w:rPr>
        <w:t xml:space="preserve">фазному выводу.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процедуру подключения: 2.3 «Подключение кабеля питания» (стр. 19)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короткого замыкания и поражения электрическим током отключите питание перед подключением.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короткого замыкания при установке прибора тщательно проверьте все соединения.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Гарантии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Hioki не несет ответственность за прибор, если он был подключен в несанкционированную систему или перепродан третьим лицам.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Стр 7</w:t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46369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Application>LibreOffice/6.0.3.2$Linux_X86_64 LibreOffice_project/00m0$Build-2</Application>
  <Pages>7</Pages>
  <Words>1033</Words>
  <Characters>7215</Characters>
  <CharactersWithSpaces>8158</CharactersWithSpaces>
  <Paragraphs>106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2021-09-29T14:53:17Z</dcterms:modified>
  <cp:revision>271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