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pPr>
      <w:r>
        <w:t xml:space="preserve">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pPr>
      <w:r>
        <w:t xml:space="preserve">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pPr>
      <w:r>
        <w:t xml:space="preserve">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r>
        <w:drawing>
          <wp:inline>
            <wp:extent cx="5753100" cy="661091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753100" cy="6610918"/>
                    </a:xfrm>
                    <a:prstGeom prst="rect">
                      <a:avLst/>
                    </a:prstGeom>
                    <a:noFill/>
                    <a:ln w="9525">
                      <a:noFill/>
                      <a:headEnd/>
                      <a:tailEnd/>
                    </a:ln>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r>
        <w:drawing>
          <wp:inline>
            <wp:extent cx="5753100" cy="3236118"/>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753100" cy="3236118"/>
                    </a:xfrm>
                    <a:prstGeom prst="rect">
                      <a:avLst/>
                    </a:prstGeom>
                    <a:noFill/>
                    <a:ln w="9525">
                      <a:noFill/>
                      <a:headEnd/>
                      <a:tailEnd/>
                    </a:ln>
                  </pic:spPr>
                </pic:pic>
              </a:graphicData>
            </a:graphic>
          </wp:inline>
        </w:drawing>
      </w:r>
    </w:p>
    <w:p>
      <w:pPr>
        <w:pStyle w:val="BodyText"/>
      </w:pPr>
      <w:r>
        <w:t xml:space="preserve">MindTrace User Dashboard displaying real-time emotion telemetry, fatigue analytics, and productivity trends.</w:t>
      </w:r>
    </w:p>
    <w:p>
      <w:pPr>
        <w:pStyle w:val="Heading1"/>
      </w:pPr>
      <w:r>
        <w:t xml:space="preserve">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r>
        <w:drawing>
          <wp:inline>
            <wp:extent cx="5753100" cy="2065215"/>
            <wp:effectExtent b="0" l="0" r="0" t="0"/>
            <wp:docPr descr="image" title="" id="35" name="Picture"/>
            <a:graphic>
              <a:graphicData uri="http://schemas.openxmlformats.org/drawingml/2006/picture">
                <pic:pic>
                  <pic:nvPicPr>
                    <pic:cNvPr descr="dataset_grid.png" id="36" name="Picture"/>
                    <pic:cNvPicPr>
                      <a:picLocks noChangeArrowheads="1" noChangeAspect="1"/>
                    </pic:cNvPicPr>
                  </pic:nvPicPr>
                  <pic:blipFill>
                    <a:blip r:embed="rId34"/>
                    <a:stretch>
                      <a:fillRect/>
                    </a:stretch>
                  </pic:blipFill>
                  <pic:spPr bwMode="auto">
                    <a:xfrm>
                      <a:off x="0" y="0"/>
                      <a:ext cx="5753100" cy="2065215"/>
                    </a:xfrm>
                    <a:prstGeom prst="rect">
                      <a:avLst/>
                    </a:prstGeom>
                    <a:noFill/>
                    <a:ln w="9525">
                      <a:noFill/>
                      <a:headEnd/>
                      <a:tailEnd/>
                    </a:ln>
                  </pic:spPr>
                </pic:pic>
              </a:graphicData>
            </a:graphic>
          </wp:inline>
        </w:drawing>
      </w:r>
    </w:p>
    <w:p>
      <w:pPr>
        <w:pStyle w:val="Heading1"/>
      </w:pPr>
      <w:r>
        <w:t xml:space="preserve">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pPr>
      <w:r>
        <w:t xml:space="preserve">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pPr>
      <w:r>
        <w:t xml:space="preserve">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pPr>
      <w:r>
        <w:t xml:space="preserve">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pPr>
      <w:r>
        <w:t xml:space="preserve">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pPr>
      <w:r>
        <w:t xml:space="preserve">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pPr>
      <w:r>
        <w:t xml:space="preserve">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pPr>
      <w:r>
        <w:t xml:space="preserve">References</w:t>
      </w:r>
    </w:p>
    <w:p>
      <w:pPr>
        <w:pStyle w:val="references"/>
      </w:pPr>
      <w:r>
        <w:t xml:space="preserve">Das, D., &amp; Dev, S. (2025). Facial and Behavioral Feature Fusion for Engagement Estimation.</w:t>
      </w:r>
      <w:r>
        <w:t xml:space="preserve"> </w:t>
      </w:r>
      <w:r>
        <w:rPr>
          <w:i/>
          <w:iCs/>
        </w:rPr>
        <w:t xml:space="preserve">Neural Computing</w:t>
      </w:r>
      <w:r>
        <w:t xml:space="preserve">, Elsevier.</w:t>
      </w:r>
    </w:p>
    <w:p>
      <w:pPr>
        <w:pStyle w:val="references"/>
      </w:pPr>
      <w:r>
        <w:t xml:space="preserve">Salloum, S., &amp; Al-Emran, M. (2025). Deep CNN-Based Facial Emotion Recognition.</w:t>
      </w:r>
      <w:r>
        <w:t xml:space="preserve"> </w:t>
      </w:r>
      <w:r>
        <w:rPr>
          <w:i/>
          <w:iCs/>
        </w:rPr>
        <w:t xml:space="preserve">Smart Learning Environments</w:t>
      </w:r>
      <w:r>
        <w:t xml:space="preserve">, Springer.</w:t>
      </w:r>
    </w:p>
    <w:p>
      <w:pPr>
        <w:pStyle w:val="references"/>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references"/>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references"/>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references"/>
      </w:pPr>
      <w:r>
        <w:t xml:space="preserve">Nguyen, T. T., et al. (2024). Emotion Recognition and Regulation in Collaborative Learning.</w:t>
      </w:r>
      <w:r>
        <w:t xml:space="preserve"> </w:t>
      </w:r>
      <w:r>
        <w:rPr>
          <w:i/>
          <w:iCs/>
        </w:rPr>
        <w:t xml:space="preserve">IJAIED</w:t>
      </w:r>
      <w:r>
        <w:t xml:space="preserve">, Springer.</w:t>
      </w:r>
    </w:p>
    <w:p>
      <w:pPr>
        <w:pStyle w:val="references"/>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references"/>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references"/>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references"/>
      </w:pPr>
      <w:r>
        <w:t xml:space="preserve">Gupta, A., et al. (2023). Multimodal Engagement Detection Using Deep Learning.</w:t>
      </w:r>
      <w:r>
        <w:t xml:space="preserve"> </w:t>
      </w:r>
      <w:r>
        <w:rPr>
          <w:i/>
          <w:iCs/>
        </w:rPr>
        <w:t xml:space="preserve">JAIHC</w:t>
      </w:r>
      <w:r>
        <w:t xml:space="preserve">, Springer.</w:t>
      </w:r>
    </w:p>
    <w:p>
      <w:pPr>
        <w:pStyle w:val="references"/>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references"/>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references"/>
      </w:pPr>
      <w:r>
        <w:t xml:space="preserve">Wang, H., &amp; Liu, J. (2025). Adaptive Facial Landmark Analysis for Multi-stage Fatigue Estimation.</w:t>
      </w:r>
      <w:r>
        <w:t xml:space="preserve"> </w:t>
      </w:r>
      <w:r>
        <w:rPr>
          <w:i/>
          <w:iCs/>
        </w:rPr>
        <w:t xml:space="preserve">IJCV</w:t>
      </w:r>
      <w:r>
        <w:t xml:space="preserve">, Springer.</w:t>
      </w:r>
    </w:p>
    <w:p>
      <w:pPr>
        <w:pStyle w:val="references"/>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references"/>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references"/>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references"/>
      </w:pPr>
      <w:r>
        <w:t xml:space="preserve">Saxena A.,</w:t>
      </w:r>
      <w:r>
        <w:t xml:space="preserve"> </w:t>
      </w:r>
      <w:r>
        <w:t xml:space="preserve">“</w:t>
      </w:r>
      <w:r>
        <w:t xml:space="preserve">Emotion Recognition and Detection Methods</w:t>
      </w:r>
      <w:r>
        <w:t xml:space="preserve">”</w:t>
      </w:r>
      <w:r>
        <w:t xml:space="preserve">, IJIEEE Journal, 2020.</w:t>
      </w:r>
    </w:p>
    <w:p>
      <w:pPr>
        <w:pStyle w:val="references"/>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references"/>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references"/>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references"/>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references"/>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