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193" w:rsidRDefault="00D2383D">
      <w:pPr>
        <w:ind w:right="3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8"/>
          <w:szCs w:val="28"/>
          <w:highlight w:val="white"/>
        </w:rPr>
        <w:t xml:space="preserve"> </w:t>
      </w:r>
      <w:r w:rsidR="006E6C4B" w:rsidRPr="006E6C4B">
        <w:rPr>
          <w:rFonts w:ascii="Times New Roman" w:eastAsia="Times New Roman" w:hAnsi="Times New Roman" w:cs="Times New Roman"/>
          <w:b/>
          <w:sz w:val="28"/>
          <w:szCs w:val="28"/>
          <w:highlight w:val="white"/>
        </w:rPr>
        <w:t>3D Printing of Functionally Graded Materials for Customized Mechanical Properties</w:t>
      </w:r>
    </w:p>
    <w:p w:rsidR="00607193" w:rsidRDefault="00D2383D">
      <w:pPr>
        <w:tabs>
          <w:tab w:val="left" w:pos="613"/>
          <w:tab w:val="center" w:pos="453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 xml:space="preserve"> </w:t>
      </w:r>
      <w:r w:rsidR="006E6C4B" w:rsidRPr="006E6C4B">
        <w:rPr>
          <w:rFonts w:ascii="Times New Roman" w:eastAsia="Times New Roman" w:hAnsi="Times New Roman" w:cs="Times New Roman"/>
          <w:sz w:val="24"/>
          <w:szCs w:val="24"/>
        </w:rPr>
        <w:t>First Author</w:t>
      </w:r>
      <w:r w:rsidR="006E6C4B">
        <w:rPr>
          <w:rFonts w:ascii="Times New Roman" w:eastAsia="Times New Roman" w:hAnsi="Times New Roman" w:cs="Times New Roman"/>
          <w:sz w:val="24"/>
          <w:szCs w:val="24"/>
          <w:vertAlign w:val="superscript"/>
        </w:rPr>
        <w:t>*1</w:t>
      </w:r>
    </w:p>
    <w:p w:rsidR="00607193" w:rsidRPr="001746B8" w:rsidRDefault="006E6C4B" w:rsidP="006E6C4B">
      <w:pPr>
        <w:spacing w:after="0" w:line="240" w:lineRule="auto"/>
        <w:jc w:val="center"/>
        <w:rPr>
          <w:rFonts w:ascii="Times New Roman" w:eastAsia="Times New Roman" w:hAnsi="Times New Roman" w:cs="Times New Roman"/>
          <w:i/>
          <w:sz w:val="23"/>
          <w:szCs w:val="23"/>
        </w:rPr>
      </w:pPr>
      <w:r w:rsidRPr="001746B8">
        <w:rPr>
          <w:rFonts w:ascii="Times New Roman" w:eastAsia="Times New Roman" w:hAnsi="Times New Roman" w:cs="Times New Roman"/>
          <w:sz w:val="23"/>
          <w:szCs w:val="23"/>
          <w:vertAlign w:val="superscript"/>
        </w:rPr>
        <w:t>*1</w:t>
      </w:r>
      <w:r w:rsidRPr="001746B8">
        <w:rPr>
          <w:rFonts w:ascii="Times New Roman" w:eastAsia="Times New Roman" w:hAnsi="Times New Roman" w:cs="Times New Roman"/>
          <w:i/>
          <w:sz w:val="23"/>
          <w:szCs w:val="23"/>
        </w:rPr>
        <w:t>Affiliation, Department, Institute, City, State, Country</w:t>
      </w:r>
    </w:p>
    <w:p w:rsidR="006E6C4B" w:rsidRDefault="006E6C4B" w:rsidP="006E6C4B">
      <w:pPr>
        <w:tabs>
          <w:tab w:val="left" w:pos="613"/>
          <w:tab w:val="center" w:pos="453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Second</w:t>
      </w:r>
      <w:r w:rsidRPr="006E6C4B">
        <w:rPr>
          <w:rFonts w:ascii="Times New Roman" w:eastAsia="Times New Roman" w:hAnsi="Times New Roman" w:cs="Times New Roman"/>
          <w:sz w:val="24"/>
          <w:szCs w:val="24"/>
        </w:rPr>
        <w:t xml:space="preserve"> Author</w:t>
      </w:r>
      <w:r>
        <w:rPr>
          <w:rFonts w:ascii="Times New Roman" w:eastAsia="Times New Roman" w:hAnsi="Times New Roman" w:cs="Times New Roman"/>
          <w:sz w:val="24"/>
          <w:szCs w:val="24"/>
          <w:vertAlign w:val="superscript"/>
        </w:rPr>
        <w:t>*2</w:t>
      </w:r>
    </w:p>
    <w:p w:rsidR="006E6C4B" w:rsidRPr="001746B8" w:rsidRDefault="006E6C4B" w:rsidP="006E6C4B">
      <w:pPr>
        <w:spacing w:after="0" w:line="240" w:lineRule="auto"/>
        <w:jc w:val="center"/>
        <w:rPr>
          <w:rFonts w:ascii="Times New Roman" w:eastAsia="Times New Roman" w:hAnsi="Times New Roman" w:cs="Times New Roman"/>
          <w:i/>
          <w:sz w:val="23"/>
          <w:szCs w:val="23"/>
        </w:rPr>
      </w:pPr>
      <w:r w:rsidRPr="001746B8">
        <w:rPr>
          <w:rFonts w:ascii="Times New Roman" w:eastAsia="Times New Roman" w:hAnsi="Times New Roman" w:cs="Times New Roman"/>
          <w:sz w:val="23"/>
          <w:szCs w:val="23"/>
          <w:vertAlign w:val="superscript"/>
        </w:rPr>
        <w:t>*2</w:t>
      </w:r>
      <w:r w:rsidRPr="001746B8">
        <w:rPr>
          <w:rFonts w:ascii="Times New Roman" w:eastAsia="Times New Roman" w:hAnsi="Times New Roman" w:cs="Times New Roman"/>
          <w:i/>
          <w:sz w:val="23"/>
          <w:szCs w:val="23"/>
        </w:rPr>
        <w:t>Affiliation, Department, Institute, City, State, Country</w:t>
      </w:r>
    </w:p>
    <w:p w:rsidR="00607193" w:rsidRDefault="00607193">
      <w:pPr>
        <w:spacing w:after="0" w:line="240" w:lineRule="auto"/>
        <w:jc w:val="center"/>
        <w:rPr>
          <w:rFonts w:ascii="Times New Roman" w:eastAsia="Times New Roman" w:hAnsi="Times New Roman" w:cs="Times New Roman"/>
          <w:i/>
          <w:sz w:val="24"/>
          <w:szCs w:val="24"/>
        </w:rPr>
      </w:pPr>
    </w:p>
    <w:p w:rsidR="00607193" w:rsidRDefault="00607193">
      <w:pPr>
        <w:spacing w:after="0" w:line="240" w:lineRule="auto"/>
        <w:jc w:val="center"/>
        <w:rPr>
          <w:rFonts w:ascii="Times New Roman" w:eastAsia="Times New Roman" w:hAnsi="Times New Roman" w:cs="Times New Roman"/>
          <w:b/>
          <w:i/>
          <w:color w:val="000000"/>
          <w:sz w:val="24"/>
          <w:szCs w:val="24"/>
        </w:rPr>
      </w:pPr>
    </w:p>
    <w:p w:rsidR="00607193" w:rsidRPr="001746B8" w:rsidRDefault="00D2383D">
      <w:pPr>
        <w:spacing w:after="0" w:line="240" w:lineRule="auto"/>
        <w:ind w:left="1304" w:right="1304"/>
        <w:jc w:val="both"/>
        <w:rPr>
          <w:rFonts w:ascii="Times New Roman" w:eastAsia="Times New Roman" w:hAnsi="Times New Roman" w:cs="Times New Roman"/>
          <w:color w:val="000000"/>
          <w:sz w:val="23"/>
          <w:szCs w:val="23"/>
        </w:rPr>
      </w:pPr>
      <w:r w:rsidRPr="001746B8">
        <w:rPr>
          <w:rFonts w:ascii="Times New Roman" w:eastAsia="Times New Roman" w:hAnsi="Times New Roman" w:cs="Times New Roman"/>
          <w:b/>
          <w:i/>
          <w:color w:val="000000"/>
          <w:sz w:val="23"/>
          <w:szCs w:val="23"/>
        </w:rPr>
        <w:t>Abstract:</w:t>
      </w:r>
      <w:r w:rsidRPr="001746B8">
        <w:rPr>
          <w:rFonts w:ascii="Times New Roman" w:eastAsia="Times New Roman" w:hAnsi="Times New Roman" w:cs="Times New Roman"/>
          <w:b/>
          <w:color w:val="000000"/>
          <w:sz w:val="23"/>
          <w:szCs w:val="23"/>
        </w:rPr>
        <w:t xml:space="preserve"> </w:t>
      </w:r>
      <w:r w:rsidRPr="001746B8">
        <w:rPr>
          <w:rFonts w:ascii="Times New Roman" w:eastAsia="Times New Roman" w:hAnsi="Times New Roman" w:cs="Times New Roman"/>
          <w:sz w:val="23"/>
          <w:szCs w:val="23"/>
        </w:rPr>
        <w:t>The demand for safety and sustainable transportation brings innovation in vehicle technology. Bicycling is one of the oldest and fittest ways of transportation. A lot of research is going</w:t>
      </w:r>
      <w:r w:rsidRPr="001746B8">
        <w:rPr>
          <w:rFonts w:ascii="Times New Roman" w:eastAsia="Times New Roman" w:hAnsi="Times New Roman" w:cs="Times New Roman"/>
          <w:sz w:val="23"/>
          <w:szCs w:val="23"/>
        </w:rPr>
        <w:t xml:space="preserve"> on self-balanced and autonomous two-wheeler vehicles to attract riders.  An attempt is made here to propose the design components of autonomous self-balancing bicycles. Gyroscopes, widely used in stabilizing systems, emerge as a vital component in the dev</w:t>
      </w:r>
      <w:r w:rsidRPr="001746B8">
        <w:rPr>
          <w:rFonts w:ascii="Times New Roman" w:eastAsia="Times New Roman" w:hAnsi="Times New Roman" w:cs="Times New Roman"/>
          <w:sz w:val="23"/>
          <w:szCs w:val="23"/>
        </w:rPr>
        <w:t>elopment of self-balancing bicycles. This study focuses on use of gyroscopes and specifically designed flywheel, aimed at facilitating autonomous motion along both straight trajectories and curved paths. This paper illustrates how gyroscopes and flywheel m</w:t>
      </w:r>
      <w:r w:rsidRPr="001746B8">
        <w:rPr>
          <w:rFonts w:ascii="Times New Roman" w:eastAsia="Times New Roman" w:hAnsi="Times New Roman" w:cs="Times New Roman"/>
          <w:sz w:val="23"/>
          <w:szCs w:val="23"/>
        </w:rPr>
        <w:t>aintain stability in self-balancing bicycles during tilting. Autonomous capability includes use of various sensors and camera to detect objects for navigation and use computer vision efficiently with the help of machine learning algorithms. The proposed de</w:t>
      </w:r>
      <w:r w:rsidRPr="001746B8">
        <w:rPr>
          <w:rFonts w:ascii="Times New Roman" w:eastAsia="Times New Roman" w:hAnsi="Times New Roman" w:cs="Times New Roman"/>
          <w:sz w:val="23"/>
          <w:szCs w:val="23"/>
        </w:rPr>
        <w:t>sign framework will help in a transformative era of innovation in urban mobility, promising safer and more sustainable ways of getting around in cities.</w:t>
      </w:r>
      <w:r w:rsidRPr="001746B8">
        <w:rPr>
          <w:rFonts w:ascii="Times New Roman" w:eastAsia="Times New Roman" w:hAnsi="Times New Roman" w:cs="Times New Roman"/>
          <w:color w:val="000000"/>
          <w:sz w:val="23"/>
          <w:szCs w:val="23"/>
        </w:rPr>
        <w:t xml:space="preserve">   </w:t>
      </w:r>
    </w:p>
    <w:p w:rsidR="00607193" w:rsidRPr="001746B8" w:rsidRDefault="00D2383D">
      <w:pPr>
        <w:spacing w:after="0" w:line="240" w:lineRule="auto"/>
        <w:ind w:left="1304" w:right="1304"/>
        <w:jc w:val="both"/>
        <w:rPr>
          <w:rFonts w:ascii="Times New Roman" w:eastAsia="Times New Roman" w:hAnsi="Times New Roman" w:cs="Times New Roman"/>
          <w:color w:val="000000"/>
          <w:sz w:val="23"/>
          <w:szCs w:val="23"/>
        </w:rPr>
      </w:pPr>
      <w:r w:rsidRPr="001746B8">
        <w:rPr>
          <w:rFonts w:ascii="Times New Roman" w:eastAsia="Times New Roman" w:hAnsi="Times New Roman" w:cs="Times New Roman"/>
          <w:b/>
          <w:i/>
          <w:color w:val="000000"/>
          <w:sz w:val="23"/>
          <w:szCs w:val="23"/>
        </w:rPr>
        <w:t>Keywords:</w:t>
      </w:r>
      <w:r w:rsidRPr="001746B8">
        <w:rPr>
          <w:rFonts w:ascii="Times New Roman" w:eastAsia="Times New Roman" w:hAnsi="Times New Roman" w:cs="Times New Roman"/>
          <w:color w:val="000000"/>
          <w:sz w:val="23"/>
          <w:szCs w:val="23"/>
        </w:rPr>
        <w:t xml:space="preserve"> </w:t>
      </w:r>
      <w:r w:rsidRPr="001746B8">
        <w:rPr>
          <w:rFonts w:ascii="Times New Roman" w:eastAsia="Times New Roman" w:hAnsi="Times New Roman" w:cs="Times New Roman"/>
          <w:sz w:val="23"/>
          <w:szCs w:val="23"/>
        </w:rPr>
        <w:t>autonomous vehicle, self balancing, smart driving, smart vehicle</w:t>
      </w:r>
    </w:p>
    <w:p w:rsidR="00607193" w:rsidRDefault="00607193">
      <w:pPr>
        <w:spacing w:after="0" w:line="240" w:lineRule="auto"/>
        <w:jc w:val="both"/>
        <w:rPr>
          <w:rFonts w:ascii="Times New Roman" w:eastAsia="Times New Roman" w:hAnsi="Times New Roman" w:cs="Times New Roman"/>
          <w:color w:val="000000"/>
          <w:sz w:val="24"/>
          <w:szCs w:val="24"/>
        </w:rPr>
      </w:pPr>
    </w:p>
    <w:p w:rsidR="006E6C4B" w:rsidRDefault="006E6C4B" w:rsidP="006E6C4B">
      <w:pPr>
        <w:numPr>
          <w:ilvl w:val="0"/>
          <w:numId w:val="2"/>
        </w:numPr>
        <w:spacing w:after="0" w:line="240" w:lineRule="auto"/>
        <w:ind w:left="540" w:hanging="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text: Times New Roman, 12 Punto, (Special: First Line, by: 1.27 cm), (single space), (justified), (Layout- Margins- Normal Top: 2,5 cm Bottom: 2 cm Left: 2,5 cm Right: 2,5 cm), (Spacing: Before: 0 cm, After: 0 cm) </w:t>
      </w:r>
    </w:p>
    <w:p w:rsidR="006E6C4B" w:rsidRDefault="00D2383D" w:rsidP="001746B8">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fundamental objective of multicul</w:t>
      </w:r>
      <w:r>
        <w:rPr>
          <w:rFonts w:ascii="Times New Roman" w:eastAsia="Times New Roman" w:hAnsi="Times New Roman" w:cs="Times New Roman"/>
          <w:color w:val="000000"/>
          <w:sz w:val="24"/>
          <w:szCs w:val="24"/>
        </w:rPr>
        <w:t>tural education is to help students consider their diversity of ethnicity and race as an educational alternative and develop their knowledge, skills and behaviors necessary for them to perform various educational activities, and to restructure schools in t</w:t>
      </w:r>
      <w:r>
        <w:rPr>
          <w:rFonts w:ascii="Times New Roman" w:eastAsia="Times New Roman" w:hAnsi="Times New Roman" w:cs="Times New Roman"/>
          <w:color w:val="000000"/>
          <w:sz w:val="24"/>
          <w:szCs w:val="24"/>
        </w:rPr>
        <w:t xml:space="preserve">his direction (Ajzen, 1985). Multicultural education supports students to show tolerance towards those with backgrounds different from theirs on the one hand, and focusing on the protection of each student’s cultural heritage on the other (Barnea, 1998). </w:t>
      </w:r>
    </w:p>
    <w:p w:rsidR="001746B8" w:rsidRDefault="001746B8" w:rsidP="001746B8">
      <w:pPr>
        <w:spacing w:after="0" w:line="240" w:lineRule="auto"/>
        <w:ind w:firstLine="720"/>
        <w:jc w:val="both"/>
        <w:rPr>
          <w:rFonts w:ascii="Times New Roman" w:eastAsia="Times New Roman" w:hAnsi="Times New Roman" w:cs="Times New Roman"/>
          <w:color w:val="000000"/>
          <w:sz w:val="24"/>
          <w:szCs w:val="24"/>
        </w:rPr>
      </w:pPr>
    </w:p>
    <w:p w:rsidR="00607193" w:rsidRDefault="001746B8" w:rsidP="001746B8">
      <w:pPr>
        <w:spacing w:after="0" w:line="240" w:lineRule="auto"/>
        <w:jc w:val="center"/>
        <w:rPr>
          <w:rFonts w:ascii="Times New Roman" w:eastAsia="Times New Roman" w:hAnsi="Times New Roman" w:cs="Times New Roman"/>
          <w:color w:val="000000"/>
          <w:sz w:val="24"/>
          <w:szCs w:val="24"/>
        </w:rPr>
      </w:pPr>
      <w:r w:rsidRPr="001746B8">
        <w:rPr>
          <w:rFonts w:ascii="Times New Roman" w:eastAsia="Times New Roman" w:hAnsi="Times New Roman" w:cs="Times New Roman"/>
          <w:color w:val="000000"/>
          <w:sz w:val="24"/>
          <w:szCs w:val="24"/>
        </w:rPr>
        <w:drawing>
          <wp:inline distT="0" distB="0" distL="0" distR="0" wp14:anchorId="7701A444" wp14:editId="793A0F6E">
            <wp:extent cx="5048250" cy="110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0612" cy="1127694"/>
                    </a:xfrm>
                    <a:prstGeom prst="rect">
                      <a:avLst/>
                    </a:prstGeom>
                  </pic:spPr>
                </pic:pic>
              </a:graphicData>
            </a:graphic>
          </wp:inline>
        </w:drawing>
      </w:r>
    </w:p>
    <w:p w:rsidR="00607193" w:rsidRDefault="00D2383D">
      <w:pPr>
        <w:numPr>
          <w:ilvl w:val="0"/>
          <w:numId w:val="2"/>
        </w:numPr>
        <w:spacing w:after="0" w:line="240" w:lineRule="auto"/>
        <w:ind w:left="540" w:hanging="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Literature Review </w:t>
      </w:r>
    </w:p>
    <w:p w:rsidR="00607193" w:rsidRDefault="00607193">
      <w:pPr>
        <w:spacing w:after="0" w:line="240" w:lineRule="auto"/>
        <w:ind w:firstLine="709"/>
        <w:jc w:val="both"/>
        <w:rPr>
          <w:rFonts w:ascii="Times New Roman" w:eastAsia="Times New Roman" w:hAnsi="Times New Roman" w:cs="Times New Roman"/>
          <w:b/>
          <w:color w:val="000000"/>
          <w:sz w:val="24"/>
          <w:szCs w:val="24"/>
        </w:rPr>
      </w:pP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existing studies in school choice document that parents take into account numerous factors when determining their children’s school enrollment. What may be surprising is that academic quality is often not the only or even main variable in such decision</w:t>
      </w:r>
      <w:r>
        <w:rPr>
          <w:rFonts w:ascii="Times New Roman" w:eastAsia="Times New Roman" w:hAnsi="Times New Roman" w:cs="Times New Roman"/>
          <w:color w:val="000000"/>
          <w:sz w:val="24"/>
          <w:szCs w:val="24"/>
        </w:rPr>
        <w:t>s. For example, parents often move to communities and enroll their children in schools through the assistance of their social networks. Parents turn to family members, friends, and coworkers to obtain recommendations on communities and schools (Lareau, 201</w:t>
      </w:r>
      <w:r>
        <w:rPr>
          <w:rFonts w:ascii="Times New Roman" w:eastAsia="Times New Roman" w:hAnsi="Times New Roman" w:cs="Times New Roman"/>
          <w:color w:val="000000"/>
          <w:sz w:val="24"/>
          <w:szCs w:val="24"/>
        </w:rPr>
        <w:t>4). Because social networks in the U.S. are heavily segregated by race and social class, parents often end up in communities and schools that mirror their social backgrounds (Lareau, 2014; Sattin-Bajaj &amp; Roda, 2018). Meanwhile, most white parents view majo</w:t>
      </w:r>
      <w:r>
        <w:rPr>
          <w:rFonts w:ascii="Times New Roman" w:eastAsia="Times New Roman" w:hAnsi="Times New Roman" w:cs="Times New Roman"/>
          <w:color w:val="000000"/>
          <w:sz w:val="24"/>
          <w:szCs w:val="24"/>
        </w:rPr>
        <w:t xml:space="preserve">rity black and Hispanic schools as undesirable (Billingham &amp; Hunt, 2016), and segregation by race in America’s public schools has increased markedly since the 1980s (Johnson &amp; Nazaryan, 2019; Logan et al., 2012). Relatedly, the convenience of the school’s </w:t>
      </w:r>
      <w:r>
        <w:rPr>
          <w:rFonts w:ascii="Times New Roman" w:eastAsia="Times New Roman" w:hAnsi="Times New Roman" w:cs="Times New Roman"/>
          <w:color w:val="000000"/>
          <w:sz w:val="24"/>
          <w:szCs w:val="24"/>
        </w:rPr>
        <w:t xml:space="preserve">location, behavioral and discipline standards, and the perceived safety of the school are all primary factors in school decisions (Lareau, 2014; Schneider et al., 2000). </w:t>
      </w: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be sure, parents’ value academic quality, but many, particularly those who are whi</w:t>
      </w:r>
      <w:r>
        <w:rPr>
          <w:rFonts w:ascii="Times New Roman" w:eastAsia="Times New Roman" w:hAnsi="Times New Roman" w:cs="Times New Roman"/>
          <w:color w:val="000000"/>
          <w:sz w:val="24"/>
          <w:szCs w:val="24"/>
        </w:rPr>
        <w:t>te, conflate academic quality with predominantly white schools. Relatedly, white parents often overlook or simply refuse to send their children to high-performing schools that have majority black or Hispanic student bodies (Billingham, 2017; Billingham &amp; H</w:t>
      </w:r>
      <w:r>
        <w:rPr>
          <w:rFonts w:ascii="Times New Roman" w:eastAsia="Times New Roman" w:hAnsi="Times New Roman" w:cs="Times New Roman"/>
          <w:color w:val="000000"/>
          <w:sz w:val="24"/>
          <w:szCs w:val="24"/>
        </w:rPr>
        <w:t>unt, 2016). Moreover, parents utilize their highly homogeneous social networks in their inquiries into teachers, the student body, and the overall school environment rather than using more objective, academic metrics and data that states and school distric</w:t>
      </w:r>
      <w:r>
        <w:rPr>
          <w:rFonts w:ascii="Times New Roman" w:eastAsia="Times New Roman" w:hAnsi="Times New Roman" w:cs="Times New Roman"/>
          <w:color w:val="000000"/>
          <w:sz w:val="24"/>
          <w:szCs w:val="24"/>
        </w:rPr>
        <w:t>ts collect (Holme, 2002). Ultimately, school choice patterns both effect and are affected by longstanding institutional patterns and inequities.</w:t>
      </w: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regard to private schools, studies indicate parents often opt for them when local public schools are deemed </w:t>
      </w:r>
      <w:r>
        <w:rPr>
          <w:rFonts w:ascii="Times New Roman" w:eastAsia="Times New Roman" w:hAnsi="Times New Roman" w:cs="Times New Roman"/>
          <w:color w:val="000000"/>
          <w:sz w:val="24"/>
          <w:szCs w:val="24"/>
        </w:rPr>
        <w:t>unsatisfactory in some way. Billingham and Kimelberg (2013) and Goldring and Rowley (2006) found that parents select private schools in order to have more control over their children’s education, including greater access to teachers and school staff. For e</w:t>
      </w:r>
      <w:r>
        <w:rPr>
          <w:rFonts w:ascii="Times New Roman" w:eastAsia="Times New Roman" w:hAnsi="Times New Roman" w:cs="Times New Roman"/>
          <w:color w:val="000000"/>
          <w:sz w:val="24"/>
          <w:szCs w:val="24"/>
        </w:rPr>
        <w:t>xample, Billingham and Kimelberg (2013) found that Boston parents who enrolled their children in the city’s public elementary schools, often left for private schools or the suburbs once their children reached middle school or high school. They felt the cit</w:t>
      </w:r>
      <w:r>
        <w:rPr>
          <w:rFonts w:ascii="Times New Roman" w:eastAsia="Times New Roman" w:hAnsi="Times New Roman" w:cs="Times New Roman"/>
          <w:color w:val="000000"/>
          <w:sz w:val="24"/>
          <w:szCs w:val="24"/>
        </w:rPr>
        <w:t xml:space="preserve">y’s public middle and high schools were too big, making parental control out of reach. Yet, other studies indicated that “pull” factors pertaining to private schools generally outweigh what “pushes” families away from public schools. These factors include </w:t>
      </w:r>
      <w:r>
        <w:rPr>
          <w:rFonts w:ascii="Times New Roman" w:eastAsia="Times New Roman" w:hAnsi="Times New Roman" w:cs="Times New Roman"/>
          <w:color w:val="000000"/>
          <w:sz w:val="24"/>
          <w:szCs w:val="24"/>
        </w:rPr>
        <w:t>the religious values espoused in private, parochial schools, the lure of smaller class sizes, the belief that children should wear uniforms, and how these schools differ in their approaches to disciplinary and behavioral standards (Lankford &amp; Wyckoff, 1992</w:t>
      </w:r>
      <w:r>
        <w:rPr>
          <w:rFonts w:ascii="Times New Roman" w:eastAsia="Times New Roman" w:hAnsi="Times New Roman" w:cs="Times New Roman"/>
          <w:color w:val="000000"/>
          <w:sz w:val="24"/>
          <w:szCs w:val="24"/>
        </w:rPr>
        <w:t xml:space="preserve">). </w:t>
      </w: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growing body of literature, however, has begun to examine the experiences of urban middle-class parents who forgo private school options and remain in central-city public schools (Cucchiara, 2013a, 2013b; Posey-Maddox, 2016; Posey-Maddox et al., 2014</w:t>
      </w:r>
      <w:r>
        <w:rPr>
          <w:rFonts w:ascii="Times New Roman" w:eastAsia="Times New Roman" w:hAnsi="Times New Roman" w:cs="Times New Roman"/>
          <w:color w:val="000000"/>
          <w:sz w:val="24"/>
          <w:szCs w:val="24"/>
        </w:rPr>
        <w:t>; Posey-Maddox et al., 2016). These studies have mostly focused on white middle class parents of children who are at the elementary school level. These parents enroll their children in city public schools for various but inter-related reasons. First, enjoy</w:t>
      </w:r>
      <w:r>
        <w:rPr>
          <w:rFonts w:ascii="Times New Roman" w:eastAsia="Times New Roman" w:hAnsi="Times New Roman" w:cs="Times New Roman"/>
          <w:color w:val="000000"/>
          <w:sz w:val="24"/>
          <w:szCs w:val="24"/>
        </w:rPr>
        <w:t xml:space="preserve">ing the unique lifestyle city living provides, they have decided to settle in central cities rather than suburban areas (Billingham &amp; Kimelberg, 2013; Cucchiara &amp; Horvat, 2014). Some are also drawn to the diversity in urban public schools, </w:t>
      </w:r>
      <w:r>
        <w:rPr>
          <w:rFonts w:ascii="Times New Roman" w:eastAsia="Times New Roman" w:hAnsi="Times New Roman" w:cs="Times New Roman"/>
          <w:color w:val="000000"/>
          <w:sz w:val="24"/>
          <w:szCs w:val="24"/>
        </w:rPr>
        <w:lastRenderedPageBreak/>
        <w:t>settings that re</w:t>
      </w:r>
      <w:r>
        <w:rPr>
          <w:rFonts w:ascii="Times New Roman" w:eastAsia="Times New Roman" w:hAnsi="Times New Roman" w:cs="Times New Roman"/>
          <w:color w:val="000000"/>
          <w:sz w:val="24"/>
          <w:szCs w:val="24"/>
        </w:rPr>
        <w:t>flect the “real world” (Cucchiara, 2013b). Additional parents are open to “trying out” the public schools in their urban neighborhoods (Stillman, 2012), whereas others have left-leaning political values and support urban public education as a social justic</w:t>
      </w:r>
      <w:r>
        <w:rPr>
          <w:rFonts w:ascii="Times New Roman" w:eastAsia="Times New Roman" w:hAnsi="Times New Roman" w:cs="Times New Roman"/>
          <w:color w:val="000000"/>
          <w:sz w:val="24"/>
          <w:szCs w:val="24"/>
        </w:rPr>
        <w:t>e concern (Cucchiara, 2013b; Cucchiara &amp; Horvat, 2014; Posey, 2012; Reay et al., 2011; Roda, 2018; Stillman, 2012). Other parents are turned off by the perceived, obsessive parenting styles they contend are more prevalent in wealthier, suburban schools (Cu</w:t>
      </w:r>
      <w:r>
        <w:rPr>
          <w:rFonts w:ascii="Times New Roman" w:eastAsia="Times New Roman" w:hAnsi="Times New Roman" w:cs="Times New Roman"/>
          <w:color w:val="000000"/>
          <w:sz w:val="24"/>
          <w:szCs w:val="24"/>
        </w:rPr>
        <w:t xml:space="preserve">cchiara, 2013b; Stillman, 2012). </w:t>
      </w:r>
    </w:p>
    <w:p w:rsidR="00607193" w:rsidRDefault="00607193">
      <w:pPr>
        <w:spacing w:after="0" w:line="240" w:lineRule="auto"/>
        <w:jc w:val="both"/>
        <w:rPr>
          <w:rFonts w:ascii="Times New Roman" w:eastAsia="Times New Roman" w:hAnsi="Times New Roman" w:cs="Times New Roman"/>
          <w:b/>
          <w:color w:val="000000"/>
          <w:sz w:val="24"/>
          <w:szCs w:val="24"/>
        </w:rPr>
      </w:pPr>
    </w:p>
    <w:p w:rsidR="00607193" w:rsidRDefault="00D2383D">
      <w:pPr>
        <w:numPr>
          <w:ilvl w:val="0"/>
          <w:numId w:val="2"/>
        </w:numPr>
        <w:spacing w:after="0" w:line="240" w:lineRule="auto"/>
        <w:ind w:left="450" w:hanging="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Case and Methodology </w:t>
      </w:r>
    </w:p>
    <w:p w:rsidR="00607193" w:rsidRDefault="00607193">
      <w:pPr>
        <w:spacing w:after="0" w:line="240" w:lineRule="auto"/>
        <w:ind w:firstLine="709"/>
        <w:jc w:val="both"/>
        <w:rPr>
          <w:rFonts w:ascii="Times New Roman" w:eastAsia="Times New Roman" w:hAnsi="Times New Roman" w:cs="Times New Roman"/>
          <w:color w:val="000000"/>
          <w:sz w:val="24"/>
          <w:szCs w:val="24"/>
        </w:rPr>
      </w:pP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research was conducted in Albany, New York, a city of roughly 100,000 residents in a metropolitan region approaching one million. About 10,500 students attend the City School District of </w:t>
      </w:r>
      <w:r>
        <w:rPr>
          <w:rFonts w:ascii="Times New Roman" w:eastAsia="Times New Roman" w:hAnsi="Times New Roman" w:cs="Times New Roman"/>
          <w:color w:val="000000"/>
          <w:sz w:val="24"/>
          <w:szCs w:val="24"/>
        </w:rPr>
        <w:t>Albany. Like other cities in the Northeast, Albany has suffered from both population decline and white flight since the 1950s, although these trends have reversed and slowed, respectively, during the last decade. The public-school population does not refle</w:t>
      </w:r>
      <w:r>
        <w:rPr>
          <w:rFonts w:ascii="Times New Roman" w:eastAsia="Times New Roman" w:hAnsi="Times New Roman" w:cs="Times New Roman"/>
          <w:color w:val="000000"/>
          <w:sz w:val="24"/>
          <w:szCs w:val="24"/>
        </w:rPr>
        <w:t>ct the overall city population, with African American students constituting by far the largest group in the public schools, whereas the city is still majority white. The public schools in Albany, however, have never reflected the city’s broader population.</w:t>
      </w:r>
      <w:r>
        <w:rPr>
          <w:rFonts w:ascii="Times New Roman" w:eastAsia="Times New Roman" w:hAnsi="Times New Roman" w:cs="Times New Roman"/>
          <w:color w:val="000000"/>
          <w:sz w:val="24"/>
          <w:szCs w:val="24"/>
        </w:rPr>
        <w:t xml:space="preserve"> This was mainly due to the sizable Roman Catholic parochial school presence in Albany, which always attracted large segments of children from Irish, Italian, and Polish American families (Rabrenovic, 1996). </w:t>
      </w: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Substantial problems face Albany Public Schools</w:t>
      </w:r>
      <w:r>
        <w:rPr>
          <w:rFonts w:ascii="Times New Roman" w:eastAsia="Times New Roman" w:hAnsi="Times New Roman" w:cs="Times New Roman"/>
          <w:color w:val="000000"/>
          <w:sz w:val="24"/>
          <w:szCs w:val="24"/>
        </w:rPr>
        <w:t>.  In 2015, the New York State Department of Education (NYSED) placed three schools into receivership, including Albany High School. Under receivership, the state appoints a “receiver,” with the power to make substantial changes to a school, including firi</w:t>
      </w:r>
      <w:r>
        <w:rPr>
          <w:rFonts w:ascii="Times New Roman" w:eastAsia="Times New Roman" w:hAnsi="Times New Roman" w:cs="Times New Roman"/>
          <w:color w:val="000000"/>
          <w:sz w:val="24"/>
          <w:szCs w:val="24"/>
        </w:rPr>
        <w:t>ng the school principal and other administrators, extending the school day, and instituting new curricula and programs. Despite the overall district’s subpar performance, specific neighborhood elementary schools and elementary magnet schools perform relati</w:t>
      </w:r>
      <w:r>
        <w:rPr>
          <w:rFonts w:ascii="Times New Roman" w:eastAsia="Times New Roman" w:hAnsi="Times New Roman" w:cs="Times New Roman"/>
          <w:color w:val="000000"/>
          <w:sz w:val="24"/>
          <w:szCs w:val="24"/>
        </w:rPr>
        <w:t>vely well (NYSED, 2018). The district also operates a highly touted high school International Baccalaureate (IB) program.</w:t>
      </w:r>
    </w:p>
    <w:p w:rsidR="00607193" w:rsidRDefault="00607193">
      <w:pPr>
        <w:spacing w:after="0" w:line="240" w:lineRule="auto"/>
        <w:jc w:val="both"/>
        <w:rPr>
          <w:rFonts w:ascii="Times New Roman" w:eastAsia="Times New Roman" w:hAnsi="Times New Roman" w:cs="Times New Roman"/>
          <w:color w:val="000000"/>
          <w:sz w:val="24"/>
          <w:szCs w:val="24"/>
        </w:rPr>
      </w:pP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focus on middle class families because previous research suggests that, possessing greater resources, they are far more likely than</w:t>
      </w:r>
      <w:r>
        <w:rPr>
          <w:rFonts w:ascii="Times New Roman" w:eastAsia="Times New Roman" w:hAnsi="Times New Roman" w:cs="Times New Roman"/>
          <w:color w:val="000000"/>
          <w:sz w:val="24"/>
          <w:szCs w:val="24"/>
        </w:rPr>
        <w:t xml:space="preserve"> their lower-income counterparts to achieve their school preferences (Lareau, 2014). The qualitative approach of in-depth interviews is also appropriate given this study’s aim at attempting to understand the complex ways in which parents choose schools and</w:t>
      </w:r>
      <w:r>
        <w:rPr>
          <w:rFonts w:ascii="Times New Roman" w:eastAsia="Times New Roman" w:hAnsi="Times New Roman" w:cs="Times New Roman"/>
          <w:color w:val="000000"/>
          <w:sz w:val="24"/>
          <w:szCs w:val="24"/>
        </w:rPr>
        <w:t xml:space="preserve"> how this relates to meaning-making (Charmaz, 2014). The interviews were conducted in coffee shops, the participants’ homes, and in my campus office. Interviews were semi-structured with open-ended and subsequent follow-up and probing questions. Examples o</w:t>
      </w:r>
      <w:r>
        <w:rPr>
          <w:rFonts w:ascii="Times New Roman" w:eastAsia="Times New Roman" w:hAnsi="Times New Roman" w:cs="Times New Roman"/>
          <w:color w:val="000000"/>
          <w:sz w:val="24"/>
          <w:szCs w:val="24"/>
        </w:rPr>
        <w:t>f questions were, “what led you to enroll your children in Albany’s public schools?” “What have your children’s experiences been like in Albany’s public schools?” “Did you or your spouse ever consider private schools?” “What led you to remain in the city o</w:t>
      </w:r>
      <w:r>
        <w:rPr>
          <w:rFonts w:ascii="Times New Roman" w:eastAsia="Times New Roman" w:hAnsi="Times New Roman" w:cs="Times New Roman"/>
          <w:color w:val="000000"/>
          <w:sz w:val="24"/>
          <w:szCs w:val="24"/>
        </w:rPr>
        <w:t>f Albany?” “Have you or your spouse ever considered moving to the suburbs?” Therefore, this study used both deductive and inductive approaches. The former included pre-planned questions, whereas the latter arose from the interpretation of the participants’</w:t>
      </w:r>
      <w:r>
        <w:rPr>
          <w:rFonts w:ascii="Times New Roman" w:eastAsia="Times New Roman" w:hAnsi="Times New Roman" w:cs="Times New Roman"/>
          <w:color w:val="000000"/>
          <w:sz w:val="24"/>
          <w:szCs w:val="24"/>
        </w:rPr>
        <w:t xml:space="preserve"> unique responses and narratives. </w:t>
      </w:r>
    </w:p>
    <w:p w:rsidR="006E6C4B" w:rsidRDefault="006E6C4B">
      <w:pPr>
        <w:spacing w:after="0" w:line="240" w:lineRule="auto"/>
        <w:ind w:firstLine="720"/>
        <w:jc w:val="both"/>
        <w:rPr>
          <w:rFonts w:ascii="Times New Roman" w:eastAsia="Times New Roman" w:hAnsi="Times New Roman" w:cs="Times New Roman"/>
          <w:color w:val="000000"/>
          <w:sz w:val="24"/>
          <w:szCs w:val="24"/>
        </w:rPr>
      </w:pPr>
    </w:p>
    <w:p w:rsidR="006E6C4B" w:rsidRDefault="006E6C4B" w:rsidP="006E6C4B">
      <w:pPr>
        <w:numPr>
          <w:ilvl w:val="0"/>
          <w:numId w:val="2"/>
        </w:numPr>
        <w:spacing w:after="0" w:line="240" w:lineRule="auto"/>
        <w:ind w:left="450" w:hanging="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Results &amp; Analysis </w:t>
      </w:r>
    </w:p>
    <w:p w:rsidR="006E6C4B" w:rsidRDefault="006E6C4B" w:rsidP="006E6C4B">
      <w:pPr>
        <w:spacing w:after="0" w:line="240" w:lineRule="auto"/>
        <w:ind w:firstLine="709"/>
        <w:jc w:val="both"/>
        <w:rPr>
          <w:rFonts w:ascii="Times New Roman" w:eastAsia="Times New Roman" w:hAnsi="Times New Roman" w:cs="Times New Roman"/>
          <w:color w:val="000000"/>
          <w:sz w:val="24"/>
          <w:szCs w:val="24"/>
        </w:rPr>
      </w:pPr>
    </w:p>
    <w:p w:rsidR="006E6C4B" w:rsidRDefault="006E6C4B" w:rsidP="006E6C4B">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This research was conducted in Albany, New York, a city of roughly 100,000 residents in a metropolitan region approaching one million. About 10,500 students attend the City School District of Albany. Like other cities in the Northeast, Albany has suffered from both population decline and white flight since the 1950s, although these trends have reversed and slowed, respectively, during the last decade. The public-school population does not reflect the overall city population, with African American students constituting by far the largest group in the public schools, whereas the city is still majority white. The public schools in Albany, however, have never reflected the city’s broader population. This was mainly due to the sizable Roman Catholic parochial school presence in Albany, which always attracted large segments of children from Irish, Italian, and Polish American families (Rabrenovic, 1996). </w:t>
      </w:r>
    </w:p>
    <w:p w:rsidR="006E6C4B" w:rsidRDefault="006E6C4B">
      <w:pPr>
        <w:spacing w:after="0" w:line="240" w:lineRule="auto"/>
        <w:ind w:firstLine="720"/>
        <w:jc w:val="both"/>
        <w:rPr>
          <w:rFonts w:ascii="Times New Roman" w:eastAsia="Times New Roman" w:hAnsi="Times New Roman" w:cs="Times New Roman"/>
          <w:color w:val="000000"/>
          <w:sz w:val="24"/>
          <w:szCs w:val="24"/>
        </w:rPr>
      </w:pPr>
    </w:p>
    <w:p w:rsidR="006E6C4B" w:rsidRDefault="006E6C4B" w:rsidP="006E6C4B">
      <w:pPr>
        <w:numPr>
          <w:ilvl w:val="0"/>
          <w:numId w:val="2"/>
        </w:numPr>
        <w:spacing w:after="0" w:line="240" w:lineRule="auto"/>
        <w:ind w:left="450" w:hanging="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rsidR="006E6C4B" w:rsidRDefault="006E6C4B" w:rsidP="006E6C4B">
      <w:pPr>
        <w:spacing w:after="0" w:line="240" w:lineRule="auto"/>
        <w:ind w:firstLine="709"/>
        <w:jc w:val="both"/>
        <w:rPr>
          <w:rFonts w:ascii="Times New Roman" w:eastAsia="Times New Roman" w:hAnsi="Times New Roman" w:cs="Times New Roman"/>
          <w:color w:val="000000"/>
          <w:sz w:val="24"/>
          <w:szCs w:val="24"/>
        </w:rPr>
      </w:pPr>
    </w:p>
    <w:p w:rsidR="006E6C4B" w:rsidRDefault="006E6C4B" w:rsidP="006E6C4B">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research was conducted in Albany, New York, a city of roughly 100,000 residents in a metropolitan region approaching one million. About 10,500 students attend the City School District of Albany. Like other cities in the Northeast, Albany has suffered from both population decline and white flight since the 1950s, although these trends have reversed and slowed, respectively, during the last decade. The public-school population does not reflect the overall city population, with African American students constituting by far the largest group in the public schools, whereas the city is still majority white. The public schools in Albany, however, have never reflected the city’s broader population. This was mainly due to the sizable Roman Catholic parochial school presence in Albany, which always attracted large segments of children from Irish, Italian, and Polish American families (Rabrenovic, 1996). </w:t>
      </w:r>
    </w:p>
    <w:p w:rsidR="00607193" w:rsidRDefault="00607193">
      <w:pPr>
        <w:shd w:val="clear" w:color="auto" w:fill="FFFFFF"/>
        <w:spacing w:after="0" w:line="240" w:lineRule="auto"/>
        <w:jc w:val="both"/>
        <w:rPr>
          <w:rFonts w:ascii="Times New Roman" w:eastAsia="Times New Roman" w:hAnsi="Times New Roman" w:cs="Times New Roman"/>
          <w:b/>
          <w:color w:val="000000"/>
          <w:sz w:val="24"/>
          <w:szCs w:val="24"/>
        </w:rPr>
      </w:pPr>
    </w:p>
    <w:p w:rsidR="00607193" w:rsidRDefault="00D2383D">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 Details</w:t>
      </w:r>
    </w:p>
    <w:p w:rsidR="00607193" w:rsidRDefault="00607193">
      <w:pPr>
        <w:spacing w:after="0" w:line="240" w:lineRule="auto"/>
        <w:jc w:val="both"/>
        <w:rPr>
          <w:rFonts w:ascii="Times New Roman" w:eastAsia="Times New Roman" w:hAnsi="Times New Roman" w:cs="Times New Roman"/>
          <w:color w:val="000000"/>
          <w:sz w:val="24"/>
          <w:szCs w:val="24"/>
        </w:rPr>
      </w:pP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Please supply all details required by your funding and grant-awarding bodies as follows: </w:t>
      </w:r>
    </w:p>
    <w:p w:rsidR="00607193" w:rsidRDefault="00607193">
      <w:pPr>
        <w:spacing w:after="0" w:line="240" w:lineRule="auto"/>
        <w:jc w:val="both"/>
        <w:rPr>
          <w:rFonts w:ascii="Times New Roman" w:eastAsia="Times New Roman" w:hAnsi="Times New Roman" w:cs="Times New Roman"/>
          <w:color w:val="000000"/>
          <w:sz w:val="24"/>
          <w:szCs w:val="24"/>
        </w:rPr>
      </w:pPr>
    </w:p>
    <w:p w:rsidR="00607193" w:rsidRDefault="00D2383D">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single agency grants </w:t>
      </w:r>
    </w:p>
    <w:p w:rsidR="00607193" w:rsidRDefault="00607193">
      <w:pPr>
        <w:spacing w:after="0" w:line="240" w:lineRule="auto"/>
        <w:jc w:val="both"/>
        <w:rPr>
          <w:rFonts w:ascii="Times New Roman" w:eastAsia="Times New Roman" w:hAnsi="Times New Roman" w:cs="Times New Roman"/>
          <w:b/>
          <w:color w:val="000000"/>
          <w:sz w:val="24"/>
          <w:szCs w:val="24"/>
        </w:rPr>
      </w:pPr>
      <w:bookmarkStart w:id="0" w:name="_GoBack"/>
      <w:bookmarkEnd w:id="0"/>
    </w:p>
    <w:p w:rsidR="00607193" w:rsidRDefault="00D2383D">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Disclosure Statement</w:t>
      </w:r>
    </w:p>
    <w:p w:rsidR="00607193" w:rsidRDefault="00607193">
      <w:pPr>
        <w:spacing w:after="0" w:line="240" w:lineRule="auto"/>
        <w:jc w:val="both"/>
        <w:rPr>
          <w:rFonts w:ascii="Times New Roman" w:eastAsia="Times New Roman" w:hAnsi="Times New Roman" w:cs="Times New Roman"/>
          <w:color w:val="000000"/>
          <w:sz w:val="24"/>
          <w:szCs w:val="24"/>
        </w:rPr>
      </w:pPr>
    </w:p>
    <w:p w:rsidR="00607193" w:rsidRDefault="00D2383D">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to acknowledge any financial interest or benefit that has arisen from the direct applications of your research.</w:t>
      </w:r>
    </w:p>
    <w:p w:rsidR="00607193" w:rsidRDefault="00607193">
      <w:pPr>
        <w:shd w:val="clear" w:color="auto" w:fill="FFFFFF"/>
        <w:spacing w:after="0" w:line="240" w:lineRule="auto"/>
        <w:jc w:val="both"/>
        <w:rPr>
          <w:rFonts w:ascii="Times New Roman" w:eastAsia="Times New Roman" w:hAnsi="Times New Roman" w:cs="Times New Roman"/>
          <w:color w:val="000000"/>
          <w:sz w:val="24"/>
          <w:szCs w:val="24"/>
        </w:rPr>
      </w:pPr>
    </w:p>
    <w:p w:rsidR="00607193" w:rsidRDefault="00D2383D">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References </w:t>
      </w:r>
    </w:p>
    <w:p w:rsidR="006E6C4B" w:rsidRDefault="006E6C4B">
      <w:pPr>
        <w:spacing w:after="0" w:line="240" w:lineRule="auto"/>
        <w:jc w:val="both"/>
        <w:rPr>
          <w:rFonts w:ascii="Times New Roman" w:eastAsia="Times New Roman" w:hAnsi="Times New Roman" w:cs="Times New Roman"/>
          <w:b/>
          <w:color w:val="000000"/>
          <w:sz w:val="24"/>
          <w:szCs w:val="24"/>
        </w:rPr>
      </w:pPr>
    </w:p>
    <w:p w:rsidR="006E6C4B" w:rsidRPr="001746B8" w:rsidRDefault="006E6C4B" w:rsidP="006E6C4B">
      <w:pPr>
        <w:pStyle w:val="ListParagraph"/>
        <w:widowControl w:val="0"/>
        <w:numPr>
          <w:ilvl w:val="0"/>
          <w:numId w:val="3"/>
        </w:numPr>
        <w:autoSpaceDE w:val="0"/>
        <w:autoSpaceDN w:val="0"/>
        <w:spacing w:before="60" w:after="0" w:line="276" w:lineRule="auto"/>
        <w:contextualSpacing w:val="0"/>
        <w:jc w:val="both"/>
        <w:rPr>
          <w:rFonts w:ascii="Times New Roman" w:hAnsi="Times New Roman" w:cs="Times New Roman"/>
          <w:sz w:val="23"/>
          <w:szCs w:val="23"/>
        </w:rPr>
      </w:pPr>
      <w:r w:rsidRPr="001746B8">
        <w:rPr>
          <w:rFonts w:ascii="Times New Roman" w:hAnsi="Times New Roman" w:cs="Times New Roman"/>
          <w:sz w:val="23"/>
          <w:szCs w:val="23"/>
        </w:rPr>
        <w:t>T. Mohana Priya, Dr. M. Punithavalli &amp; Dr. R. Rajesh Kanna, Machine Learning Algorithm for Development of Enhanced Support Vector Machine Technique to Predict Stress, Global Journal of Computer Science and Technology: C Software &amp; Data Engineering, Volume 20, Issue 2, No. 2020, pp 12-20</w:t>
      </w:r>
    </w:p>
    <w:p w:rsidR="006E6C4B" w:rsidRPr="001746B8" w:rsidRDefault="006E6C4B" w:rsidP="006E6C4B">
      <w:pPr>
        <w:pStyle w:val="ListParagraph"/>
        <w:widowControl w:val="0"/>
        <w:numPr>
          <w:ilvl w:val="0"/>
          <w:numId w:val="3"/>
        </w:numPr>
        <w:autoSpaceDE w:val="0"/>
        <w:autoSpaceDN w:val="0"/>
        <w:spacing w:before="60" w:after="0" w:line="276" w:lineRule="auto"/>
        <w:contextualSpacing w:val="0"/>
        <w:jc w:val="both"/>
        <w:rPr>
          <w:rFonts w:ascii="Times New Roman" w:hAnsi="Times New Roman" w:cs="Times New Roman"/>
          <w:sz w:val="23"/>
          <w:szCs w:val="23"/>
        </w:rPr>
      </w:pPr>
      <w:r w:rsidRPr="001746B8">
        <w:rPr>
          <w:rFonts w:ascii="Times New Roman" w:hAnsi="Times New Roman" w:cs="Times New Roman"/>
          <w:sz w:val="23"/>
          <w:szCs w:val="23"/>
        </w:rPr>
        <w:t>Ganesh Kumar and P.Vasanth Sena, “Novel Artificial Neural Networks and Logistic Approach for Detecting Credit Card Deceit,” International Journal of Computer Science and Network Security, Vol. 15, issue 9, Sep. 2015, pp. 222-234</w:t>
      </w:r>
    </w:p>
    <w:p w:rsidR="006E6C4B" w:rsidRPr="001746B8" w:rsidRDefault="006E6C4B" w:rsidP="006E6C4B">
      <w:pPr>
        <w:pStyle w:val="ListParagraph"/>
        <w:widowControl w:val="0"/>
        <w:numPr>
          <w:ilvl w:val="0"/>
          <w:numId w:val="3"/>
        </w:numPr>
        <w:autoSpaceDE w:val="0"/>
        <w:autoSpaceDN w:val="0"/>
        <w:spacing w:before="60" w:after="0" w:line="276" w:lineRule="auto"/>
        <w:contextualSpacing w:val="0"/>
        <w:jc w:val="both"/>
        <w:rPr>
          <w:rFonts w:ascii="Times New Roman" w:hAnsi="Times New Roman" w:cs="Times New Roman"/>
          <w:sz w:val="23"/>
          <w:szCs w:val="23"/>
        </w:rPr>
      </w:pPr>
      <w:r w:rsidRPr="001746B8">
        <w:rPr>
          <w:rFonts w:ascii="Times New Roman" w:hAnsi="Times New Roman" w:cs="Times New Roman"/>
          <w:sz w:val="23"/>
          <w:szCs w:val="23"/>
        </w:rPr>
        <w:lastRenderedPageBreak/>
        <w:t>Gyusoo Kim and Seulgi Lee, “2014 Payment Research”, Bank of Korea, Vol. 2015, No. 1, Jan. 2015.</w:t>
      </w:r>
    </w:p>
    <w:p w:rsidR="006E6C4B" w:rsidRPr="001746B8" w:rsidRDefault="006E6C4B" w:rsidP="006E6C4B">
      <w:pPr>
        <w:pStyle w:val="ListParagraph"/>
        <w:widowControl w:val="0"/>
        <w:numPr>
          <w:ilvl w:val="0"/>
          <w:numId w:val="3"/>
        </w:numPr>
        <w:autoSpaceDE w:val="0"/>
        <w:autoSpaceDN w:val="0"/>
        <w:spacing w:before="60" w:after="0" w:line="276" w:lineRule="auto"/>
        <w:contextualSpacing w:val="0"/>
        <w:jc w:val="both"/>
        <w:rPr>
          <w:rFonts w:ascii="Times New Roman" w:hAnsi="Times New Roman" w:cs="Times New Roman"/>
          <w:sz w:val="23"/>
          <w:szCs w:val="23"/>
        </w:rPr>
      </w:pPr>
      <w:r w:rsidRPr="001746B8">
        <w:rPr>
          <w:rFonts w:ascii="Times New Roman" w:hAnsi="Times New Roman" w:cs="Times New Roman"/>
          <w:sz w:val="23"/>
          <w:szCs w:val="23"/>
        </w:rPr>
        <w:t>Chengwei Liu, Yixiang Chan, Syed Hasnain Alam Kazmi, Hao Fu, “Financial Fraud Detection Model: Based on Random Forest,” International Journal of Economics and Finance, Vol. 7, Issue. 7, pp. 178-188, 2015.</w:t>
      </w:r>
    </w:p>
    <w:p w:rsidR="006E6C4B" w:rsidRPr="001746B8" w:rsidRDefault="006E6C4B" w:rsidP="006E6C4B">
      <w:pPr>
        <w:pStyle w:val="ListParagraph"/>
        <w:widowControl w:val="0"/>
        <w:numPr>
          <w:ilvl w:val="0"/>
          <w:numId w:val="3"/>
        </w:numPr>
        <w:autoSpaceDE w:val="0"/>
        <w:autoSpaceDN w:val="0"/>
        <w:spacing w:before="60" w:after="0" w:line="276" w:lineRule="auto"/>
        <w:contextualSpacing w:val="0"/>
        <w:jc w:val="both"/>
        <w:rPr>
          <w:rFonts w:ascii="Times New Roman" w:hAnsi="Times New Roman" w:cs="Times New Roman"/>
          <w:sz w:val="23"/>
          <w:szCs w:val="23"/>
        </w:rPr>
      </w:pPr>
      <w:r w:rsidRPr="001746B8">
        <w:rPr>
          <w:rFonts w:ascii="Times New Roman" w:hAnsi="Times New Roman" w:cs="Times New Roman"/>
          <w:sz w:val="23"/>
          <w:szCs w:val="23"/>
        </w:rPr>
        <w:t>Hitesh D. Bambhava, Prof. Jayeshkumar Pitroda, Prof. Jaydev J. Bhavsar (2013), “A Comparative Study on Bamboo Scaffolding And Metal Scaffolding in Construction Industry Using Statistical Methods”, International Journal of Engineering Trends and Technology (IJETT) – Volume 4, Issue 6, June 2013, Pg.2330-2337.</w:t>
      </w:r>
    </w:p>
    <w:p w:rsidR="006E6C4B" w:rsidRPr="001746B8" w:rsidRDefault="006E6C4B" w:rsidP="006E6C4B">
      <w:pPr>
        <w:pStyle w:val="ListParagraph"/>
        <w:widowControl w:val="0"/>
        <w:numPr>
          <w:ilvl w:val="0"/>
          <w:numId w:val="3"/>
        </w:numPr>
        <w:autoSpaceDE w:val="0"/>
        <w:autoSpaceDN w:val="0"/>
        <w:spacing w:before="60" w:after="0" w:line="276" w:lineRule="auto"/>
        <w:contextualSpacing w:val="0"/>
        <w:jc w:val="both"/>
        <w:rPr>
          <w:rFonts w:ascii="Times New Roman" w:hAnsi="Times New Roman" w:cs="Times New Roman"/>
          <w:sz w:val="23"/>
          <w:szCs w:val="23"/>
        </w:rPr>
      </w:pPr>
      <w:r w:rsidRPr="001746B8">
        <w:rPr>
          <w:rFonts w:ascii="Times New Roman" w:hAnsi="Times New Roman" w:cs="Times New Roman"/>
          <w:sz w:val="23"/>
          <w:szCs w:val="23"/>
        </w:rPr>
        <w:t>P. Ganesh Prabhu, D. Ambika, “Study on Behaviour of Workers in Construction Industry to Improve Production Efficiency”, International Journal of Civil, Structural, Environmental and Infrastructure Engineering Research and Development (IJCSEIERD), Vol. 3, Issue 1, Mar 2013, 59-66</w:t>
      </w:r>
    </w:p>
    <w:p w:rsidR="006E6C4B" w:rsidRDefault="006E6C4B">
      <w:pPr>
        <w:spacing w:after="0" w:line="240" w:lineRule="auto"/>
        <w:jc w:val="both"/>
        <w:rPr>
          <w:rFonts w:ascii="Times New Roman" w:eastAsia="Times New Roman" w:hAnsi="Times New Roman" w:cs="Times New Roman"/>
          <w:b/>
          <w:color w:val="000000"/>
          <w:sz w:val="24"/>
          <w:szCs w:val="24"/>
        </w:rPr>
      </w:pPr>
    </w:p>
    <w:p w:rsidR="00607193" w:rsidRDefault="00607193">
      <w:pPr>
        <w:spacing w:after="0" w:line="240" w:lineRule="auto"/>
        <w:jc w:val="both"/>
        <w:rPr>
          <w:rFonts w:ascii="Times New Roman" w:eastAsia="Times New Roman" w:hAnsi="Times New Roman" w:cs="Times New Roman"/>
          <w:color w:val="000000"/>
          <w:sz w:val="24"/>
          <w:szCs w:val="24"/>
        </w:rPr>
      </w:pPr>
    </w:p>
    <w:p w:rsidR="00607193" w:rsidRDefault="00607193">
      <w:pPr>
        <w:spacing w:after="0" w:line="240" w:lineRule="auto"/>
        <w:ind w:left="720" w:hanging="720"/>
        <w:jc w:val="both"/>
        <w:rPr>
          <w:rFonts w:ascii="Times New Roman" w:eastAsia="Times New Roman" w:hAnsi="Times New Roman" w:cs="Times New Roman"/>
          <w:color w:val="000000"/>
          <w:sz w:val="24"/>
          <w:szCs w:val="24"/>
        </w:rPr>
      </w:pPr>
      <w:bookmarkStart w:id="1" w:name="_heading=h.gjdgxs" w:colFirst="0" w:colLast="0"/>
      <w:bookmarkEnd w:id="1"/>
    </w:p>
    <w:p w:rsidR="00607193" w:rsidRDefault="00607193">
      <w:pPr>
        <w:spacing w:after="0" w:line="240" w:lineRule="auto"/>
        <w:jc w:val="both"/>
        <w:rPr>
          <w:rFonts w:ascii="Times New Roman" w:eastAsia="Times New Roman" w:hAnsi="Times New Roman" w:cs="Times New Roman"/>
          <w:b/>
          <w:i/>
          <w:color w:val="000000"/>
          <w:sz w:val="24"/>
          <w:szCs w:val="24"/>
        </w:rPr>
      </w:pPr>
    </w:p>
    <w:sectPr w:rsidR="00607193">
      <w:headerReference w:type="default" r:id="rId9"/>
      <w:footerReference w:type="even" r:id="rId10"/>
      <w:footerReference w:type="default" r:id="rId11"/>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383D" w:rsidRDefault="00D2383D">
      <w:pPr>
        <w:spacing w:after="0" w:line="240" w:lineRule="auto"/>
      </w:pPr>
      <w:r>
        <w:separator/>
      </w:r>
    </w:p>
  </w:endnote>
  <w:endnote w:type="continuationSeparator" w:id="0">
    <w:p w:rsidR="00D2383D" w:rsidRDefault="00D23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193" w:rsidRDefault="00D2383D">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rsidR="00607193" w:rsidRDefault="00607193">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7511748"/>
      <w:docPartObj>
        <w:docPartGallery w:val="Page Numbers (Bottom of Page)"/>
        <w:docPartUnique/>
      </w:docPartObj>
    </w:sdtPr>
    <w:sdtEndPr>
      <w:rPr>
        <w:color w:val="7F7F7F" w:themeColor="background1" w:themeShade="7F"/>
        <w:spacing w:val="60"/>
      </w:rPr>
    </w:sdtEndPr>
    <w:sdtContent>
      <w:p w:rsidR="00E1742C" w:rsidRDefault="00E1742C">
        <w:pPr>
          <w:pStyle w:val="Footer"/>
          <w:pBdr>
            <w:top w:val="single" w:sz="4" w:space="1" w:color="D9D9D9" w:themeColor="background1" w:themeShade="D9"/>
          </w:pBdr>
          <w:jc w:val="right"/>
        </w:pPr>
        <w:r>
          <w:fldChar w:fldCharType="begin"/>
        </w:r>
        <w:r>
          <w:instrText xml:space="preserve"> PAGE   \* MERGEFORMAT </w:instrText>
        </w:r>
        <w:r>
          <w:fldChar w:fldCharType="separate"/>
        </w:r>
        <w:r w:rsidR="001746B8">
          <w:rPr>
            <w:noProof/>
          </w:rPr>
          <w:t>1</w:t>
        </w:r>
        <w:r>
          <w:rPr>
            <w:noProof/>
          </w:rPr>
          <w:fldChar w:fldCharType="end"/>
        </w:r>
      </w:p>
    </w:sdtContent>
  </w:sdt>
  <w:p w:rsidR="00607193" w:rsidRDefault="00E1742C">
    <w:pPr>
      <w:pBdr>
        <w:top w:val="nil"/>
        <w:left w:val="nil"/>
        <w:bottom w:val="nil"/>
        <w:right w:val="nil"/>
        <w:between w:val="nil"/>
      </w:pBdr>
      <w:tabs>
        <w:tab w:val="center" w:pos="4536"/>
        <w:tab w:val="right" w:pos="9072"/>
      </w:tabs>
      <w:spacing w:after="0" w:line="240" w:lineRule="auto"/>
      <w:rPr>
        <w:rFonts w:ascii="Times New Roman" w:eastAsia="Times New Roman" w:hAnsi="Times New Roman" w:cs="Times New Roman"/>
        <w:color w:val="000000"/>
        <w:sz w:val="24"/>
        <w:szCs w:val="24"/>
      </w:rPr>
    </w:pPr>
    <w:r>
      <w:rPr>
        <w:rFonts w:ascii="Times New Roman" w:hAnsi="Times New Roman" w:cs="Times New Roman"/>
        <w:b/>
        <w:bCs/>
        <w:iCs/>
        <w:color w:val="000000" w:themeColor="text1"/>
        <w:sz w:val="20"/>
        <w:szCs w:val="20"/>
      </w:rPr>
      <w:t xml:space="preserve">IJSCI | </w:t>
    </w:r>
    <w:r w:rsidRPr="00DE3D58">
      <w:rPr>
        <w:rFonts w:ascii="Times New Roman" w:hAnsi="Times New Roman" w:cs="Times New Roman"/>
        <w:b/>
        <w:bCs/>
        <w:iCs/>
        <w:color w:val="000000" w:themeColor="text1"/>
        <w:sz w:val="20"/>
        <w:szCs w:val="20"/>
      </w:rPr>
      <w:t>Vol.</w:t>
    </w:r>
    <w:r>
      <w:rPr>
        <w:rFonts w:ascii="Times New Roman" w:hAnsi="Times New Roman" w:cs="Times New Roman"/>
        <w:b/>
        <w:bCs/>
        <w:iCs/>
        <w:color w:val="000000" w:themeColor="text1"/>
        <w:sz w:val="20"/>
        <w:szCs w:val="20"/>
      </w:rPr>
      <w:t>1</w:t>
    </w:r>
    <w:r w:rsidRPr="00DE3D58">
      <w:rPr>
        <w:rFonts w:ascii="Times New Roman" w:hAnsi="Times New Roman" w:cs="Times New Roman"/>
        <w:b/>
        <w:bCs/>
        <w:iCs/>
        <w:color w:val="000000" w:themeColor="text1"/>
        <w:sz w:val="20"/>
        <w:szCs w:val="20"/>
      </w:rPr>
      <w:t xml:space="preserve"> No.1, </w:t>
    </w:r>
    <w:r>
      <w:rPr>
        <w:rFonts w:ascii="Times New Roman" w:hAnsi="Times New Roman" w:cs="Times New Roman"/>
        <w:b/>
        <w:bCs/>
        <w:iCs/>
        <w:color w:val="000000" w:themeColor="text1"/>
        <w:sz w:val="20"/>
        <w:szCs w:val="20"/>
      </w:rPr>
      <w:t>September</w:t>
    </w:r>
    <w:r w:rsidRPr="00DE3D58">
      <w:rPr>
        <w:rFonts w:ascii="Times New Roman" w:hAnsi="Times New Roman" w:cs="Times New Roman"/>
        <w:b/>
        <w:bCs/>
        <w:iCs/>
        <w:color w:val="000000" w:themeColor="text1"/>
        <w:sz w:val="20"/>
        <w:szCs w:val="20"/>
      </w:rPr>
      <w:t xml:space="preserve"> 202</w:t>
    </w:r>
    <w:r>
      <w:rPr>
        <w:rFonts w:ascii="Times New Roman" w:hAnsi="Times New Roman" w:cs="Times New Roman"/>
        <w:b/>
        <w:bCs/>
        <w:iCs/>
        <w:color w:val="000000" w:themeColor="text1"/>
        <w:sz w:val="20"/>
        <w:szCs w:val="20"/>
      </w:rPr>
      <w:t>4</w:t>
    </w:r>
    <w:r w:rsidRPr="00DE3D58">
      <w:rPr>
        <w:rFonts w:ascii="Times New Roman" w:hAnsi="Times New Roman" w:cs="Times New Roman"/>
        <w:b/>
        <w:bCs/>
        <w:iCs/>
        <w:color w:val="000000" w:themeColor="text1"/>
        <w:sz w:val="20"/>
        <w:szCs w:val="20"/>
      </w:rPr>
      <w:t>: P.42-54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383D" w:rsidRDefault="00D2383D">
      <w:pPr>
        <w:spacing w:after="0" w:line="240" w:lineRule="auto"/>
      </w:pPr>
      <w:r>
        <w:separator/>
      </w:r>
    </w:p>
  </w:footnote>
  <w:footnote w:type="continuationSeparator" w:id="0">
    <w:p w:rsidR="00D2383D" w:rsidRDefault="00D23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C4B" w:rsidRPr="00392083" w:rsidRDefault="006E6C4B" w:rsidP="006E6C4B">
    <w:pPr>
      <w:tabs>
        <w:tab w:val="left" w:pos="4820"/>
        <w:tab w:val="right" w:pos="9498"/>
      </w:tabs>
      <w:spacing w:after="0"/>
      <w:rPr>
        <w:rFonts w:ascii="Cambria Math" w:hAnsi="Cambria Math" w:cs="Mangal"/>
        <w:b/>
        <w:color w:val="002060"/>
        <w:sz w:val="28"/>
        <w:szCs w:val="28"/>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Pr>
        <w:noProof/>
        <w:lang w:val="en-IN"/>
      </w:rPr>
      <w:drawing>
        <wp:inline distT="0" distB="0" distL="0" distR="0" wp14:anchorId="7CB09D91" wp14:editId="1E99D0C5">
          <wp:extent cx="1028700" cy="524614"/>
          <wp:effectExtent l="0" t="0" r="0" b="8890"/>
          <wp:docPr id="1703860296"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60296"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4593" cy="542919"/>
                  </a:xfrm>
                  <a:prstGeom prst="rect">
                    <a:avLst/>
                  </a:prstGeom>
                  <a:noFill/>
                  <a:ln>
                    <a:noFill/>
                  </a:ln>
                </pic:spPr>
              </pic:pic>
            </a:graphicData>
          </a:graphic>
        </wp:inline>
      </w:drawing>
    </w:r>
    <w:r w:rsidR="001746B8">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r w:rsidRPr="001746B8">
      <w:rPr>
        <w:rFonts w:ascii="Cambria Math" w:hAnsi="Cambria Math" w:cs="Mangal"/>
        <w:b/>
        <w:color w:val="002060"/>
        <w:lang w:val="fr-FR" w:bidi="mr-IN"/>
      </w:rPr>
      <w:t xml:space="preserve">e-ISSN: </w:t>
    </w:r>
    <w:r w:rsidR="001746B8" w:rsidRPr="001746B8">
      <w:rPr>
        <w:rFonts w:ascii="Cambria Math" w:hAnsi="Cambria Math" w:cs="Mangal"/>
        <w:b/>
        <w:color w:val="002060"/>
        <w:lang w:val="fr-FR" w:bidi="mr-IN"/>
      </w:rPr>
      <w:t>3049-0251</w:t>
    </w:r>
  </w:p>
  <w:p w:rsidR="006E6C4B" w:rsidRPr="00392083" w:rsidRDefault="006E6C4B" w:rsidP="006E6C4B">
    <w:pPr>
      <w:tabs>
        <w:tab w:val="center" w:pos="4680"/>
        <w:tab w:val="right" w:pos="9360"/>
        <w:tab w:val="right" w:pos="9498"/>
      </w:tabs>
      <w:spacing w:after="0"/>
      <w:jc w:val="center"/>
      <w:rPr>
        <w:rFonts w:ascii="Cambria Math" w:hAnsi="Cambria Math" w:cs="Mangal"/>
        <w:b/>
        <w:color w:val="002060"/>
        <w:sz w:val="28"/>
        <w:szCs w:val="28"/>
        <w:lang w:val="fr-FR" w:bidi="mr-IN"/>
      </w:rPr>
    </w:pPr>
    <w:r w:rsidRPr="00392083">
      <w:rPr>
        <w:rFonts w:ascii="Cambria Math" w:hAnsi="Cambria Math" w:cs="Mangal"/>
        <w:b/>
        <w:color w:val="002060"/>
        <w:sz w:val="28"/>
        <w:szCs w:val="28"/>
        <w:lang w:val="fr-FR" w:bidi="mr-IN"/>
      </w:rPr>
      <w:t xml:space="preserve">International Journal of Sciences and Innovation Engineering </w:t>
    </w:r>
  </w:p>
  <w:p w:rsidR="006E6C4B" w:rsidRPr="0093570B" w:rsidRDefault="006E6C4B" w:rsidP="006E6C4B">
    <w:pPr>
      <w:tabs>
        <w:tab w:val="center" w:pos="4680"/>
        <w:tab w:val="right" w:pos="9360"/>
        <w:tab w:val="right" w:pos="9498"/>
      </w:tabs>
      <w:spacing w:after="0"/>
      <w:jc w:val="center"/>
      <w:rPr>
        <w:rFonts w:ascii="Times New Roman" w:hAnsi="Times New Roman" w:cs="Times New Roman"/>
        <w:color w:val="1F497D"/>
        <w:sz w:val="24"/>
        <w:szCs w:val="24"/>
        <w:lang w:bidi="mr-IN"/>
      </w:rPr>
    </w:pPr>
    <w:r w:rsidRPr="0093570B">
      <w:rPr>
        <w:rFonts w:ascii="Times New Roman" w:hAnsi="Times New Roman" w:cs="Times New Roman"/>
        <w:b/>
        <w:color w:val="1F497D"/>
        <w:sz w:val="24"/>
        <w:szCs w:val="20"/>
        <w:lang w:bidi="mr-IN"/>
      </w:rPr>
      <w:t>( Peer-Reviewed, Open Access, Fully Refereed International Journal )</w:t>
    </w:r>
  </w:p>
  <w:p w:rsidR="006E6C4B" w:rsidRPr="00D8276D" w:rsidRDefault="006E6C4B" w:rsidP="006E6C4B">
    <w:pPr>
      <w:pBdr>
        <w:bottom w:val="single" w:sz="4" w:space="1" w:color="auto"/>
      </w:pBdr>
      <w:tabs>
        <w:tab w:val="center" w:pos="4680"/>
        <w:tab w:val="right" w:pos="9360"/>
        <w:tab w:val="right" w:pos="9498"/>
      </w:tabs>
      <w:spacing w:after="120"/>
      <w:jc w:val="both"/>
      <w:rPr>
        <w:rFonts w:cs="Mangal"/>
        <w:sz w:val="24"/>
        <w:szCs w:val="24"/>
        <w:lang w:bidi="mr-IN"/>
      </w:rPr>
    </w:pPr>
    <w:r w:rsidRPr="00DD01F4">
      <w:rPr>
        <w:rFonts w:ascii="Times New Roman" w:hAnsi="Times New Roman" w:cs="Times New Roman"/>
        <w:b/>
        <w:color w:val="1F497D"/>
        <w:sz w:val="24"/>
        <w:szCs w:val="20"/>
        <w:lang w:val="fr-FR" w:bidi="mr-IN"/>
      </w:rPr>
      <w:t xml:space="preserve">Vol.01 No. 01, </w:t>
    </w:r>
    <w:r w:rsidR="001746B8">
      <w:rPr>
        <w:rFonts w:ascii="Times New Roman" w:hAnsi="Times New Roman" w:cs="Times New Roman"/>
        <w:b/>
        <w:color w:val="1F497D"/>
        <w:sz w:val="24"/>
        <w:szCs w:val="20"/>
        <w:lang w:val="fr-FR" w:bidi="mr-IN"/>
      </w:rPr>
      <w:t xml:space="preserve">2022: P. </w:t>
    </w:r>
    <w:r>
      <w:rPr>
        <w:rFonts w:ascii="Times New Roman" w:hAnsi="Times New Roman" w:cs="Times New Roman"/>
        <w:b/>
        <w:color w:val="1F497D"/>
        <w:sz w:val="24"/>
        <w:szCs w:val="20"/>
        <w:lang w:val="fr-FR" w:bidi="mr-IN"/>
      </w:rPr>
      <w:t xml:space="preserve">        </w:t>
    </w:r>
    <w:r>
      <w:rPr>
        <w:rFonts w:ascii="Times New Roman" w:hAnsi="Times New Roman" w:cs="Times New Roman"/>
        <w:b/>
        <w:color w:val="1F497D"/>
        <w:sz w:val="24"/>
        <w:szCs w:val="20"/>
        <w:lang w:val="fr-FR" w:bidi="mr-IN"/>
      </w:rPr>
      <w:tab/>
      <w:t xml:space="preserve">                                          </w:t>
    </w:r>
    <w:r w:rsidR="001746B8">
      <w:rPr>
        <w:rFonts w:ascii="Times New Roman" w:hAnsi="Times New Roman" w:cs="Times New Roman"/>
        <w:b/>
        <w:color w:val="1F497D"/>
        <w:sz w:val="24"/>
        <w:szCs w:val="20"/>
        <w:lang w:val="fr-FR" w:bidi="mr-IN"/>
      </w:rPr>
      <w:tab/>
    </w:r>
    <w:r>
      <w:rPr>
        <w:rFonts w:ascii="Times New Roman" w:hAnsi="Times New Roman" w:cs="Times New Roman"/>
        <w:b/>
        <w:color w:val="1F497D"/>
        <w:sz w:val="24"/>
        <w:szCs w:val="20"/>
        <w:lang w:val="fr-FR" w:bidi="mr-IN"/>
      </w:rPr>
      <w:t xml:space="preserve">     </w:t>
    </w:r>
    <w:r w:rsidRPr="0093570B">
      <w:rPr>
        <w:rFonts w:ascii="Times New Roman" w:hAnsi="Times New Roman" w:cs="Times New Roman"/>
        <w:b/>
        <w:color w:val="1F497D"/>
        <w:sz w:val="24"/>
        <w:szCs w:val="20"/>
        <w:lang w:val="fr-FR" w:bidi="mr-IN"/>
      </w:rPr>
      <w:t>www.i</w:t>
    </w:r>
    <w:r>
      <w:rPr>
        <w:rFonts w:ascii="Times New Roman" w:hAnsi="Times New Roman" w:cs="Times New Roman"/>
        <w:b/>
        <w:color w:val="1F497D"/>
        <w:sz w:val="24"/>
        <w:szCs w:val="20"/>
        <w:lang w:val="fr-FR" w:bidi="mr-IN"/>
      </w:rPr>
      <w:t>jsci.com</w:t>
    </w:r>
    <w:r w:rsidRPr="0093570B">
      <w:rPr>
        <w:rFonts w:cs="Mangal"/>
        <w:b/>
        <w:color w:val="44546A"/>
        <w:sz w:val="24"/>
        <w:szCs w:val="20"/>
        <w:lang w:val="fr-FR" w:bidi="mr-IN"/>
      </w:rPr>
      <w:t xml:space="preserve"> </w:t>
    </w:r>
    <w:r w:rsidRPr="0093570B">
      <w:rPr>
        <w:rFonts w:cs="Mangal"/>
        <w:szCs w:val="20"/>
        <w:lang w:bidi="mr-IN"/>
      </w:rPr>
      <w:t xml:space="preserve"> </w:t>
    </w:r>
  </w:p>
  <w:p w:rsidR="006E6C4B" w:rsidRDefault="006E6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71F8E"/>
    <w:multiLevelType w:val="multilevel"/>
    <w:tmpl w:val="98848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76463D5"/>
    <w:multiLevelType w:val="multilevel"/>
    <w:tmpl w:val="71F8AAC6"/>
    <w:lvl w:ilvl="0">
      <w:start w:val="1"/>
      <w:numFmt w:val="decimal"/>
      <w:suff w:val="space"/>
      <w:lvlText w:val="%1."/>
      <w:lvlJc w:val="left"/>
      <w:pPr>
        <w:ind w:left="153" w:hanging="23"/>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74EC4A3B"/>
    <w:multiLevelType w:val="hybridMultilevel"/>
    <w:tmpl w:val="AA7E3DFA"/>
    <w:lvl w:ilvl="0" w:tplc="4009000F">
      <w:start w:val="1"/>
      <w:numFmt w:val="decimal"/>
      <w:lvlText w:val="%1."/>
      <w:lvlJc w:val="left"/>
      <w:pPr>
        <w:ind w:left="360" w:hanging="360"/>
      </w:pPr>
      <w:rPr>
        <w:rFonts w:hint="default"/>
        <w:b w:val="0"/>
        <w:bCs w:val="0"/>
        <w:i w:val="0"/>
        <w:iCs w:val="0"/>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193"/>
    <w:rsid w:val="001746B8"/>
    <w:rsid w:val="001979B0"/>
    <w:rsid w:val="0033612B"/>
    <w:rsid w:val="00607193"/>
    <w:rsid w:val="006E6C4B"/>
    <w:rsid w:val="00D2383D"/>
    <w:rsid w:val="00E17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6884B"/>
  <w15:docId w15:val="{E1A10C8D-721F-4CFF-8BC3-038680E0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25C6"/>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E25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71838"/>
    <w:pPr>
      <w:keepNext/>
      <w:keepLines/>
      <w:spacing w:before="40" w:after="0" w:line="276"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96FC6"/>
    <w:pPr>
      <w:keepNext/>
      <w:keepLines/>
      <w:spacing w:before="40" w:after="0" w:line="276" w:lineRule="auto"/>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E25C6"/>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rsid w:val="005E25C6"/>
    <w:rPr>
      <w:rFonts w:asciiTheme="majorHAnsi" w:eastAsiaTheme="majorEastAsia" w:hAnsiTheme="majorHAnsi" w:cstheme="majorBidi"/>
      <w:color w:val="2E74B5" w:themeColor="accent1" w:themeShade="BF"/>
      <w:sz w:val="26"/>
      <w:szCs w:val="26"/>
      <w:lang w:val="en-US"/>
    </w:rPr>
  </w:style>
  <w:style w:type="paragraph" w:styleId="FootnoteText">
    <w:name w:val="footnote text"/>
    <w:basedOn w:val="Normal"/>
    <w:link w:val="FootnoteTextChar"/>
    <w:uiPriority w:val="99"/>
    <w:semiHidden/>
    <w:unhideWhenUsed/>
    <w:rsid w:val="00AD6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63A1"/>
    <w:rPr>
      <w:sz w:val="20"/>
      <w:szCs w:val="20"/>
      <w:lang w:val="en-US"/>
    </w:rPr>
  </w:style>
  <w:style w:type="character" w:styleId="FootnoteReference">
    <w:name w:val="footnote reference"/>
    <w:basedOn w:val="DefaultParagraphFont"/>
    <w:uiPriority w:val="99"/>
    <w:semiHidden/>
    <w:unhideWhenUsed/>
    <w:rsid w:val="00AD63A1"/>
    <w:rPr>
      <w:vertAlign w:val="superscript"/>
    </w:rPr>
  </w:style>
  <w:style w:type="paragraph" w:styleId="NormalWeb">
    <w:name w:val="Normal (Web)"/>
    <w:basedOn w:val="Normal"/>
    <w:uiPriority w:val="99"/>
    <w:unhideWhenUsed/>
    <w:rsid w:val="00AD63A1"/>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D63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63A1"/>
    <w:rPr>
      <w:rFonts w:ascii="Segoe UI" w:hAnsi="Segoe UI" w:cs="Segoe UI"/>
      <w:sz w:val="18"/>
      <w:szCs w:val="18"/>
      <w:lang w:val="en-US"/>
    </w:rPr>
  </w:style>
  <w:style w:type="character" w:styleId="Hyperlink">
    <w:name w:val="Hyperlink"/>
    <w:basedOn w:val="DefaultParagraphFont"/>
    <w:uiPriority w:val="99"/>
    <w:unhideWhenUsed/>
    <w:rsid w:val="00082BC9"/>
    <w:rPr>
      <w:color w:val="0563C1" w:themeColor="hyperlink"/>
      <w:u w:val="single"/>
    </w:rPr>
  </w:style>
  <w:style w:type="character" w:styleId="CommentReference">
    <w:name w:val="annotation reference"/>
    <w:basedOn w:val="DefaultParagraphFont"/>
    <w:uiPriority w:val="99"/>
    <w:semiHidden/>
    <w:unhideWhenUsed/>
    <w:rsid w:val="000A2839"/>
    <w:rPr>
      <w:sz w:val="16"/>
      <w:szCs w:val="16"/>
    </w:rPr>
  </w:style>
  <w:style w:type="paragraph" w:styleId="CommentText">
    <w:name w:val="annotation text"/>
    <w:basedOn w:val="Normal"/>
    <w:link w:val="CommentTextChar"/>
    <w:uiPriority w:val="99"/>
    <w:semiHidden/>
    <w:unhideWhenUsed/>
    <w:rsid w:val="000A2839"/>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0A2839"/>
    <w:rPr>
      <w:rFonts w:eastAsiaTheme="minorEastAsia"/>
      <w:sz w:val="20"/>
      <w:szCs w:val="20"/>
      <w:lang w:val="en-US"/>
    </w:rPr>
  </w:style>
  <w:style w:type="character" w:customStyle="1" w:styleId="Heading3Char">
    <w:name w:val="Heading 3 Char"/>
    <w:basedOn w:val="DefaultParagraphFont"/>
    <w:link w:val="Heading3"/>
    <w:uiPriority w:val="9"/>
    <w:rsid w:val="00971838"/>
    <w:rPr>
      <w:rFonts w:asciiTheme="majorHAnsi" w:eastAsiaTheme="majorEastAsia" w:hAnsiTheme="majorHAnsi" w:cstheme="majorBidi"/>
      <w:color w:val="1F4D78" w:themeColor="accent1" w:themeShade="7F"/>
      <w:sz w:val="24"/>
      <w:szCs w:val="24"/>
      <w:lang w:val="en-US"/>
    </w:rPr>
  </w:style>
  <w:style w:type="table" w:styleId="TableGrid">
    <w:name w:val="Table Grid"/>
    <w:basedOn w:val="TableNormal"/>
    <w:uiPriority w:val="59"/>
    <w:rsid w:val="00C845C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AD5155"/>
    <w:pPr>
      <w:spacing w:after="160"/>
    </w:pPr>
    <w:rPr>
      <w:rFonts w:eastAsiaTheme="minorHAnsi"/>
      <w:b/>
      <w:bCs/>
    </w:rPr>
  </w:style>
  <w:style w:type="character" w:customStyle="1" w:styleId="CommentSubjectChar">
    <w:name w:val="Comment Subject Char"/>
    <w:basedOn w:val="CommentTextChar"/>
    <w:link w:val="CommentSubject"/>
    <w:uiPriority w:val="99"/>
    <w:semiHidden/>
    <w:rsid w:val="00AD5155"/>
    <w:rPr>
      <w:rFonts w:eastAsiaTheme="minorEastAsia"/>
      <w:b/>
      <w:bCs/>
      <w:sz w:val="20"/>
      <w:szCs w:val="20"/>
      <w:lang w:val="en-US"/>
    </w:rPr>
  </w:style>
  <w:style w:type="character" w:customStyle="1" w:styleId="Heading4Char">
    <w:name w:val="Heading 4 Char"/>
    <w:basedOn w:val="DefaultParagraphFont"/>
    <w:link w:val="Heading4"/>
    <w:uiPriority w:val="9"/>
    <w:rsid w:val="00896FC6"/>
    <w:rPr>
      <w:rFonts w:asciiTheme="majorHAnsi" w:eastAsiaTheme="majorEastAsia" w:hAnsiTheme="majorHAnsi" w:cstheme="majorBidi"/>
      <w:i/>
      <w:iCs/>
      <w:color w:val="2E74B5" w:themeColor="accent1" w:themeShade="BF"/>
      <w:lang w:val="en-US"/>
    </w:rPr>
  </w:style>
  <w:style w:type="character" w:styleId="FollowedHyperlink">
    <w:name w:val="FollowedHyperlink"/>
    <w:basedOn w:val="DefaultParagraphFont"/>
    <w:uiPriority w:val="99"/>
    <w:semiHidden/>
    <w:unhideWhenUsed/>
    <w:rsid w:val="00320D40"/>
    <w:rPr>
      <w:color w:val="954F72" w:themeColor="followedHyperlink"/>
      <w:u w:val="single"/>
    </w:rPr>
  </w:style>
  <w:style w:type="paragraph" w:styleId="Header">
    <w:name w:val="header"/>
    <w:basedOn w:val="Normal"/>
    <w:link w:val="HeaderChar"/>
    <w:uiPriority w:val="99"/>
    <w:unhideWhenUsed/>
    <w:rsid w:val="00B656C8"/>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56C8"/>
    <w:rPr>
      <w:lang w:val="en-US"/>
    </w:rPr>
  </w:style>
  <w:style w:type="paragraph" w:styleId="Footer">
    <w:name w:val="footer"/>
    <w:basedOn w:val="Normal"/>
    <w:link w:val="FooterChar"/>
    <w:uiPriority w:val="99"/>
    <w:unhideWhenUsed/>
    <w:rsid w:val="00B656C8"/>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56C8"/>
    <w:rPr>
      <w:lang w:val="en-US"/>
    </w:rPr>
  </w:style>
  <w:style w:type="character" w:customStyle="1" w:styleId="UnresolvedMention1">
    <w:name w:val="Unresolved Mention1"/>
    <w:basedOn w:val="DefaultParagraphFont"/>
    <w:uiPriority w:val="99"/>
    <w:semiHidden/>
    <w:unhideWhenUsed/>
    <w:rsid w:val="000E3037"/>
    <w:rPr>
      <w:color w:val="605E5C"/>
      <w:shd w:val="clear" w:color="auto" w:fill="E1DFDD"/>
    </w:rPr>
  </w:style>
  <w:style w:type="character" w:customStyle="1" w:styleId="UnresolvedMention">
    <w:name w:val="Unresolved Mention"/>
    <w:basedOn w:val="DefaultParagraphFont"/>
    <w:uiPriority w:val="99"/>
    <w:semiHidden/>
    <w:unhideWhenUsed/>
    <w:rsid w:val="00E32888"/>
    <w:rPr>
      <w:color w:val="605E5C"/>
      <w:shd w:val="clear" w:color="auto" w:fill="E1DFDD"/>
    </w:rPr>
  </w:style>
  <w:style w:type="character" w:styleId="PageNumber">
    <w:name w:val="page number"/>
    <w:basedOn w:val="DefaultParagraphFont"/>
    <w:uiPriority w:val="99"/>
    <w:semiHidden/>
    <w:unhideWhenUsed/>
    <w:rsid w:val="00617E87"/>
  </w:style>
  <w:style w:type="paragraph" w:customStyle="1" w:styleId="Default">
    <w:name w:val="Default"/>
    <w:rsid w:val="00D57FEC"/>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D57FEC"/>
    <w:rPr>
      <w:i/>
      <w:iCs/>
    </w:rPr>
  </w:style>
  <w:style w:type="paragraph" w:styleId="Revision">
    <w:name w:val="Revision"/>
    <w:hidden/>
    <w:uiPriority w:val="99"/>
    <w:semiHidden/>
    <w:rsid w:val="00F52B4B"/>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6E6C4B"/>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Kw8vAzWlVcbQDOxwlrVaFaSCA==">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cuneyt gurer</dc:creator>
  <cp:lastModifiedBy>Dr Sadik khan</cp:lastModifiedBy>
  <cp:revision>3</cp:revision>
  <dcterms:created xsi:type="dcterms:W3CDTF">2024-10-25T17:00:00Z</dcterms:created>
  <dcterms:modified xsi:type="dcterms:W3CDTF">2025-05-26T18:40:00Z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