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48.4 MJ/kg.</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storage (2x7 days at base load), unloading, vaporisation and dosing with leak detection and bunding.</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Owner's numbering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60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(TCS/ST controls) integrated in plant DCS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2027-03-01</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360-410 kV; SCL 12-40 kA</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45-70 barg normal/minimum, 40 barg exceptional (72 h/year); 5-25 degC; 115,000 Sm3/h firm</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r>
          </w:p>
        </w:tc>
        <w:tc>
          <w:tcPr>
            <w:tcW w:type="dxa" w:w="2268"/>
          </w:tcPr>
          <w:p>
            <w:r>
              <w:rPr>
                <w:sz w:val="16"/>
              </w:rPr>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3 barg, 20 m3/h</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48.4</w:t>
            </w:r>
          </w:p>
        </w:tc>
        <w:tc>
          <w:tcPr>
            <w:tcW w:type="dxa" w:w="1361"/>
          </w:tcPr>
          <w:p>
            <w:r>
              <w:rPr>
                <w:sz w:val="16"/>
              </w:rPr>
              <w:t>MJ/kg</w:t>
            </w:r>
          </w:p>
        </w:tc>
        <w:tc>
          <w:tcPr>
            <w:tcW w:type="dxa" w:w="3969"/>
          </w:tcPr>
          <w:p>
            <w:r>
              <w:rPr>
                <w:sz w:val="16"/>
              </w:rPr>
              <w:t>reference composition</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v1.1.0 | data 5153a8605911f84c | generated 2026-09-27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