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4F6C"/>
          <w:sz w:val="28"/>
        </w:rPr>
        <w:t>Alpilla Enerji Üretim A.Ş.</w:t>
      </w:r>
    </w:p>
    <w:p>
      <w:pPr>
        <w:jc w:val="center"/>
      </w:pPr>
      <w:r>
        <w:t>Alpilla 600 MW Combined Cycle Power Plant</w:t>
      </w:r>
    </w:p>
    <w:p/>
    <w:p>
      <w:pPr>
        <w:jc w:val="center"/>
      </w:pPr>
      <w:r>
        <w:rPr>
          <w:b/>
          <w:sz w:val="36"/>
        </w:rPr>
        <w:t>Grid Connection Data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ALP-OWN-ELE-001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2026-09-11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Issued for tender / contract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Confidentiality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Restricted - Contract ALP-EPC-001 parties only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84"/>
            <w:shd w:val="clear" w:color="auto" w:fill="D6E6EE"/>
          </w:tcPr>
          <w:p>
            <w:r/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Checked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Approved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(discipline lead)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(project engineer)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Project Director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2026-09-11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2026-09-11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2026-09-11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50"/>
            <w:shd w:val="clear" w:color="auto" w:fill="D6E6EE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701"/>
            <w:shd w:val="clear" w:color="auto" w:fill="D6E6EE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87"/>
            <w:shd w:val="clear" w:color="auto" w:fill="D6E6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2026-09-11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8"/>
              </w:rPr>
              <w:t>Issued for tender / contract</w:t>
            </w:r>
          </w:p>
        </w:tc>
      </w:tr>
    </w:tbl>
    <w:p/>
    <w:p>
      <w:pPr>
        <w:jc w:val="center"/>
      </w:pPr>
      <w:r>
        <w:rPr>
          <w:i/>
          <w:sz w:val="16"/>
        </w:rPr>
        <w:t>CASE STUDY - all organisations, data and signatures are fictional.</w:t>
      </w:r>
    </w:p>
    <w:p>
      <w:r>
        <w:br w:type="page"/>
      </w:r>
    </w:p>
    <w:p>
      <w:pPr>
        <w:pStyle w:val="Heading1"/>
      </w:pPr>
      <w:r>
        <w:t>1. Connection</w:t>
      </w:r>
    </w:p>
    <w:p>
      <w:pPr>
        <w:pStyle w:val="ListBullet"/>
      </w:pPr>
      <w:r>
        <w:rPr>
          <w:b w:val="0"/>
        </w:rPr>
        <w:t>Connection to the 380 kV TSO substation "Kıyı" (fictional name) by a 7 km double-circuit overhead line built by the Owner.</w:t>
      </w:r>
    </w:p>
    <w:p>
      <w:pPr>
        <w:pStyle w:val="ListBullet"/>
      </w:pPr>
      <w:r>
        <w:rPr>
          <w:b w:val="0"/>
        </w:rPr>
        <w:t>Connection agreement signed 2026-06-20; connection capacity 640 MW export, 40 MW import.</w:t>
      </w:r>
    </w:p>
    <w:p>
      <w:pPr>
        <w:pStyle w:val="ListBullet"/>
      </w:pPr>
      <w:r>
        <w:rPr>
          <w:b w:val="0"/>
        </w:rPr>
        <w:t xml:space="preserve">Line completion and energisation readiness planned by the Owner: </w:t>
      </w:r>
      <w:r>
        <w:rPr>
          <w:b/>
        </w:rPr>
        <w:t>2028-09-30</w:t>
      </w:r>
      <w:r>
        <w:rPr>
          <w:b w:val="0"/>
        </w:rPr>
        <w:t>.</w:t>
      </w:r>
    </w:p>
    <w:p>
      <w:pPr>
        <w:pStyle w:val="Heading1"/>
      </w:pPr>
      <w:r>
        <w:t>2. System data at the plant 380 kV busbar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val="clear" w:color="auto" w:fill="D6E6EE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819"/>
            <w:shd w:val="clear" w:color="auto" w:fill="D6E6EE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Nominal / highest system voltage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380 kV / 420 kV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Normal voltage range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360–410 kV; 342–420 kV for up to 30 min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Frequency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50 Hz; continuous 49.0–51.0 Hz; 47.5–52.5 Hz time-limited per Grid Code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Three-phase short-circuit level (2029)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maximum 40 kA, minimum 12 kA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Future maximum (2035 planning)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50 kA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X/R ratio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14 (maximum case)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Earthing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solidly earthed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Fault clearing time (main protection)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≤ 100 ms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Auto-reclose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7"/>
              </w:rPr>
              <w:t>single-phase, 1 s dead time on the connection line</w:t>
            </w:r>
          </w:p>
        </w:tc>
      </w:tr>
    </w:tbl>
    <w:p/>
    <w:p>
      <w:pPr>
        <w:pStyle w:val="Heading1"/>
      </w:pPr>
      <w:r>
        <w:t>3. TSO requirements (summary)</w:t>
      </w:r>
    </w:p>
    <w:p>
      <w:pPr>
        <w:pStyle w:val="ListBullet"/>
      </w:pPr>
      <w:r>
        <w:rPr>
          <w:b w:val="0"/>
        </w:rPr>
        <w:t>Fault ride through, reactive capability 0.85 lagging / 0.95 leading at the connection point, primary frequency control (droop 4 %),</w:t>
      </w:r>
      <w:r>
        <w:rPr>
          <w:b w:val="0"/>
        </w:rPr>
        <w:t xml:space="preserve"> secondary frequency control (AGC) and fast frequency response.</w:t>
      </w:r>
    </w:p>
    <w:p>
      <w:pPr>
        <w:pStyle w:val="ListBullet"/>
      </w:pPr>
      <w:r>
        <w:rPr>
          <w:b w:val="0"/>
        </w:rPr>
        <w:t>Main 1 / Main 2 line differential protection from different manufacturers; busbar protection with breaker failure.</w:t>
      </w:r>
    </w:p>
    <w:p>
      <w:pPr>
        <w:pStyle w:val="ListBullet"/>
      </w:pPr>
      <w:r>
        <w:rPr>
          <w:b w:val="0"/>
        </w:rPr>
        <w:t>Revenue metering class 0.2S main and check; RTU with IEC 60870-5-104 to the national control centre.</w:t>
      </w:r>
    </w:p>
    <w:p>
      <w:pPr>
        <w:pStyle w:val="ListBullet"/>
      </w:pPr>
      <w:r>
        <w:rPr>
          <w:b w:val="0"/>
        </w:rPr>
        <w:t>Power quality: harmonic emission limits per the TSO's connection conditions.</w:t>
      </w:r>
    </w:p>
    <w:p>
      <w:pPr>
        <w:pStyle w:val="ListBullet"/>
      </w:pPr>
      <w:r>
        <w:rPr>
          <w:b w:val="0"/>
        </w:rPr>
        <w:t>Compliance tests witnessed by the TSO before commercial operation.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Owner document - controlled copy when printed from the project repository.  CASE STUDY - fictional.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Alpilla Enerji Üretim A.Ş.</w:t>
    </w:r>
    <w:r>
      <w:rPr>
        <w:b w:val="0"/>
        <w:sz w:val="16"/>
      </w:rPr>
      <w:t xml:space="preserve">  |  Alpilla 600 MW CCGT  |  ALP-OWN-ELE-001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B4F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B4F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