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Positive EIA Decision: Conditions Binding the Project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ALP-OWN-ENV-001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2026-09-09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tender / contract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2026-09-09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2026-09-09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2026-09-09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2026-09-09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Air emissions (dry, 15 % O2, 70–100 % load unless stated)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Pollutant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Natural gas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Light diesel oil (≤ 500 h/year)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NOx (as NO2)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30 mg/Nm³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50 mg/Nm³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CO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30 mg/Nm³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50 mg/Nm³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NH3 slip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5 mg/Nm³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5 mg/Nm³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SO2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10 mg/Nm³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Dust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5 mg/Nm³</w:t>
            </w:r>
          </w:p>
        </w:tc>
      </w:tr>
    </w:tbl>
    <w:p/>
    <w:p>
      <w:pPr>
        <w:pStyle w:val="ListBullet"/>
      </w:pPr>
      <w:r>
        <w:rPr>
          <w:b/>
        </w:rPr>
        <w:t>Stack height: 65 m</w:t>
      </w:r>
      <w:r>
        <w:rPr>
          <w:b w:val="0"/>
        </w:rPr>
        <w:t xml:space="preserve"> (result of the approved dispersion study; the Owner's draft contract states 60 m).</w:t>
      </w:r>
    </w:p>
    <w:p>
      <w:pPr>
        <w:pStyle w:val="ListBullet"/>
      </w:pPr>
      <w:r>
        <w:rPr>
          <w:b w:val="0"/>
        </w:rPr>
        <w:t>CEMS per EN 14181 with on-line reporting.</w:t>
      </w:r>
    </w:p>
    <w:p>
      <w:pPr>
        <w:pStyle w:val="Heading1"/>
      </w:pPr>
      <w:r>
        <w:t>2. Water</w:t>
      </w:r>
    </w:p>
    <w:p>
      <w:pPr>
        <w:pStyle w:val="ListBullet"/>
      </w:pPr>
      <w:r>
        <w:rPr>
          <w:b w:val="0"/>
        </w:rPr>
        <w:t>Cooling water temperature rise across the condenser ≤ 7 K; temperature excess ≤ 3 K at 100 m from the diffuser.</w:t>
      </w:r>
    </w:p>
    <w:p>
      <w:pPr>
        <w:pStyle w:val="ListBullet"/>
      </w:pPr>
      <w:r>
        <w:rPr>
          <w:b w:val="0"/>
        </w:rPr>
        <w:t>Residual oxidant (as Cl2) at the outfall ≤ 0.1 mg/l.</w:t>
      </w:r>
    </w:p>
    <w:p>
      <w:pPr>
        <w:pStyle w:val="ListBullet"/>
      </w:pPr>
      <w:r>
        <w:rPr>
          <w:b w:val="0"/>
        </w:rPr>
        <w:t>Process and sanitary effluents treated to the Water Pollution Control Regulation sea-discharge limits.</w:t>
      </w:r>
    </w:p>
    <w:p>
      <w:pPr>
        <w:pStyle w:val="ListBullet"/>
      </w:pPr>
      <w:r>
        <w:rPr>
          <w:b w:val="0"/>
        </w:rPr>
        <w:t>No discharge of brine from the SWRO at more than 5 % above ambient salinity at 50 m from the diffuser.</w:t>
      </w:r>
    </w:p>
    <w:p>
      <w:pPr>
        <w:pStyle w:val="Heading1"/>
      </w:pPr>
      <w:r>
        <w:t>3. Noise</w:t>
      </w:r>
    </w:p>
    <w:p>
      <w:pPr>
        <w:pStyle w:val="ListBullet"/>
      </w:pPr>
      <w:r>
        <w:rPr>
          <w:b w:val="0"/>
        </w:rPr>
        <w:t>Operation: 45 dB(A) night / 55 dB(A) day at the nearest residential receptor.</w:t>
      </w:r>
    </w:p>
    <w:p>
      <w:pPr>
        <w:pStyle w:val="ListBullet"/>
      </w:pPr>
      <w:r>
        <w:rPr>
          <w:b w:val="0"/>
        </w:rPr>
        <w:t>Construction: 07:00–19:00 on weekdays and 08:00–17:00 on Saturdays for noisy works (piling, blasting, steam blowing);</w:t>
      </w:r>
      <w:r>
        <w:rPr>
          <w:b w:val="0"/>
        </w:rPr>
        <w:t xml:space="preserve"> steam blowing requires 7 days' notice to the village and silencers.</w:t>
      </w:r>
    </w:p>
    <w:p>
      <w:pPr>
        <w:pStyle w:val="Heading1"/>
      </w:pPr>
      <w:r>
        <w:t>4. Marine and ecology</w:t>
      </w:r>
    </w:p>
    <w:p>
      <w:pPr>
        <w:pStyle w:val="ListBullet"/>
      </w:pPr>
      <w:r>
        <w:rPr>
          <w:b w:val="0"/>
        </w:rPr>
        <w:t xml:space="preserve">No marine works (dredging, trenching, pipe laying) between </w:t>
      </w:r>
      <w:r>
        <w:rPr>
          <w:b/>
        </w:rPr>
        <w:t>1 May and 30 September</w:t>
      </w:r>
      <w:r>
        <w:rPr>
          <w:b w:val="0"/>
        </w:rPr>
        <w:t xml:space="preserve"> (fish spawning).</w:t>
      </w:r>
    </w:p>
    <w:p>
      <w:pPr>
        <w:pStyle w:val="ListBullet"/>
      </w:pPr>
      <w:r>
        <w:rPr>
          <w:b w:val="0"/>
        </w:rPr>
        <w:t>Fish return system at the screens; intake velocity ≤ 0.15 m/s.</w:t>
      </w:r>
    </w:p>
    <w:p>
      <w:pPr>
        <w:pStyle w:val="ListBullet"/>
      </w:pPr>
      <w:r>
        <w:rPr>
          <w:b w:val="0"/>
        </w:rPr>
        <w:t>Marine monitoring programme during construction and for 3 years of operation (Owner's obligation; the Contractor provides data).</w:t>
      </w:r>
    </w:p>
    <w:p>
      <w:pPr>
        <w:pStyle w:val="Heading1"/>
      </w:pPr>
      <w:r>
        <w:t>5. Other</w:t>
      </w:r>
    </w:p>
    <w:p>
      <w:pPr>
        <w:pStyle w:val="ListBullet"/>
      </w:pPr>
      <w:r>
        <w:rPr>
          <w:b w:val="0"/>
        </w:rPr>
        <w:t>Traffic: heavy vehicles avoid the village road between 07:30–09:00 and 16:00–18:00.</w:t>
      </w:r>
    </w:p>
    <w:p>
      <w:pPr>
        <w:pStyle w:val="ListBullet"/>
      </w:pPr>
      <w:r>
        <w:rPr>
          <w:b w:val="0"/>
        </w:rPr>
        <w:t>Archaeological chance-find procedure applies to all excavations.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ALP-OWN-ENV-001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