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4F6C"/>
          <w:sz w:val="28"/>
        </w:rPr>
        <w:t>Alpilla Enerji Üretim A.Ş.</w:t>
      </w:r>
    </w:p>
    <w:p>
      <w:pPr>
        <w:jc w:val="center"/>
      </w:pPr>
      <w:r>
        <w:t>Alpilla 600 MW Combined Cycle Power Plant</w:t>
      </w:r>
    </w:p>
    <w:p/>
    <w:p>
      <w:pPr>
        <w:jc w:val="center"/>
      </w:pPr>
      <w:r>
        <w:rPr>
          <w:b/>
          <w:sz w:val="36"/>
        </w:rPr>
        <w:t>Secondary Fuel: Light Diesel Oil (LDO)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ALP-OWN-FUL-002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2026-09-15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Issued for tender / contract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Confidentiality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Restricted - Contract ALP-EPC-001 parties only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84"/>
            <w:shd w:val="clear" w:color="auto" w:fill="D6E6EE"/>
          </w:tcPr>
          <w:p>
            <w:r/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Checked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Approved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(discipline lead)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(project engineer)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Project Director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2026-09-15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2026-09-15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50"/>
            <w:shd w:val="clear" w:color="auto" w:fill="D6E6EE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701"/>
            <w:shd w:val="clear" w:color="auto" w:fill="D6E6EE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087"/>
            <w:shd w:val="clear" w:color="auto" w:fill="D6E6EE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2026-09-15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8"/>
              </w:rPr>
              <w:t>Issued for tender / contract</w:t>
            </w:r>
          </w:p>
        </w:tc>
      </w:tr>
    </w:tbl>
    <w:p/>
    <w:p>
      <w:pPr>
        <w:jc w:val="center"/>
      </w:pPr>
      <w:r>
        <w:rPr>
          <w:i/>
          <w:sz w:val="16"/>
        </w:rPr>
        <w:t>CASE STUDY - all organisations, data and signatures are fictional.</w:t>
      </w:r>
    </w:p>
    <w:p>
      <w:r>
        <w:br w:type="page"/>
      </w:r>
    </w:p>
    <w:p>
      <w:pPr>
        <w:pStyle w:val="Heading1"/>
      </w:pPr>
      <w:r>
        <w:t>1. Purpose and operating philosophy</w:t>
      </w:r>
    </w:p>
    <w:p>
      <w:r>
        <w:rPr>
          <w:b w:val="0"/>
        </w:rPr>
        <w:t>Light diesel oil is the secondary (back-up) fuel, used when natural gas is curtailed by the network operator or unavailable.</w:t>
      </w:r>
    </w:p>
    <w:p>
      <w:pPr>
        <w:pStyle w:val="ListBullet"/>
      </w:pPr>
      <w:r>
        <w:rPr>
          <w:b w:val="0"/>
        </w:rPr>
        <w:t>Expected use: up to 500 hours per year (emergency back-up fuel status under the environmental permit), typically in winter.</w:t>
      </w:r>
    </w:p>
    <w:p>
      <w:pPr>
        <w:pStyle w:val="ListBullet"/>
      </w:pPr>
      <w:r>
        <w:rPr>
          <w:b w:val="0"/>
        </w:rPr>
        <w:t xml:space="preserve">Autonomy: </w:t>
      </w:r>
      <w:r>
        <w:rPr>
          <w:b/>
        </w:rPr>
        <w:t>72 hours of base-load operation</w:t>
      </w:r>
      <w:r>
        <w:rPr>
          <w:b w:val="0"/>
        </w:rPr>
        <w:t xml:space="preserve"> on LDO from full storage.</w:t>
      </w:r>
    </w:p>
    <w:p>
      <w:pPr>
        <w:pStyle w:val="ListBullet"/>
      </w:pPr>
      <w:r>
        <w:rPr>
          <w:b w:val="0"/>
        </w:rPr>
        <w:t>Automatic transfer from gas to LDO on loss of gas pressure, without unit trip; manual transfer back to gas on load.</w:t>
      </w:r>
    </w:p>
    <w:p>
      <w:pPr>
        <w:pStyle w:val="ListBullet"/>
      </w:pPr>
      <w:r>
        <w:rPr>
          <w:b w:val="0"/>
        </w:rPr>
        <w:t>Start-up on LDO shall be possible (gas not available).</w:t>
      </w:r>
    </w:p>
    <w:p>
      <w:pPr>
        <w:pStyle w:val="Heading1"/>
      </w:pPr>
      <w:r>
        <w:t>2. Fuel quality as delivered (supplier's specification, based on TS EN 590 automotive diesel, class B/F)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Unit</w:t>
            </w:r>
          </w:p>
        </w:tc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Limit / value</w:t>
            </w:r>
          </w:p>
        </w:tc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Test method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Density at 15 °C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kg/m³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820–845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ISO 12185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Kinematic viscosity at 40 °C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mm²/s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2.0–4.5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ISO 3104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Flash point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°C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≥ 55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ISO 2719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Cloud point / CFPP (winter grade)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°C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−5 / ≤ −15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23015 / EN 116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Sulphur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mg/kg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10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ISO 20846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Water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mg/kg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200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ISO 12937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Total contamination (particulates)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mg/kg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24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12662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Ash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% m/m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0.01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ISO 6245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Carbon residue (10 % distillation residue)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% m/m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0.30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ISO 10370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FAME (biodiesel) content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% v/v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7.0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EN 14078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Net calorific value (LHV)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MJ/kg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42.6–43.2 (typical 42.9)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ASTM D240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Sodium + potassium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mg/kg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1.0 (as delivered, not guaranteed by supplier)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ASTM D3605 / ICP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Vanadium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mg/kg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0.1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ASTM D5708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Lead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mg/kg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0.5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ICP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Calcium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mg/kg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1.0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ICP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Nitrogen (fuel-bound)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mg/kg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≤ 150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ASTM D4629</w:t>
            </w:r>
          </w:p>
        </w:tc>
      </w:tr>
    </w:tbl>
    <w:p/>
    <w:p>
      <w:r>
        <w:rPr>
          <w:b w:val="0"/>
        </w:rPr>
        <w:t>The supplier does not guarantee alkali metal content after road transport. Past deliveries to other plants showed Na+K up to 1.8 mg/kg after contamination with water in tanker trucks.</w:t>
      </w:r>
    </w:p>
    <w:p>
      <w:pPr>
        <w:pStyle w:val="Heading1"/>
      </w:pPr>
      <w:r>
        <w:t>3. Supply logistics</w:t>
      </w:r>
    </w:p>
    <w:p>
      <w:pPr>
        <w:pStyle w:val="ListBullet"/>
      </w:pPr>
      <w:r>
        <w:rPr>
          <w:b w:val="0"/>
        </w:rPr>
        <w:t>Delivery by road tankers of 30–36 m³ from the refinery terminal (95 km).</w:t>
      </w:r>
    </w:p>
    <w:p>
      <w:pPr>
        <w:pStyle w:val="ListBullet"/>
      </w:pPr>
      <w:r>
        <w:rPr>
          <w:b w:val="0"/>
        </w:rPr>
        <w:t xml:space="preserve">The supplier can guarantee </w:t>
      </w:r>
      <w:r>
        <w:rPr>
          <w:b/>
        </w:rPr>
        <w:t>up to 25 trucks per day</w:t>
      </w:r>
      <w:r>
        <w:rPr>
          <w:b w:val="0"/>
        </w:rPr>
        <w:t xml:space="preserve"> in winter emergencies.</w:t>
      </w:r>
    </w:p>
    <w:p>
      <w:pPr>
        <w:pStyle w:val="ListBullet"/>
      </w:pPr>
      <w:r>
        <w:rPr>
          <w:b w:val="0"/>
        </w:rPr>
        <w:t>The Owner will purchase the first fill of the LDO tanks; the Contractor provides LDO for its own testing beyond the first fill.</w:t>
      </w:r>
    </w:p>
    <w:p>
      <w:pPr>
        <w:pStyle w:val="Heading1"/>
      </w:pPr>
      <w:r>
        <w:t>4. Owner requirements</w:t>
      </w:r>
    </w:p>
    <w:p>
      <w:pPr>
        <w:pStyle w:val="ListBullet"/>
      </w:pPr>
      <w:r>
        <w:rPr>
          <w:b w:val="0"/>
        </w:rPr>
        <w:t>Truck unloading station with at least 4 bays, metering, filtration and spill containment.</w:t>
      </w:r>
    </w:p>
    <w:p>
      <w:pPr>
        <w:pStyle w:val="ListBullet"/>
      </w:pPr>
      <w:r>
        <w:rPr>
          <w:b w:val="0"/>
        </w:rPr>
        <w:t>Storage: two tanks, each 50 % of the 72-hour autonomy, in a bunded area with foam fire protection (NFPA 11 / NFPA 30).</w:t>
      </w:r>
    </w:p>
    <w:p>
      <w:pPr>
        <w:pStyle w:val="ListBullet"/>
      </w:pPr>
      <w:r>
        <w:rPr>
          <w:b w:val="0"/>
        </w:rPr>
        <w:t>Water drain, sampling and fuel quality monitoring. Fuel treatment if needed to meet the gas turbine OEM limits at the burner.</w:t>
      </w:r>
    </w:p>
    <w:p>
      <w:pPr>
        <w:pStyle w:val="ListBullet"/>
      </w:pPr>
      <w:r>
        <w:rPr>
          <w:b w:val="0"/>
        </w:rPr>
        <w:t>Emissions on LDO: as per the environmental permit (see ALP-OWN-ENV-001).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Owner document - controlled copy when printed from the project repository.  CASE STUDY - fictional.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Alpilla Enerji Üretim A.Ş.</w:t>
    </w:r>
    <w:r>
      <w:rPr>
        <w:b w:val="0"/>
        <w:sz w:val="16"/>
      </w:rPr>
      <w:t xml:space="preserve">  |  Alpilla 600 MW CCGT  |  ALP-OWN-FUL-002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B4F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B4F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