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4F6C"/>
          <w:sz w:val="28"/>
        </w:rPr>
        <w:t>Alpilla Enerji Üretim A.Ş.</w:t>
      </w:r>
    </w:p>
    <w:p>
      <w:pPr>
        <w:jc w:val="center"/>
      </w:pPr>
      <w:r>
        <w:t>Alpilla 600 MW Combined Cycle Power Plant</w:t>
      </w:r>
    </w:p>
    <w:p/>
    <w:p>
      <w:pPr>
        <w:jc w:val="center"/>
      </w:pPr>
      <w:r>
        <w:rPr>
          <w:b/>
          <w:sz w:val="36"/>
        </w:rPr>
        <w:t>Geotechnical Baseline Summary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ALP-OWN-GEO-001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2026-09-05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Issued for tender / contract (for information; Contractor to verify)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Confidentiality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Restricted - Contract ALP-EPC-001 parties only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984"/>
            <w:shd w:val="clear" w:color="auto" w:fill="D6E6EE"/>
          </w:tcPr>
          <w:p>
            <w:r/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Prepared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Checked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Approved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(discipline lead)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(project engineer)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Project Director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2026-09-05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2026-09-05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2026-09-05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50"/>
            <w:shd w:val="clear" w:color="auto" w:fill="D6E6EE"/>
          </w:tcPr>
          <w:p>
            <w:r/>
            <w:r>
              <w:rPr>
                <w:b/>
                <w:sz w:val="18"/>
              </w:rPr>
              <w:t>Rev</w:t>
            </w:r>
          </w:p>
        </w:tc>
        <w:tc>
          <w:tcPr>
            <w:tcW w:type="dxa" w:w="1701"/>
            <w:shd w:val="clear" w:color="auto" w:fill="D6E6EE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7087"/>
            <w:shd w:val="clear" w:color="auto" w:fill="D6E6EE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2026-09-05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8"/>
              </w:rPr>
              <w:t>Issued for tender / contract</w:t>
            </w:r>
          </w:p>
        </w:tc>
      </w:tr>
    </w:tbl>
    <w:p/>
    <w:p>
      <w:pPr>
        <w:jc w:val="center"/>
      </w:pPr>
      <w:r>
        <w:rPr>
          <w:i/>
          <w:sz w:val="16"/>
        </w:rPr>
        <w:t>CASE STUDY - all organisations, data and signatures are fictional.</w:t>
      </w:r>
    </w:p>
    <w:p>
      <w:r>
        <w:br w:type="page"/>
      </w:r>
    </w:p>
    <w:p>
      <w:pPr>
        <w:pStyle w:val="Heading1"/>
      </w:pPr>
      <w:r>
        <w:t>1. Investigation</w:t>
      </w:r>
    </w:p>
    <w:p>
      <w:r>
        <w:rPr>
          <w:b w:val="0"/>
        </w:rPr>
        <w:t>12 boreholes (30–45 m), 20 CPTu, 6 MASW profiles, laboratory testing (2025). Grade +15.0 m after Owner's levelling fill (1.5–3.0 m engineered fill, compacted to 95 % Standard Proctor).</w:t>
      </w:r>
    </w:p>
    <w:p>
      <w:pPr>
        <w:pStyle w:val="Heading1"/>
      </w:pPr>
      <w:r>
        <w:t>2. Stratigraphy (typical)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Depth below grade</w:t>
            </w:r>
          </w:p>
        </w:tc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Key parameters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0–2.5 m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engineered fill (sandy gravel)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γ 20 kN/m³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2.5–9 m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loose to medium dense silty sand (alluvium)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 xml:space="preserve">SPT N 6–18; </w:t>
            </w:r>
            <w:r>
              <w:rPr>
                <w:b/>
                <w:sz w:val="17"/>
              </w:rPr>
              <w:t>liquefiable under DD-2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9–18 m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soft to firm clay with sand lenses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cu 30–70 kPa, compressible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18–25 m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dense sand and gravel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SPT N &gt; 40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&gt; 18–25 m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weathered to moderately weathered sandstone/marl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UCS 5–25 MPa</w:t>
            </w:r>
          </w:p>
        </w:tc>
      </w:tr>
    </w:tbl>
    <w:p/>
    <w:p>
      <w:pPr>
        <w:pStyle w:val="ListBullet"/>
      </w:pPr>
      <w:r>
        <w:rPr>
          <w:b w:val="0"/>
        </w:rPr>
        <w:t>Groundwater at +13.5 m (1.5 m below grade), tidal influence negligible, chloride 3,000–8,000 mg/l (brackish) — aggressive to concrete (XS/XA2).</w:t>
      </w:r>
    </w:p>
    <w:p>
      <w:pPr>
        <w:pStyle w:val="ListBullet"/>
      </w:pPr>
      <w:r>
        <w:rPr>
          <w:b w:val="0"/>
        </w:rPr>
        <w:t>Site class per TBDY 2018: ZD (Vs30 = 240 m/s). Site-specific PGA (DD-2): 0.45 g.</w:t>
      </w:r>
    </w:p>
    <w:p>
      <w:pPr>
        <w:pStyle w:val="Heading1"/>
      </w:pPr>
      <w:r>
        <w:t>3. Owner's note</w:t>
      </w:r>
    </w:p>
    <w:p>
      <w:r>
        <w:rPr>
          <w:b w:val="0"/>
        </w:rPr>
        <w:t>Deep foundations (bored piles to the sandstone) or ground improvement are expected for all heavy and vibrating structures. The baseline is for information; the Contractor is responsible for interpretation and confirmatory investigation (Sub-Clause 4.5).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Owner document - controlled copy when printed from the project repository.  CASE STUDY - fictional.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Alpilla Enerji Üretim A.Ş.</w:t>
    </w:r>
    <w:r>
      <w:rPr>
        <w:b w:val="0"/>
        <w:sz w:val="16"/>
      </w:rPr>
      <w:t xml:space="preserve">  |  Alpilla 600 MW CCGT  |  ALP-OWN-GEO-001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B4F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B4F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