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B4F6C"/>
          <w:sz w:val="28"/>
        </w:rPr>
        <w:t>Alpilla Enerji Üretim A.Ş.</w:t>
      </w:r>
    </w:p>
    <w:p>
      <w:pPr>
        <w:jc w:val="center"/>
      </w:pPr>
      <w:r>
        <w:t>Alpilla 600 MW Combined Cycle Power Plant</w:t>
      </w:r>
    </w:p>
    <w:p/>
    <w:p>
      <w:pPr>
        <w:jc w:val="center"/>
      </w:pPr>
      <w:r>
        <w:rPr>
          <w:b/>
          <w:sz w:val="36"/>
        </w:rPr>
        <w:t>Seawater Quality and Marine Conditions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ALP-OWN-MAR-001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2026-09-12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Issued for tender / contract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Confidentiality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Restricted - Contract ALP-EPC-001 parties only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1984"/>
            <w:shd w:val="clear" w:color="auto" w:fill="D6E6EE"/>
          </w:tcPr>
          <w:p>
            <w:r/>
          </w:p>
        </w:tc>
        <w:tc>
          <w:tcPr>
            <w:tcW w:type="dxa" w:w="2551"/>
            <w:shd w:val="clear" w:color="auto" w:fill="D6E6EE"/>
          </w:tcPr>
          <w:p>
            <w:r/>
            <w:r>
              <w:rPr>
                <w:b/>
                <w:sz w:val="18"/>
              </w:rPr>
              <w:t>Prepared</w:t>
            </w:r>
          </w:p>
        </w:tc>
        <w:tc>
          <w:tcPr>
            <w:tcW w:type="dxa" w:w="2551"/>
            <w:shd w:val="clear" w:color="auto" w:fill="D6E6EE"/>
          </w:tcPr>
          <w:p>
            <w:r/>
            <w:r>
              <w:rPr>
                <w:b/>
                <w:sz w:val="18"/>
              </w:rPr>
              <w:t>Checked</w:t>
            </w:r>
          </w:p>
        </w:tc>
        <w:tc>
          <w:tcPr>
            <w:tcW w:type="dxa" w:w="2551"/>
            <w:shd w:val="clear" w:color="auto" w:fill="D6E6EE"/>
          </w:tcPr>
          <w:p>
            <w:r/>
            <w:r>
              <w:rPr>
                <w:b/>
                <w:sz w:val="18"/>
              </w:rPr>
              <w:t>Approved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Owner's Engineer (discipline lead)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Owner's Engineer (project engineer)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Owner's Project Director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signed 2026-09-12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signed 2026-09-12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signed 2026-09-12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850"/>
            <w:shd w:val="clear" w:color="auto" w:fill="D6E6EE"/>
          </w:tcPr>
          <w:p>
            <w:r/>
            <w:r>
              <w:rPr>
                <w:b/>
                <w:sz w:val="18"/>
              </w:rPr>
              <w:t>Rev</w:t>
            </w:r>
          </w:p>
        </w:tc>
        <w:tc>
          <w:tcPr>
            <w:tcW w:type="dxa" w:w="1701"/>
            <w:shd w:val="clear" w:color="auto" w:fill="D6E6EE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7087"/>
            <w:shd w:val="clear" w:color="auto" w:fill="D6E6EE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2026-09-12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8"/>
              </w:rPr>
              <w:t>Issued for tender / contract</w:t>
            </w:r>
          </w:p>
        </w:tc>
      </w:tr>
    </w:tbl>
    <w:p/>
    <w:p>
      <w:pPr>
        <w:jc w:val="center"/>
      </w:pPr>
      <w:r>
        <w:rPr>
          <w:i/>
          <w:sz w:val="16"/>
        </w:rPr>
        <w:t>CASE STUDY - all organisations, data and signatures are fictional.</w:t>
      </w:r>
    </w:p>
    <w:p>
      <w:r>
        <w:br w:type="page"/>
      </w:r>
    </w:p>
    <w:p>
      <w:pPr>
        <w:pStyle w:val="Heading1"/>
      </w:pPr>
      <w:r>
        <w:t>1. Basis</w:t>
      </w:r>
    </w:p>
    <w:p>
      <w:r>
        <w:rPr>
          <w:b w:val="0"/>
        </w:rPr>
        <w:t>Twelve-month sampling campaign (September 2024 – August 2025) at three stations offshore of the Site (M1 at 300 m, M2 at 650 m, M3 at 1,000 m from the shoreline), monthly profiles at 1 m, 12 m and 30 m depth; continuous temperature logger at M2 (12 m). Bathymetry and current survey by the Owner's marine consultant (2025).</w:t>
      </w:r>
    </w:p>
    <w:p>
      <w:r>
        <w:rPr>
          <w:b/>
        </w:rPr>
        <w:t>Important:</w:t>
      </w:r>
      <w:r>
        <w:rPr>
          <w:b w:val="0"/>
        </w:rPr>
        <w:t xml:space="preserve"> the Sea of Marmara is a two-layer sea. The upper layer (Black Sea origin, brackish) lies above a sharp pycnocline at </w:t>
      </w:r>
      <w:r>
        <w:rPr>
          <w:b/>
        </w:rPr>
        <w:t>20–25 m</w:t>
      </w:r>
      <w:r>
        <w:rPr>
          <w:b w:val="0"/>
        </w:rPr>
        <w:t xml:space="preserve"> depth; the lower layer (Mediterranean origin) is saline, colder in summer and low in dissolved oxygen, with occasional H2S.</w:t>
      </w:r>
    </w:p>
    <w:p>
      <w:pPr>
        <w:pStyle w:val="Heading1"/>
      </w:pPr>
      <w:r>
        <w:t>2. Bathymetry and hydrodynamics</w:t>
      </w:r>
    </w:p>
    <w:p>
      <w:pPr>
        <w:pStyle w:val="ListBullet"/>
      </w:pPr>
      <w:r>
        <w:rPr>
          <w:b w:val="0"/>
        </w:rPr>
        <w:t>Seabed slope about 1:45; −12 m depth at 550 m, −15 m at 650 m (station M2), −30 m at 1,000 m from the shoreline.</w:t>
      </w:r>
    </w:p>
    <w:p>
      <w:pPr>
        <w:pStyle w:val="ListBullet"/>
      </w:pPr>
      <w:r>
        <w:rPr>
          <w:b w:val="0"/>
        </w:rPr>
        <w:t>Tidal range negligible (&lt; 0.1 m). Sea level variation from storm surge and barometric effects: −0.4 m to +0.6 m (100-year).</w:t>
      </w:r>
    </w:p>
    <w:p>
      <w:pPr>
        <w:pStyle w:val="ListBullet"/>
      </w:pPr>
      <w:r>
        <w:rPr>
          <w:b w:val="0"/>
        </w:rPr>
        <w:t>Surface currents 0.1–0.4 m/s, predominantly westward; at 12 m 0.05–0.25 m/s.</w:t>
      </w:r>
    </w:p>
    <w:p>
      <w:pPr>
        <w:pStyle w:val="ListBullet"/>
      </w:pPr>
      <w:r>
        <w:rPr>
          <w:b w:val="0"/>
        </w:rPr>
        <w:t>Waves: Hs 1-year 2.1 m; Hs 50-year 4.4 m (Tp 8.5 s), SW (lodos) direction.</w:t>
      </w:r>
    </w:p>
    <w:p>
      <w:pPr>
        <w:pStyle w:val="Heading1"/>
      </w:pPr>
      <w:r>
        <w:t>3. Seawater temperature at 12 m (station M2)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val="clear" w:color="auto" w:fill="D6E6EE"/>
          </w:tcPr>
          <w:p>
            <w:r/>
            <w:r>
              <w:rPr>
                <w:b/>
                <w:sz w:val="17"/>
              </w:rPr>
              <w:t>Month</w:t>
            </w:r>
          </w:p>
        </w:tc>
        <w:tc>
          <w:tcPr>
            <w:tcW w:type="dxa" w:w="2409"/>
            <w:shd w:val="clear" w:color="auto" w:fill="D6E6EE"/>
          </w:tcPr>
          <w:p>
            <w:r/>
            <w:r>
              <w:rPr>
                <w:b/>
                <w:sz w:val="17"/>
              </w:rPr>
              <w:t>Min (°C)</w:t>
            </w:r>
          </w:p>
        </w:tc>
        <w:tc>
          <w:tcPr>
            <w:tcW w:type="dxa" w:w="2409"/>
            <w:shd w:val="clear" w:color="auto" w:fill="D6E6EE"/>
          </w:tcPr>
          <w:p>
            <w:r/>
            <w:r>
              <w:rPr>
                <w:b/>
                <w:sz w:val="17"/>
              </w:rPr>
              <w:t>Mean (°C)</w:t>
            </w:r>
          </w:p>
        </w:tc>
        <w:tc>
          <w:tcPr>
            <w:tcW w:type="dxa" w:w="2409"/>
            <w:shd w:val="clear" w:color="auto" w:fill="D6E6EE"/>
          </w:tcPr>
          <w:p>
            <w:r/>
            <w:r>
              <w:rPr>
                <w:b/>
                <w:sz w:val="17"/>
              </w:rPr>
              <w:t>Max (°C)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Jan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7.8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9.0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10.4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Feb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6.9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8.1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9.3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Mar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7.4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8.6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10.1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Apr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9.6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11.2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13.5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May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13.1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15.4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18.2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Jun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17.0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19.8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23.1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Jul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20.4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23.2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26.4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Aug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21.6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24.1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27.0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Sep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19.8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22.0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24.6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Oct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15.9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18.1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20.7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Nov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12.6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14.3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16.8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Dec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9.8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11.0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12.9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/>
                <w:sz w:val="17"/>
              </w:rPr>
              <w:t>Year</w:t>
            </w:r>
          </w:p>
        </w:tc>
        <w:tc>
          <w:tcPr>
            <w:tcW w:type="dxa" w:w="2409"/>
          </w:tcPr>
          <w:p>
            <w:r/>
            <w:r>
              <w:rPr>
                <w:b/>
                <w:sz w:val="17"/>
              </w:rPr>
              <w:t>6.9</w:t>
            </w:r>
          </w:p>
        </w:tc>
        <w:tc>
          <w:tcPr>
            <w:tcW w:type="dxa" w:w="2409"/>
          </w:tcPr>
          <w:p>
            <w:r/>
            <w:r>
              <w:rPr>
                <w:b/>
                <w:sz w:val="17"/>
              </w:rPr>
              <w:t>15.4</w:t>
            </w:r>
          </w:p>
        </w:tc>
        <w:tc>
          <w:tcPr>
            <w:tcW w:type="dxa" w:w="2409"/>
          </w:tcPr>
          <w:p>
            <w:r/>
            <w:r>
              <w:rPr>
                <w:b/>
                <w:sz w:val="17"/>
              </w:rPr>
              <w:t>27.0</w:t>
            </w:r>
          </w:p>
        </w:tc>
      </w:tr>
    </w:tbl>
    <w:p/>
    <w:p>
      <w:r>
        <w:rPr>
          <w:b w:val="0"/>
        </w:rPr>
        <w:t>At 30 m (lower layer) the temperature is stable at 14.5–15.5 °C all year. Note: the draft contract uses 16.0 °C as Site Reference seawater temperature; the measured annual mean at 12 m is 15.4 °C.</w:t>
      </w:r>
    </w:p>
    <w:p>
      <w:pPr>
        <w:pStyle w:val="Heading1"/>
      </w:pPr>
      <w:r>
        <w:t>4. Chemical quality (upper layer, 12 m; lower layer, 30 m for information)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val="clear" w:color="auto" w:fill="D6E6EE"/>
          </w:tcPr>
          <w:p>
            <w:r/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1606"/>
            <w:shd w:val="clear" w:color="auto" w:fill="D6E6EE"/>
          </w:tcPr>
          <w:p>
            <w:r/>
            <w:r>
              <w:rPr>
                <w:b/>
                <w:sz w:val="17"/>
              </w:rPr>
              <w:t>Unit</w:t>
            </w:r>
          </w:p>
        </w:tc>
        <w:tc>
          <w:tcPr>
            <w:tcW w:type="dxa" w:w="1606"/>
            <w:shd w:val="clear" w:color="auto" w:fill="D6E6EE"/>
          </w:tcPr>
          <w:p>
            <w:r/>
            <w:r>
              <w:rPr>
                <w:b/>
                <w:sz w:val="17"/>
              </w:rPr>
              <w:t>Upper layer min</w:t>
            </w:r>
          </w:p>
        </w:tc>
        <w:tc>
          <w:tcPr>
            <w:tcW w:type="dxa" w:w="1606"/>
            <w:shd w:val="clear" w:color="auto" w:fill="D6E6EE"/>
          </w:tcPr>
          <w:p>
            <w:r/>
            <w:r>
              <w:rPr>
                <w:b/>
                <w:sz w:val="17"/>
              </w:rPr>
              <w:t>Upper layer mean</w:t>
            </w:r>
          </w:p>
        </w:tc>
        <w:tc>
          <w:tcPr>
            <w:tcW w:type="dxa" w:w="1606"/>
            <w:shd w:val="clear" w:color="auto" w:fill="D6E6EE"/>
          </w:tcPr>
          <w:p>
            <w:r/>
            <w:r>
              <w:rPr>
                <w:b/>
                <w:sz w:val="17"/>
              </w:rPr>
              <w:t>Upper layer max</w:t>
            </w:r>
          </w:p>
        </w:tc>
        <w:tc>
          <w:tcPr>
            <w:tcW w:type="dxa" w:w="1606"/>
            <w:shd w:val="clear" w:color="auto" w:fill="D6E6EE"/>
          </w:tcPr>
          <w:p>
            <w:r/>
            <w:r>
              <w:rPr>
                <w:b/>
                <w:sz w:val="17"/>
              </w:rPr>
              <w:t>Lower layer mean</w:t>
            </w:r>
          </w:p>
        </w:tc>
      </w:tr>
      <w:tr>
        <w:trPr>
          <w:cantSplit/>
        </w:trPr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Salinity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PSU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21.8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23.6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26.1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38.2</w:t>
            </w:r>
          </w:p>
        </w:tc>
      </w:tr>
      <w:tr>
        <w:trPr>
          <w:cantSplit/>
        </w:trPr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Total dissolved solids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mg/l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22,100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24,000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26,600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39,000</w:t>
            </w:r>
          </w:p>
        </w:tc>
      </w:tr>
      <w:tr>
        <w:trPr>
          <w:cantSplit/>
        </w:trPr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Chloride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mg/l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12,000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13,100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14,500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21,200</w:t>
            </w:r>
          </w:p>
        </w:tc>
      </w:tr>
      <w:tr>
        <w:trPr>
          <w:cantSplit/>
        </w:trPr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Sodium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mg/l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6,700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7,300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8,100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11,800</w:t>
            </w:r>
          </w:p>
        </w:tc>
      </w:tr>
      <w:tr>
        <w:trPr>
          <w:cantSplit/>
        </w:trPr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Magnesium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mg/l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800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870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960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1,410</w:t>
            </w:r>
          </w:p>
        </w:tc>
      </w:tr>
      <w:tr>
        <w:trPr>
          <w:cantSplit/>
        </w:trPr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Calcium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mg/l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250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275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305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440</w:t>
            </w:r>
          </w:p>
        </w:tc>
      </w:tr>
      <w:tr>
        <w:trPr>
          <w:cantSplit/>
        </w:trPr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Potassium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mg/l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245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268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300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430</w:t>
            </w:r>
          </w:p>
        </w:tc>
      </w:tr>
      <w:tr>
        <w:trPr>
          <w:cantSplit/>
        </w:trPr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Sulphate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mg/l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1,700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1,830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2,020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2,960</w:t>
            </w:r>
          </w:p>
        </w:tc>
      </w:tr>
      <w:tr>
        <w:trPr>
          <w:cantSplit/>
        </w:trPr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Bicarbonate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mg/l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150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165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185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145</w:t>
            </w:r>
          </w:p>
        </w:tc>
      </w:tr>
      <w:tr>
        <w:trPr>
          <w:cantSplit/>
        </w:trPr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Boron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mg/l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2.4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2.9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3.4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4.5</w:t>
            </w:r>
          </w:p>
        </w:tc>
      </w:tr>
      <w:tr>
        <w:trPr>
          <w:cantSplit/>
        </w:trPr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Silica (SiO2)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mg/l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0.2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0.7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1.6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1.1</w:t>
            </w:r>
          </w:p>
        </w:tc>
      </w:tr>
      <w:tr>
        <w:trPr>
          <w:cantSplit/>
        </w:trPr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pH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7.9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8.15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8.35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7.8</w:t>
            </w:r>
          </w:p>
        </w:tc>
      </w:tr>
      <w:tr>
        <w:trPr>
          <w:cantSplit/>
        </w:trPr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Dissolved oxygen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mg/l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6.1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7.8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9.4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1.2 (occasionally 0)</w:t>
            </w:r>
          </w:p>
        </w:tc>
      </w:tr>
      <w:tr>
        <w:trPr>
          <w:cantSplit/>
        </w:trPr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H2S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mg/l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n.d.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n.d.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n.d.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up to 0.4</w:t>
            </w:r>
          </w:p>
        </w:tc>
      </w:tr>
      <w:tr>
        <w:trPr>
          <w:cantSplit/>
        </w:trPr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Ammonium (NH4-N)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mg/l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0.02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0.09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0.35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0.15</w:t>
            </w:r>
          </w:p>
        </w:tc>
      </w:tr>
      <w:tr>
        <w:trPr>
          <w:cantSplit/>
        </w:trPr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Iron (total)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mg/l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0.02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0.05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0.14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0.08</w:t>
            </w:r>
          </w:p>
        </w:tc>
      </w:tr>
      <w:tr>
        <w:trPr>
          <w:cantSplit/>
        </w:trPr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Manganese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mg/l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&lt; 0.01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0.01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0.04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0.03</w:t>
            </w:r>
          </w:p>
        </w:tc>
      </w:tr>
      <w:tr>
        <w:trPr>
          <w:cantSplit/>
        </w:trPr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TOC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mg/l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1.2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2.1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3.8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1.1</w:t>
            </w:r>
          </w:p>
        </w:tc>
      </w:tr>
      <w:tr>
        <w:trPr>
          <w:cantSplit/>
        </w:trPr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Oil and grease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mg/l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&lt; 0.2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&lt; 0.2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0.6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&lt; 0.2</w:t>
            </w:r>
          </w:p>
        </w:tc>
      </w:tr>
      <w:tr>
        <w:trPr>
          <w:cantSplit/>
        </w:trPr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Total suspended solids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mg/l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48 (storm: 140)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Turbidity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NTU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0.8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22 (storm: 65)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1.5</w:t>
            </w:r>
          </w:p>
        </w:tc>
      </w:tr>
      <w:tr>
        <w:trPr>
          <w:cantSplit/>
        </w:trPr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SDI15 (raw)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4.8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&gt; 5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not measurable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-</w:t>
            </w:r>
          </w:p>
        </w:tc>
      </w:tr>
      <w:tr>
        <w:trPr>
          <w:cantSplit/>
        </w:trPr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Chlorophyll-a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µg/l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0.5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2.8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1606"/>
          </w:tcPr>
          <w:p>
            <w:r/>
            <w:r>
              <w:rPr>
                <w:b w:val="0"/>
                <w:sz w:val="17"/>
              </w:rPr>
              <w:t>0.3</w:t>
            </w:r>
          </w:p>
        </w:tc>
      </w:tr>
    </w:tbl>
    <w:p/>
    <w:p>
      <w:r>
        <w:rPr>
          <w:b w:val="0"/>
        </w:rPr>
        <w:t>n.d. = not detected (&lt; 0.02 mg/l).</w:t>
      </w:r>
    </w:p>
    <w:p>
      <w:pPr>
        <w:pStyle w:val="Heading1"/>
      </w:pPr>
      <w:r>
        <w:t>5. Biology and fouling</w:t>
      </w:r>
    </w:p>
    <w:p>
      <w:pPr>
        <w:pStyle w:val="ListBullet"/>
      </w:pPr>
      <w:r>
        <w:rPr>
          <w:b w:val="0"/>
        </w:rPr>
        <w:t>Mussel (Mytilus galloprovincialis) settlement May–October, heavy.</w:t>
      </w:r>
    </w:p>
    <w:p>
      <w:pPr>
        <w:pStyle w:val="ListBullet"/>
      </w:pPr>
      <w:r>
        <w:rPr>
          <w:b w:val="0"/>
        </w:rPr>
        <w:t>Jellyfish blooms (Aurelia aurita, Mnemiopsis leidyi): up to 20 kg/m³ of seawater locally during blooms (June–September).</w:t>
      </w:r>
    </w:p>
    <w:p>
      <w:pPr>
        <w:pStyle w:val="ListBullet"/>
      </w:pPr>
      <w:r>
        <w:rPr>
          <w:b/>
        </w:rPr>
        <w:t>Mucilage ("sea snot") events</w:t>
      </w:r>
      <w:r>
        <w:rPr>
          <w:b w:val="0"/>
        </w:rPr>
        <w:t>: severe episodes in 2007 and 2021 (May–July) covering the surface and water column down to 25 m;</w:t>
      </w:r>
      <w:r>
        <w:rPr>
          <w:b w:val="0"/>
        </w:rPr>
        <w:t xml:space="preserve"> the Owner requires the intake and screens to remain operable during such events.</w:t>
      </w:r>
    </w:p>
    <w:p>
      <w:pPr>
        <w:pStyle w:val="ListBullet"/>
      </w:pPr>
      <w:r>
        <w:rPr>
          <w:b w:val="0"/>
        </w:rPr>
        <w:t>Fish spawning season (restriction on marine works per EIA): 1 May – 30 September.</w:t>
      </w:r>
    </w:p>
    <w:p>
      <w:pPr>
        <w:pStyle w:val="Heading1"/>
      </w:pPr>
      <w:r>
        <w:t>6. Owner requirements arising</w:t>
      </w:r>
    </w:p>
    <w:p>
      <w:pPr>
        <w:pStyle w:val="ListBullet"/>
      </w:pPr>
      <w:r>
        <w:rPr>
          <w:b w:val="0"/>
        </w:rPr>
        <w:t>Intake above the pycnocline, recommended depth −12 m, at least 3 m above seabed, velocity cap, intake velocity ≤ 0.15 m/s.</w:t>
      </w:r>
    </w:p>
    <w:p>
      <w:pPr>
        <w:pStyle w:val="ListBullet"/>
      </w:pPr>
      <w:r>
        <w:rPr>
          <w:b w:val="0"/>
        </w:rPr>
        <w:t>Outfall at least 250 m from the intake, discharge in the upper layer.</w:t>
      </w:r>
    </w:p>
    <w:p>
      <w:pPr>
        <w:pStyle w:val="ListBullet"/>
      </w:pPr>
      <w:r>
        <w:rPr>
          <w:b w:val="0"/>
        </w:rPr>
        <w:t>Materials: all seawater-wetted parts for chloride up to 14,500 mg/l and occasional H2S.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Owner document - controlled copy when printed from the project repository.  CASE STUDY - fictional. 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6"/>
      </w:rPr>
      <w:t>Alpilla Enerji Üretim A.Ş.</w:t>
    </w:r>
    <w:r>
      <w:rPr>
        <w:b w:val="0"/>
        <w:sz w:val="16"/>
      </w:rPr>
      <w:t xml:space="preserve">  |  Alpilla 600 MW CCGT  |  ALP-OWN-MAR-001 Rev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0B4F6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0B4F6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