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0B4F6C"/>
          <w:sz w:val="28"/>
        </w:rPr>
        <w:t>Alpilla Enerji Üretim A.Ş.</w:t>
      </w:r>
    </w:p>
    <w:p>
      <w:pPr>
        <w:jc w:val="center"/>
      </w:pPr>
      <w:r>
        <w:t>Alpilla 600 MW Combined Cycle Power Plant</w:t>
      </w:r>
    </w:p>
    <w:p/>
    <w:p>
      <w:pPr>
        <w:jc w:val="center"/>
      </w:pPr>
      <w:r>
        <w:rPr>
          <w:b/>
          <w:sz w:val="36"/>
        </w:rPr>
        <w:t>Meteorological and Ambient Air Data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ALP-OWN-MET-001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2026-09-10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Issued for tender / contract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20"/>
              </w:rPr>
              <w:t>Confidentiality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20"/>
              </w:rPr>
              <w:t>Restricted - Contract ALP-EPC-001 parties only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1984"/>
            <w:shd w:val="clear" w:color="auto" w:fill="D6E6EE"/>
          </w:tcPr>
          <w:p>
            <w:r/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Prepared</w:t>
            </w:r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Checked</w:t>
            </w:r>
          </w:p>
        </w:tc>
        <w:tc>
          <w:tcPr>
            <w:tcW w:type="dxa" w:w="2551"/>
            <w:shd w:val="clear" w:color="auto" w:fill="D6E6EE"/>
          </w:tcPr>
          <w:p>
            <w:r/>
            <w:r>
              <w:rPr>
                <w:b/>
                <w:sz w:val="18"/>
              </w:rPr>
              <w:t>Approved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Engineer (discipline lead)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Engineer (project engineer)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Owner's Project Director</w:t>
            </w:r>
          </w:p>
        </w:tc>
      </w:tr>
      <w:tr>
        <w:trPr>
          <w:cantSplit/>
        </w:trPr>
        <w:tc>
          <w:tcPr>
            <w:tcW w:type="dxa" w:w="1984"/>
          </w:tcPr>
          <w:p>
            <w:r/>
            <w:r>
              <w:rPr>
                <w:b w:val="0"/>
                <w:sz w:val="18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2026-09-10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2026-09-10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8"/>
              </w:rPr>
              <w:t>signed 2026-09-10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  <w:tblHeader/>
        </w:trPr>
        <w:tc>
          <w:tcPr>
            <w:tcW w:type="dxa" w:w="850"/>
            <w:shd w:val="clear" w:color="auto" w:fill="D6E6EE"/>
          </w:tcPr>
          <w:p>
            <w:r/>
            <w:r>
              <w:rPr>
                <w:b/>
                <w:sz w:val="18"/>
              </w:rPr>
              <w:t>Rev</w:t>
            </w:r>
          </w:p>
        </w:tc>
        <w:tc>
          <w:tcPr>
            <w:tcW w:type="dxa" w:w="1701"/>
            <w:shd w:val="clear" w:color="auto" w:fill="D6E6EE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7087"/>
            <w:shd w:val="clear" w:color="auto" w:fill="D6E6EE"/>
          </w:tcPr>
          <w:p>
            <w:r/>
            <w:r>
              <w:rPr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8"/>
              </w:rPr>
              <w:t>2026-09-10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8"/>
              </w:rPr>
              <w:t>Issued for tender / contract</w:t>
            </w:r>
          </w:p>
        </w:tc>
      </w:tr>
    </w:tbl>
    <w:p/>
    <w:p>
      <w:pPr>
        <w:jc w:val="center"/>
      </w:pPr>
      <w:r>
        <w:rPr>
          <w:i/>
          <w:sz w:val="16"/>
        </w:rPr>
        <w:t>CASE STUDY - all organisations, data and signatures are fictional.</w:t>
      </w:r>
    </w:p>
    <w:p>
      <w:r>
        <w:br w:type="page"/>
      </w:r>
    </w:p>
    <w:p>
      <w:pPr>
        <w:pStyle w:val="Heading1"/>
      </w:pPr>
      <w:r>
        <w:t>1. Basis</w:t>
      </w:r>
    </w:p>
    <w:p>
      <w:r>
        <w:rPr>
          <w:b w:val="0"/>
        </w:rPr>
        <w:t>Ten years (2015–2024) of hourly records from the Owner's on-site meteorological mast (installed 2014, 10 m and 60 m levels), checked against the nearest state meteorological station (22 km) and ERA5 reanalysis. Extremes use the state station's 1960–2024 record.</w:t>
      </w:r>
    </w:p>
    <w:p>
      <w:pPr>
        <w:pStyle w:val="Heading1"/>
      </w:pPr>
      <w:r>
        <w:t>2. Air temperature (dry bulb, 2 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  <w:tblHeader/>
        </w:trPr>
        <w:tc>
          <w:tcPr>
            <w:tcW w:type="dxa" w:w="1377"/>
            <w:shd w:val="clear" w:color="auto" w:fill="D6E6EE"/>
          </w:tcPr>
          <w:p>
            <w:r/>
            <w:r>
              <w:rPr>
                <w:b/>
                <w:sz w:val="17"/>
              </w:rPr>
              <w:t>Month</w:t>
            </w:r>
          </w:p>
        </w:tc>
        <w:tc>
          <w:tcPr>
            <w:tcW w:type="dxa" w:w="1377"/>
            <w:shd w:val="clear" w:color="auto" w:fill="D6E6EE"/>
          </w:tcPr>
          <w:p>
            <w:r/>
            <w:r>
              <w:rPr>
                <w:b/>
                <w:sz w:val="17"/>
              </w:rPr>
              <w:t>Mean (°C)</w:t>
            </w:r>
          </w:p>
        </w:tc>
        <w:tc>
          <w:tcPr>
            <w:tcW w:type="dxa" w:w="1377"/>
            <w:shd w:val="clear" w:color="auto" w:fill="D6E6EE"/>
          </w:tcPr>
          <w:p>
            <w:r/>
            <w:r>
              <w:rPr>
                <w:b/>
                <w:sz w:val="17"/>
              </w:rPr>
              <w:t>Mean daily max (°C)</w:t>
            </w:r>
          </w:p>
        </w:tc>
        <w:tc>
          <w:tcPr>
            <w:tcW w:type="dxa" w:w="1377"/>
            <w:shd w:val="clear" w:color="auto" w:fill="D6E6EE"/>
          </w:tcPr>
          <w:p>
            <w:r/>
            <w:r>
              <w:rPr>
                <w:b/>
                <w:sz w:val="17"/>
              </w:rPr>
              <w:t>Mean daily min (°C)</w:t>
            </w:r>
          </w:p>
        </w:tc>
        <w:tc>
          <w:tcPr>
            <w:tcW w:type="dxa" w:w="1377"/>
            <w:shd w:val="clear" w:color="auto" w:fill="D6E6EE"/>
          </w:tcPr>
          <w:p>
            <w:r/>
            <w:r>
              <w:rPr>
                <w:b/>
                <w:sz w:val="17"/>
              </w:rPr>
              <w:t>Abs. max (°C)</w:t>
            </w:r>
          </w:p>
        </w:tc>
        <w:tc>
          <w:tcPr>
            <w:tcW w:type="dxa" w:w="1377"/>
            <w:shd w:val="clear" w:color="auto" w:fill="D6E6EE"/>
          </w:tcPr>
          <w:p>
            <w:r/>
            <w:r>
              <w:rPr>
                <w:b/>
                <w:sz w:val="17"/>
              </w:rPr>
              <w:t>Abs. min (°C)</w:t>
            </w:r>
          </w:p>
        </w:tc>
        <w:tc>
          <w:tcPr>
            <w:tcW w:type="dxa" w:w="1377"/>
            <w:shd w:val="clear" w:color="auto" w:fill="D6E6EE"/>
          </w:tcPr>
          <w:p>
            <w:r/>
            <w:r>
              <w:rPr>
                <w:b/>
                <w:sz w:val="17"/>
              </w:rPr>
              <w:t>Mean RH (%)</w:t>
            </w:r>
          </w:p>
        </w:tc>
      </w:tr>
      <w:tr>
        <w:trPr>
          <w:cantSplit/>
        </w:trPr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Jan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6.1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9.2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3.3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20.8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-11.4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Feb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6.6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10.1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23.1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-9.6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78</w:t>
            </w:r>
          </w:p>
        </w:tc>
      </w:tr>
      <w:tr>
        <w:trPr>
          <w:cantSplit/>
        </w:trPr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Mar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8.6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12.6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27.9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-6.2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77</w:t>
            </w:r>
          </w:p>
        </w:tc>
      </w:tr>
      <w:tr>
        <w:trPr>
          <w:cantSplit/>
        </w:trPr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Apr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12.5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16.9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8.6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30.4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-1.1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75</w:t>
            </w:r>
          </w:p>
        </w:tc>
      </w:tr>
      <w:tr>
        <w:trPr>
          <w:cantSplit/>
        </w:trPr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May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17.2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21.6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13.1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33.5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4.8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73</w:t>
            </w:r>
          </w:p>
        </w:tc>
      </w:tr>
      <w:tr>
        <w:trPr>
          <w:cantSplit/>
        </w:trPr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Jun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22.0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26.4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17.6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37.2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9.4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69</w:t>
            </w:r>
          </w:p>
        </w:tc>
      </w:tr>
      <w:tr>
        <w:trPr>
          <w:cantSplit/>
        </w:trPr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Jul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24.6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29.0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20.3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39.6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13.1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66</w:t>
            </w:r>
          </w:p>
        </w:tc>
      </w:tr>
      <w:tr>
        <w:trPr>
          <w:cantSplit/>
        </w:trPr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Aug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24.5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28.9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20.4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38.8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13.5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67</w:t>
            </w:r>
          </w:p>
        </w:tc>
      </w:tr>
      <w:tr>
        <w:trPr>
          <w:cantSplit/>
        </w:trPr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Sep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20.6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25.0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16.6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35.2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7.9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70</w:t>
            </w:r>
          </w:p>
        </w:tc>
      </w:tr>
      <w:tr>
        <w:trPr>
          <w:cantSplit/>
        </w:trPr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Oct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16.0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20.1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12.4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31.0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1.2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75</w:t>
            </w:r>
          </w:p>
        </w:tc>
      </w:tr>
      <w:tr>
        <w:trPr>
          <w:cantSplit/>
        </w:trPr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Nov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11.5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15.2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8.2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26.3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-4.3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78</w:t>
            </w:r>
          </w:p>
        </w:tc>
      </w:tr>
      <w:tr>
        <w:trPr>
          <w:cantSplit/>
        </w:trPr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Dec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8.0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11.3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21.7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-8.8</w:t>
            </w:r>
          </w:p>
        </w:tc>
        <w:tc>
          <w:tcPr>
            <w:tcW w:type="dxa" w:w="1377"/>
          </w:tcPr>
          <w:p>
            <w:r/>
            <w:r>
              <w:rPr>
                <w:b w:val="0"/>
                <w:sz w:val="17"/>
              </w:rPr>
              <w:t>80</w:t>
            </w:r>
          </w:p>
        </w:tc>
      </w:tr>
      <w:tr>
        <w:trPr>
          <w:cantSplit/>
        </w:trPr>
        <w:tc>
          <w:tcPr>
            <w:tcW w:type="dxa" w:w="1377"/>
          </w:tcPr>
          <w:p>
            <w:r/>
            <w:r>
              <w:rPr>
                <w:b/>
                <w:sz w:val="17"/>
              </w:rPr>
              <w:t>Year</w:t>
            </w:r>
          </w:p>
        </w:tc>
        <w:tc>
          <w:tcPr>
            <w:tcW w:type="dxa" w:w="1377"/>
          </w:tcPr>
          <w:p>
            <w:r/>
            <w:r>
              <w:rPr>
                <w:b/>
                <w:sz w:val="17"/>
              </w:rPr>
              <w:t>14.9</w:t>
            </w:r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</w:p>
        </w:tc>
        <w:tc>
          <w:tcPr>
            <w:tcW w:type="dxa" w:w="1377"/>
          </w:tcPr>
          <w:p>
            <w:r/>
            <w:r>
              <w:rPr>
                <w:b/>
                <w:sz w:val="17"/>
              </w:rPr>
              <w:t>39.6</w:t>
            </w:r>
          </w:p>
        </w:tc>
        <w:tc>
          <w:tcPr>
            <w:tcW w:type="dxa" w:w="1377"/>
          </w:tcPr>
          <w:p>
            <w:r/>
            <w:r>
              <w:rPr>
                <w:b/>
                <w:sz w:val="17"/>
              </w:rPr>
              <w:t>-11.4</w:t>
            </w:r>
          </w:p>
        </w:tc>
        <w:tc>
          <w:tcPr>
            <w:tcW w:type="dxa" w:w="1377"/>
          </w:tcPr>
          <w:p>
            <w:r/>
            <w:r>
              <w:rPr>
                <w:b/>
                <w:sz w:val="17"/>
              </w:rPr>
              <w:t>74</w:t>
            </w:r>
          </w:p>
        </w:tc>
      </w:tr>
    </w:tbl>
    <w:p/>
    <w:p>
      <w:pPr>
        <w:pStyle w:val="Heading1"/>
      </w:pPr>
      <w:r>
        <w:t>3. Design points (derived by the Owner)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val="clear" w:color="auto" w:fill="D6E6EE"/>
          </w:tcPr>
          <w:p>
            <w:r/>
            <w:r>
              <w:rPr>
                <w:b/>
                <w:sz w:val="17"/>
              </w:rPr>
              <w:t>Design point</w:t>
            </w:r>
          </w:p>
        </w:tc>
        <w:tc>
          <w:tcPr>
            <w:tcW w:type="dxa" w:w="2409"/>
            <w:shd w:val="clear" w:color="auto" w:fill="D6E6EE"/>
          </w:tcPr>
          <w:p>
            <w:r/>
            <w:r>
              <w:rPr>
                <w:b/>
                <w:sz w:val="17"/>
              </w:rPr>
              <w:t>Dry bulb (°C)</w:t>
            </w:r>
          </w:p>
        </w:tc>
        <w:tc>
          <w:tcPr>
            <w:tcW w:type="dxa" w:w="2409"/>
            <w:shd w:val="clear" w:color="auto" w:fill="D6E6EE"/>
          </w:tcPr>
          <w:p>
            <w:r/>
            <w:r>
              <w:rPr>
                <w:b/>
                <w:sz w:val="17"/>
              </w:rPr>
              <w:t>Coincident RH (%)</w:t>
            </w:r>
          </w:p>
        </w:tc>
        <w:tc>
          <w:tcPr>
            <w:tcW w:type="dxa" w:w="2409"/>
            <w:shd w:val="clear" w:color="auto" w:fill="D6E6EE"/>
          </w:tcPr>
          <w:p>
            <w:r/>
            <w:r>
              <w:rPr>
                <w:b/>
                <w:sz w:val="17"/>
              </w:rPr>
              <w:t>Remark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Summer 0.4 % exceedance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32.8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cooling / HVAC design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Summer 1 % exceedance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31.5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52</w:t>
            </w:r>
          </w:p>
        </w:tc>
        <w:tc>
          <w:tcPr>
            <w:tcW w:type="dxa" w:w="2409"/>
          </w:tcPr>
          <w:p>
            <w:r/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Annual average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14.9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74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the contract Site Reference Condition uses 15.0 °C / 70 %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Winter 99 %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-2.6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85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heating / freeze protection</w:t>
            </w:r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Winter 99.6 %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-4.8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88</w:t>
            </w:r>
          </w:p>
        </w:tc>
        <w:tc>
          <w:tcPr>
            <w:tcW w:type="dxa" w:w="2409"/>
          </w:tcPr>
          <w:p>
            <w:r/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Record maximum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39.6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409"/>
          </w:tcPr>
          <w:p>
            <w:r/>
          </w:p>
        </w:tc>
      </w:tr>
      <w:tr>
        <w:trPr>
          <w:cantSplit/>
        </w:trPr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Record minimum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-11.4</w:t>
            </w:r>
          </w:p>
        </w:tc>
        <w:tc>
          <w:tcPr>
            <w:tcW w:type="dxa" w:w="2409"/>
          </w:tcPr>
          <w:p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2409"/>
          </w:tcPr>
          <w:p>
            <w:r/>
          </w:p>
        </w:tc>
      </w:tr>
    </w:tbl>
    <w:p/>
    <w:p>
      <w:r>
        <w:rPr>
          <w:b w:val="0"/>
        </w:rPr>
        <w:t>Barometric pressure: annual mean 1011.5 mbar at site grade (+15.0 m); range 985–1038 mbar. Relative humidity range: 18 % (foehn, rare) to 100 % (fog). Fog: 21 days/year, mostly November–February.</w:t>
      </w:r>
    </w:p>
    <w:p>
      <w:pPr>
        <w:pStyle w:val="Heading1"/>
      </w:pPr>
      <w:r>
        <w:t>4. Wind</w:t>
      </w:r>
    </w:p>
    <w:p>
      <w:r>
        <w:rPr>
          <w:b w:val="0"/>
        </w:rPr>
        <w:t>Prevailing directions: NE (poyraz, 38 % of hours) and SW (lodos, 22 %). Lodos storms bring onshore wind with sea spray. Mean wind speed at 10 m: 4.6 m/s. Basic wind speed (10 min, 10 m, 50-year): 30 m/s. Maximum recorded gust: 38 m/s (SW, 2019).</w:t>
      </w:r>
    </w:p>
    <w:p>
      <w:pPr>
        <w:pStyle w:val="Heading1"/>
      </w:pPr>
      <w:r>
        <w:t>5. Precipitation, snow, lightning</w:t>
      </w:r>
    </w:p>
    <w:p>
      <w:r>
        <w:rPr>
          <w:b w:val="0"/>
        </w:rPr>
        <w:t>Annual precipitation 680 mm (max 24 h: 142 mm, 2021). Design intensity 110 mm/h (10 min, 25-year). Snow: 6 days/year on average, maximum recorded depth 34 cm; ground snow load 0.75 kN/m². Thunderstorm days: 26/year; ground flash density 2.4 flashes/km²/year.</w:t>
      </w:r>
    </w:p>
    <w:p>
      <w:pPr>
        <w:pStyle w:val="Heading1"/>
      </w:pPr>
      <w:r>
        <w:t>6. Airborne salt and dust (measured by the Owner, 2023–2025)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  <w:tblHeader/>
        </w:trPr>
        <w:tc>
          <w:tcPr>
            <w:tcW w:type="dxa" w:w="1928"/>
            <w:shd w:val="clear" w:color="auto" w:fill="D6E6EE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1928"/>
            <w:shd w:val="clear" w:color="auto" w:fill="D6E6EE"/>
          </w:tcPr>
          <w:p>
            <w:r/>
            <w:r>
              <w:rPr>
                <w:b/>
                <w:sz w:val="17"/>
              </w:rPr>
              <w:t>Annual mean</w:t>
            </w:r>
          </w:p>
        </w:tc>
        <w:tc>
          <w:tcPr>
            <w:tcW w:type="dxa" w:w="1928"/>
            <w:shd w:val="clear" w:color="auto" w:fill="D6E6EE"/>
          </w:tcPr>
          <w:p>
            <w:r/>
            <w:r>
              <w:rPr>
                <w:b/>
                <w:sz w:val="17"/>
              </w:rPr>
              <w:t>95th percentile</w:t>
            </w:r>
          </w:p>
        </w:tc>
        <w:tc>
          <w:tcPr>
            <w:tcW w:type="dxa" w:w="1928"/>
            <w:shd w:val="clear" w:color="auto" w:fill="D6E6EE"/>
          </w:tcPr>
          <w:p>
            <w:r/>
            <w:r>
              <w:rPr>
                <w:b/>
                <w:sz w:val="17"/>
              </w:rPr>
              <w:t>Maximum (event)</w:t>
            </w:r>
          </w:p>
        </w:tc>
        <w:tc>
          <w:tcPr>
            <w:tcW w:type="dxa" w:w="1928"/>
            <w:shd w:val="clear" w:color="auto" w:fill="D6E6EE"/>
          </w:tcPr>
          <w:p>
            <w:r/>
            <w:r>
              <w:rPr>
                <w:b/>
                <w:sz w:val="17"/>
              </w:rPr>
              <w:t>Remark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Sea-salt aerosol (as NaCl), at 10 m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14 µg/m³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62 µg/m³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165 µg/m³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lodos storms, 2–4 events/year of 1–3 days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Sodium (Na) in PM10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4.5 µg/m³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20 µg/m³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54 µg/m³</w:t>
            </w:r>
          </w:p>
        </w:tc>
        <w:tc>
          <w:tcPr>
            <w:tcW w:type="dxa" w:w="1928"/>
          </w:tcPr>
          <w:p>
            <w:r/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Chloride deposition (ISO 9225 wet candle)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180 mg/m²·day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420 mg/m²·day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ISO 9223 category S3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PM10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34 µg/m³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78 µg/m³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260 µg/m³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Saharan dust episodes in spring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PM2.5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18 µg/m³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41 µg/m³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120 µg/m³</w:t>
            </w:r>
          </w:p>
        </w:tc>
        <w:tc>
          <w:tcPr>
            <w:tcW w:type="dxa" w:w="1928"/>
          </w:tcPr>
          <w:p>
            <w:r/>
          </w:p>
        </w:tc>
      </w:tr>
    </w:tbl>
    <w:p/>
    <w:p>
      <w:r>
        <w:rPr>
          <w:b w:val="0"/>
        </w:rPr>
        <w:t>Atmospheric corrosivity per ISO 9223 is C5 (chloride-driven). The Owner considers salt ingestion into the gas turbine a major risk and expects the inlet air filtration to be designed for the event maximum above.</w:t>
      </w:r>
    </w:p>
    <w:p>
      <w:pPr>
        <w:pStyle w:val="Heading1"/>
      </w:pPr>
      <w:r>
        <w:t>7. Performance test correction range</w:t>
      </w:r>
    </w:p>
    <w:p>
      <w:r>
        <w:rPr>
          <w:b w:val="0"/>
        </w:rPr>
        <w:t>The Owner proposes that performance tests may be carried out at ambient temperatures between 5 °C and 30 °C; outside this range the test shall be postponed unless both Parties agree.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Owner document - controlled copy when printed from the project repository.  CASE STUDY - fictional. 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6"/>
      </w:rPr>
      <w:t>Alpilla Enerji Üretim A.Ş.</w:t>
    </w:r>
    <w:r>
      <w:rPr>
        <w:b w:val="0"/>
        <w:sz w:val="16"/>
      </w:rPr>
      <w:t xml:space="preserve">  |  Alpilla 600 MW CCGT  |  ALP-OWN-MET-001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0B4F6C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0B4F6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