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Basic Design Package batch 1 approved and power island order</w:t>
            </w:r>
          </w:p>
        </w:tc>
        <w:tc>
          <w:tcPr>
            <w:tcW w:type="dxa" w:w="4819"/>
          </w:tcPr>
          <w:p>
            <w:r>
              <w:rPr>
                <w:sz w:val="16"/>
              </w:rPr>
              <w:t>Owner approval of the Basic Design Package batch 1 (design bases, heat balances, PFDs, key SLD, plot plan, layouts, DCS architecture) and evidence of firm power island sub-orders</w:t>
            </w:r>
          </w:p>
        </w:tc>
        <w:tc>
          <w:tcPr>
            <w:tcW w:type="dxa" w:w="1247"/>
          </w:tcPr>
          <w:p>
            <w:r>
              <w:rPr>
                <w:sz w:val="16"/>
              </w:rPr>
              <w:t>5</w:t>
            </w:r>
          </w:p>
        </w:tc>
        <w:tc>
          <w:tcPr>
            <w:tcW w:type="dxa" w:w="907"/>
          </w:tcPr>
          <w:p>
            <w:r>
              <w:rPr>
                <w:sz w:val="16"/>
              </w:rPr>
              <w:t>4 %</w:t>
            </w:r>
          </w:p>
        </w:tc>
        <w:tc>
          <w:tcPr>
            <w:tcW w:type="dxa" w:w="1984"/>
          </w:tcPr>
          <w:p>
            <w:r>
              <w:rPr>
                <w:sz w:val="16"/>
              </w:rPr>
              <w:t>EUR 21,299,200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MS-13</w:t>
            </w:r>
          </w:p>
        </w:tc>
        <w:tc>
          <w:tcPr>
            <w:tcW w:type="dxa" w:w="2835"/>
          </w:tcPr>
          <w:p>
            <w:r>
              <w:rPr>
                <w:sz w:val="16"/>
              </w:rPr>
              <w:t>Basic Design Package batch 2 approved</w:t>
            </w:r>
          </w:p>
        </w:tc>
        <w:tc>
          <w:tcPr>
            <w:tcW w:type="dxa" w:w="4819"/>
          </w:tcPr>
          <w:p>
            <w:r>
              <w:rPr>
                <w:sz w:val="16"/>
              </w:rPr>
              <w:t>Owner approval of the Basic Design Package batch 2 (BOP P&amp;IDs)</w:t>
            </w:r>
          </w:p>
        </w:tc>
        <w:tc>
          <w:tcPr>
            <w:tcW w:type="dxa" w:w="1247"/>
          </w:tcPr>
          <w:p>
            <w:r>
              <w:rPr>
                <w:sz w:val="16"/>
              </w:rPr>
              <w:t>9</w:t>
            </w:r>
          </w:p>
        </w:tc>
        <w:tc>
          <w:tcPr>
            <w:tcW w:type="dxa" w:w="907"/>
          </w:tcPr>
          <w:p>
            <w:r>
              <w:rPr>
                <w:sz w:val="16"/>
              </w:rPr>
              <w:t>4 %</w:t>
            </w:r>
          </w:p>
        </w:tc>
        <w:tc>
          <w:tcPr>
            <w:tcW w:type="dxa" w:w="1984"/>
          </w:tcPr>
          <w:p>
            <w:r>
              <w:rPr>
                <w:sz w:val="16"/>
              </w:rPr>
              <w:t>EUR 21,299,200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density at 15 degC</w:t>
            </w:r>
          </w:p>
        </w:tc>
        <w:tc>
          <w:tcPr>
            <w:tcW w:type="dxa" w:w="1701"/>
          </w:tcPr>
          <w:p>
            <w:r>
              <w:rPr>
                <w:sz w:val="16"/>
              </w:rPr>
              <w:t>820 to 845 (840 for sizing)</w:t>
            </w:r>
          </w:p>
        </w:tc>
        <w:tc>
          <w:tcPr>
            <w:tcW w:type="dxa" w:w="1361"/>
          </w:tcPr>
          <w:p>
            <w:r>
              <w:rPr>
                <w:sz w:val="16"/>
              </w:rPr>
              <w:t>kg/m3</w:t>
            </w:r>
          </w:p>
        </w:tc>
        <w:tc>
          <w:tcPr>
            <w:tcW w:type="dxa" w:w="3969"/>
          </w:tcPr>
          <w:p>
            <w:r>
              <w:rPr>
                <w:sz w:val="16"/>
              </w:rPr>
            </w:r>
          </w:p>
        </w:tc>
        <w:tc>
          <w:tcPr>
            <w:tcW w:type="dxa" w:w="1701"/>
          </w:tcPr>
          <w:p>
            <w:r>
              <w:rPr>
                <w:sz w:val="16"/>
              </w:rPr>
              <w:t>REF-CONS-0096, SRC-OWNR-0004</w:t>
            </w:r>
          </w:p>
        </w:tc>
      </w:tr>
      <w:tr>
        <w:tc>
          <w:tcPr>
            <w:tcW w:type="dxa" w:w="1361"/>
          </w:tcPr>
          <w:p>
            <w:r>
              <w:rPr>
                <w:sz w:val="16"/>
              </w:rPr>
              <w:t>backup fuel</w:t>
            </w:r>
          </w:p>
        </w:tc>
        <w:tc>
          <w:tcPr>
            <w:tcW w:type="dxa" w:w="4252"/>
          </w:tcPr>
          <w:p>
            <w:r>
              <w:rPr>
                <w:sz w:val="16"/>
              </w:rPr>
              <w:t>LDO flash point</w:t>
            </w:r>
          </w:p>
        </w:tc>
        <w:tc>
          <w:tcPr>
            <w:tcW w:type="dxa" w:w="1701"/>
          </w:tcPr>
          <w:p>
            <w:r>
              <w:rPr>
                <w:sz w:val="16"/>
              </w:rPr>
              <w:t>55</w:t>
            </w:r>
          </w:p>
        </w:tc>
        <w:tc>
          <w:tcPr>
            <w:tcW w:type="dxa" w:w="1361"/>
          </w:tcPr>
          <w:p>
            <w:r>
              <w:rPr>
                <w:sz w:val="16"/>
              </w:rPr>
              <w:t>degC</w:t>
            </w:r>
          </w:p>
        </w:tc>
        <w:tc>
          <w:tcPr>
            <w:tcW w:type="dxa" w:w="3969"/>
          </w:tcPr>
          <w:p>
            <w:r>
              <w:rPr>
                <w:sz w:val="16"/>
              </w:rPr>
              <w:t>minimum, EN ISO 2719</w:t>
            </w:r>
          </w:p>
        </w:tc>
        <w:tc>
          <w:tcPr>
            <w:tcW w:type="dxa" w:w="1701"/>
          </w:tcPr>
          <w:p>
            <w:r>
              <w:rPr>
                <w:sz w:val="16"/>
              </w:rPr>
              <w:t>SRC-OWNR-0004</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CO on LDO</w:t>
            </w:r>
          </w:p>
        </w:tc>
        <w:tc>
          <w:tcPr>
            <w:tcW w:type="dxa" w:w="1701"/>
          </w:tcPr>
          <w:p>
            <w:r>
              <w:rPr>
                <w:sz w:val="16"/>
              </w:rPr>
              <w:t>50</w:t>
            </w:r>
          </w:p>
        </w:tc>
        <w:tc>
          <w:tcPr>
            <w:tcW w:type="dxa" w:w="1361"/>
          </w:tcPr>
          <w:p>
            <w:r>
              <w:rPr>
                <w:sz w:val="16"/>
              </w:rPr>
              <w:t>mg/Nm3</w:t>
            </w:r>
          </w:p>
        </w:tc>
        <w:tc>
          <w:tcPr>
            <w:tcW w:type="dxa" w:w="3969"/>
          </w:tcPr>
          <w:p>
            <w:r>
              <w:rPr>
                <w:sz w:val="16"/>
              </w:rPr>
              <w:t>dry, 15 % O2, 70-100 % GT load</w:t>
            </w:r>
          </w:p>
        </w:tc>
        <w:tc>
          <w:tcPr>
            <w:tcW w:type="dxa" w:w="1701"/>
          </w:tcPr>
          <w:p>
            <w:r>
              <w:rPr>
                <w:sz w:val="16"/>
              </w:rPr>
              <w:t>SRC-OWNR-0007, ER-14.02</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120000</w:t>
            </w:r>
          </w:p>
        </w:tc>
        <w:tc>
          <w:tcPr>
            <w:tcW w:type="dxa" w:w="1361"/>
          </w:tcPr>
          <w:p>
            <w:r>
              <w:rPr>
                <w:sz w:val="16"/>
              </w:rPr>
              <w:t>Sm3/h</w:t>
            </w:r>
          </w:p>
        </w:tc>
        <w:tc>
          <w:tcPr>
            <w:tcW w:type="dxa" w:w="3969"/>
          </w:tcPr>
          <w:p>
            <w:r>
              <w:rPr>
                <w:sz w:val="16"/>
              </w:rPr>
              <w:t>firm from the first gas date (TQ-040), 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noise</w:t>
            </w:r>
          </w:p>
        </w:tc>
        <w:tc>
          <w:tcPr>
            <w:tcW w:type="dxa" w:w="4252"/>
          </w:tcPr>
          <w:p>
            <w:r>
              <w:rPr>
                <w:sz w:val="16"/>
              </w:rPr>
              <w:t>Noise at nearest receptor (day)</w:t>
            </w:r>
          </w:p>
        </w:tc>
        <w:tc>
          <w:tcPr>
            <w:tcW w:type="dxa" w:w="1701"/>
          </w:tcPr>
          <w:p>
            <w:r>
              <w:rPr>
                <w:sz w:val="16"/>
              </w:rPr>
              <w:t>55</w:t>
            </w:r>
          </w:p>
        </w:tc>
        <w:tc>
          <w:tcPr>
            <w:tcW w:type="dxa" w:w="1361"/>
          </w:tcPr>
          <w:p>
            <w:r>
              <w:rPr>
                <w:sz w:val="16"/>
              </w:rPr>
              <w:t>dB(A)</w:t>
            </w:r>
          </w:p>
        </w:tc>
        <w:tc>
          <w:tcPr>
            <w:tcW w:type="dxa" w:w="3969"/>
          </w:tcPr>
          <w:p>
            <w:r>
              <w:rPr>
                <w:sz w:val="16"/>
              </w:rPr>
              <w:t>LAeq day</w:t>
            </w:r>
          </w:p>
        </w:tc>
        <w:tc>
          <w:tcPr>
            <w:tcW w:type="dxa" w:w="1701"/>
          </w:tcPr>
          <w:p>
            <w:r>
              <w:rPr>
                <w:sz w:val="16"/>
              </w:rPr>
              <w:t>SRC-OWNR-0007, 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other</w:t>
            </w:r>
          </w:p>
        </w:tc>
        <w:tc>
          <w:tcPr>
            <w:tcW w:type="dxa" w:w="4252"/>
          </w:tcPr>
          <w:p>
            <w:r>
              <w:rPr>
                <w:sz w:val="16"/>
              </w:rPr>
              <w:t>Fire water design flow and pressure</w:t>
            </w:r>
          </w:p>
        </w:tc>
        <w:tc>
          <w:tcPr>
            <w:tcW w:type="dxa" w:w="1701"/>
          </w:tcPr>
          <w:p>
            <w:r>
              <w:rPr>
                <w:sz w:val="16"/>
              </w:rPr>
              <w:t>341</w:t>
            </w:r>
          </w:p>
        </w:tc>
        <w:tc>
          <w:tcPr>
            <w:tcW w:type="dxa" w:w="1361"/>
          </w:tcPr>
          <w:p>
            <w:r>
              <w:rPr>
                <w:sz w:val="16"/>
              </w:rPr>
              <w:t>m3/h</w:t>
            </w:r>
          </w:p>
        </w:tc>
        <w:tc>
          <w:tcPr>
            <w:tcW w:type="dxa" w:w="3969"/>
          </w:tcPr>
          <w:p>
            <w:r>
              <w:rPr>
                <w:sz w:val="16"/>
              </w:rPr>
              <w:t>1,500 gpm at 110 m; largest single hazard (LDO tank) plus 500 gpm hose</w:t>
            </w:r>
          </w:p>
        </w:tc>
        <w:tc>
          <w:tcPr>
            <w:tcW w:type="dxa" w:w="1701"/>
          </w:tcPr>
          <w:p>
            <w:r>
              <w:rPr>
                <w:sz w:val="16"/>
              </w:rPr>
              <w:t>REF-CONS-0069, REF-CONS-0070, DEC-EPCE-0014</w:t>
            </w:r>
          </w:p>
        </w:tc>
      </w:tr>
      <w:tr>
        <w:tc>
          <w:tcPr>
            <w:tcW w:type="dxa" w:w="1361"/>
          </w:tcPr>
          <w:p>
            <w:r>
              <w:rPr>
                <w:sz w:val="16"/>
              </w:rPr>
              <w:t>other</w:t>
            </w:r>
          </w:p>
        </w:tc>
        <w:tc>
          <w:tcPr>
            <w:tcW w:type="dxa" w:w="4252"/>
          </w:tcPr>
          <w:p>
            <w:r>
              <w:rPr>
                <w:sz w:val="16"/>
              </w:rPr>
              <w:t>Fire water storage</w:t>
            </w:r>
          </w:p>
        </w:tc>
        <w:tc>
          <w:tcPr>
            <w:tcW w:type="dxa" w:w="1701"/>
          </w:tcPr>
          <w:p>
            <w:r>
              <w:rPr>
                <w:sz w:val="16"/>
              </w:rPr>
              <w:t>700</w:t>
            </w:r>
          </w:p>
        </w:tc>
        <w:tc>
          <w:tcPr>
            <w:tcW w:type="dxa" w:w="1361"/>
          </w:tcPr>
          <w:p>
            <w:r>
              <w:rPr>
                <w:sz w:val="16"/>
              </w:rPr>
              <w:t>m3</w:t>
            </w:r>
          </w:p>
        </w:tc>
        <w:tc>
          <w:tcPr>
            <w:tcW w:type="dxa" w:w="3969"/>
          </w:tcPr>
          <w:p>
            <w:r>
              <w:rPr>
                <w:sz w:val="16"/>
              </w:rPr>
              <w:t>2 x 100 % tanks, 2 h</w:t>
            </w:r>
          </w:p>
        </w:tc>
        <w:tc>
          <w:tcPr>
            <w:tcW w:type="dxa" w:w="1701"/>
          </w:tcPr>
          <w:p>
            <w:r>
              <w:rPr>
                <w:sz w:val="16"/>
              </w:rPr>
              <w:t>REF-CONS-0069, DEC-EPCE-0014</w:t>
            </w:r>
          </w:p>
        </w:tc>
      </w:tr>
      <w:tr>
        <w:tc>
          <w:tcPr>
            <w:tcW w:type="dxa" w:w="1361"/>
          </w:tcPr>
          <w:p>
            <w:r>
              <w:rPr>
                <w:sz w:val="16"/>
              </w:rPr>
              <w:t>other</w:t>
            </w:r>
          </w:p>
        </w:tc>
        <w:tc>
          <w:tcPr>
            <w:tcW w:type="dxa" w:w="4252"/>
          </w:tcPr>
          <w:p>
            <w:r>
              <w:rPr>
                <w:sz w:val="16"/>
              </w:rPr>
              <w:t>Marine works window</w:t>
            </w:r>
          </w:p>
        </w:tc>
        <w:tc>
          <w:tcPr>
            <w:tcW w:type="dxa" w:w="1701"/>
          </w:tcPr>
          <w:p>
            <w:r>
              <w:rPr>
                <w:sz w:val="16"/>
              </w:rPr>
              <w:t>1 October - 30 April</w:t>
            </w:r>
          </w:p>
        </w:tc>
        <w:tc>
          <w:tcPr>
            <w:tcW w:type="dxa" w:w="1361"/>
          </w:tcPr>
          <w:p>
            <w:r>
              <w:rPr>
                <w:sz w:val="16"/>
              </w:rPr>
            </w:r>
          </w:p>
        </w:tc>
        <w:tc>
          <w:tcPr>
            <w:tcW w:type="dxa" w:w="3969"/>
          </w:tcPr>
          <w:p>
            <w:r>
              <w:rPr>
                <w:sz w:val="16"/>
              </w:rPr>
              <w:t>no marine works 1 May - 30 September (fish spawning)</w:t>
            </w:r>
          </w:p>
        </w:tc>
        <w:tc>
          <w:tcPr>
            <w:tcW w:type="dxa" w:w="1701"/>
          </w:tcPr>
          <w:p>
            <w:r>
              <w:rPr>
                <w:sz w:val="16"/>
              </w:rPr>
              <w:t>SRC-OWNR-0007</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Plant grid origin in UTM zone 35N (E 0 / N 0)</w:t>
            </w:r>
          </w:p>
        </w:tc>
        <w:tc>
          <w:tcPr>
            <w:tcW w:type="dxa" w:w="1701"/>
          </w:tcPr>
          <w:p>
            <w:r>
              <w:rPr>
                <w:sz w:val="16"/>
              </w:rPr>
              <w:t>E 541,250.000 m / N 4,532,480.000 m</w:t>
            </w:r>
          </w:p>
        </w:tc>
        <w:tc>
          <w:tcPr>
            <w:tcW w:type="dxa" w:w="1361"/>
          </w:tcPr>
          <w:p>
            <w:r>
              <w:rPr>
                <w:sz w:val="16"/>
              </w:rPr>
              <w:t>m</w:t>
            </w:r>
          </w:p>
        </w:tc>
        <w:tc>
          <w:tcPr>
            <w:tcW w:type="dxa" w:w="3969"/>
          </w:tcPr>
          <w:p>
            <w:r>
              <w:rPr>
                <w:sz w:val="16"/>
              </w:rPr>
              <w:t>TUREF (ITRF96), south-west plot corner</w:t>
            </w:r>
          </w:p>
        </w:tc>
        <w:tc>
          <w:tcPr>
            <w:tcW w:type="dxa" w:w="1701"/>
          </w:tcPr>
          <w:p>
            <w:r>
              <w:rPr>
                <w:sz w:val="16"/>
              </w:rPr>
              <w:t>SRC-EPCE-0011</w:t>
            </w:r>
          </w:p>
        </w:tc>
      </w:tr>
      <w:tr>
        <w:tc>
          <w:tcPr>
            <w:tcW w:type="dxa" w:w="1361"/>
          </w:tcPr>
          <w:p>
            <w:r>
              <w:rPr>
                <w:sz w:val="16"/>
              </w:rPr>
              <w:t>site</w:t>
            </w:r>
          </w:p>
        </w:tc>
        <w:tc>
          <w:tcPr>
            <w:tcW w:type="dxa" w:w="4252"/>
          </w:tcPr>
          <w:p>
            <w:r>
              <w:rPr>
                <w:sz w:val="16"/>
              </w:rPr>
              <w:t>Rotation plant grid to UTM grid</w:t>
            </w:r>
          </w:p>
        </w:tc>
        <w:tc>
          <w:tcPr>
            <w:tcW w:type="dxa" w:w="1701"/>
          </w:tcPr>
          <w:p>
            <w:r>
              <w:rPr>
                <w:sz w:val="16"/>
              </w:rPr>
              <w:t>-0.3281</w:t>
            </w:r>
          </w:p>
        </w:tc>
        <w:tc>
          <w:tcPr>
            <w:tcW w:type="dxa" w:w="1361"/>
          </w:tcPr>
          <w:p>
            <w:r>
              <w:rPr>
                <w:sz w:val="16"/>
              </w:rPr>
              <w:t>deg</w:t>
            </w:r>
          </w:p>
        </w:tc>
        <w:tc>
          <w:tcPr>
            <w:tcW w:type="dxa" w:w="3969"/>
          </w:tcPr>
          <w:p>
            <w:r>
              <w:rPr>
                <w:sz w:val="16"/>
              </w:rPr>
              <w:t>plant north = true north; grid convergence at site</w:t>
            </w:r>
          </w:p>
        </w:tc>
        <w:tc>
          <w:tcPr>
            <w:tcW w:type="dxa" w:w="1701"/>
          </w:tcPr>
          <w:p>
            <w:r>
              <w:rPr>
                <w:sz w:val="16"/>
              </w:rPr>
              <w:t>SRC-EPCE-0011</w:t>
            </w:r>
          </w:p>
        </w:tc>
      </w:tr>
      <w:tr>
        <w:tc>
          <w:tcPr>
            <w:tcW w:type="dxa" w:w="1361"/>
          </w:tcPr>
          <w:p>
            <w:r>
              <w:rPr>
                <w:sz w:val="16"/>
              </w:rPr>
              <w:t>site</w:t>
            </w:r>
          </w:p>
        </w:tc>
        <w:tc>
          <w:tcPr>
            <w:tcW w:type="dxa" w:w="4252"/>
          </w:tcPr>
          <w:p>
            <w:r>
              <w:rPr>
                <w:sz w:val="16"/>
              </w:rPr>
              <w:t>Scale factor plant grid to UTM</w:t>
            </w:r>
          </w:p>
        </w:tc>
        <w:tc>
          <w:tcPr>
            <w:tcW w:type="dxa" w:w="1701"/>
          </w:tcPr>
          <w:p>
            <w:r>
              <w:rPr>
                <w:sz w:val="16"/>
              </w:rPr>
              <w:t>0.999612</w:t>
            </w:r>
          </w:p>
        </w:tc>
        <w:tc>
          <w:tcPr>
            <w:tcW w:type="dxa" w:w="1361"/>
          </w:tcPr>
          <w:p>
            <w:r>
              <w:rPr>
                <w:sz w:val="16"/>
              </w:rPr>
              <w:t>-</w:t>
            </w:r>
          </w:p>
        </w:tc>
        <w:tc>
          <w:tcPr>
            <w:tcW w:type="dxa" w:w="3969"/>
          </w:tcPr>
          <w:p>
            <w:r>
              <w:rPr>
                <w:sz w:val="16"/>
              </w:rPr>
              <w:t>combined UTM point scale and height factor</w:t>
            </w:r>
          </w:p>
        </w:tc>
        <w:tc>
          <w:tcPr>
            <w:tcW w:type="dxa" w:w="1701"/>
          </w:tcPr>
          <w:p>
            <w:r>
              <w:rPr>
                <w:sz w:val="16"/>
              </w:rPr>
              <w:t>SRC-EPCE-0011</w:t>
            </w:r>
          </w:p>
        </w:tc>
      </w:tr>
      <w:tr>
        <w:tc>
          <w:tcPr>
            <w:tcW w:type="dxa" w:w="1361"/>
          </w:tcPr>
          <w:p>
            <w:r>
              <w:rPr>
                <w:sz w:val="16"/>
              </w:rPr>
              <w:t>site</w:t>
            </w:r>
          </w:p>
        </w:tc>
        <w:tc>
          <w:tcPr>
            <w:tcW w:type="dxa" w:w="4252"/>
          </w:tcPr>
          <w:p>
            <w:r>
              <w:rPr>
                <w:sz w:val="16"/>
              </w:rPr>
              <w:t>Height datum</w:t>
            </w:r>
          </w:p>
        </w:tc>
        <w:tc>
          <w:tcPr>
            <w:tcW w:type="dxa" w:w="1701"/>
          </w:tcPr>
          <w:p>
            <w:r>
              <w:rPr>
                <w:sz w:val="16"/>
              </w:rPr>
              <w:t>TUDKA-99 orthometric heights (m a.s.l.)</w:t>
            </w:r>
          </w:p>
        </w:tc>
        <w:tc>
          <w:tcPr>
            <w:tcW w:type="dxa" w:w="1361"/>
          </w:tcPr>
          <w:p>
            <w:r>
              <w:rPr>
                <w:sz w:val="16"/>
              </w:rPr>
            </w:r>
          </w:p>
        </w:tc>
        <w:tc>
          <w:tcPr>
            <w:tcW w:type="dxa" w:w="3969"/>
          </w:tcPr>
          <w:p>
            <w:r>
              <w:rPr>
                <w:sz w:val="16"/>
              </w:rPr>
            </w:r>
          </w:p>
        </w:tc>
        <w:tc>
          <w:tcPr>
            <w:tcW w:type="dxa" w:w="1701"/>
          </w:tcPr>
          <w:p>
            <w:r>
              <w:rPr>
                <w:sz w:val="16"/>
              </w:rPr>
              <w:t>SRC-EPCE-0011</w:t>
            </w:r>
          </w:p>
        </w:tc>
      </w:tr>
      <w:tr>
        <w:tc>
          <w:tcPr>
            <w:tcW w:type="dxa" w:w="1361"/>
          </w:tcPr>
          <w:p>
            <w:r>
              <w:rPr>
                <w:sz w:val="16"/>
              </w:rPr>
              <w:t>site</w:t>
            </w:r>
          </w:p>
        </w:tc>
        <w:tc>
          <w:tcPr>
            <w:tcW w:type="dxa" w:w="4252"/>
          </w:tcPr>
          <w:p>
            <w:r>
              <w:rPr>
                <w:sz w:val="16"/>
              </w:rPr>
              <w:t>Platform level acceptance tolerance</w:t>
            </w:r>
          </w:p>
        </w:tc>
        <w:tc>
          <w:tcPr>
            <w:tcW w:type="dxa" w:w="1701"/>
          </w:tcPr>
          <w:p>
            <w:r>
              <w:rPr>
                <w:sz w:val="16"/>
              </w:rPr>
              <w:t>0.15</w:t>
            </w:r>
          </w:p>
        </w:tc>
        <w:tc>
          <w:tcPr>
            <w:tcW w:type="dxa" w:w="1361"/>
          </w:tcPr>
          <w:p>
            <w:r>
              <w:rPr>
                <w:sz w:val="16"/>
              </w:rPr>
              <w:t>m</w:t>
            </w:r>
          </w:p>
        </w:tc>
        <w:tc>
          <w:tcPr>
            <w:tcW w:type="dxa" w:w="3969"/>
          </w:tcPr>
          <w:p>
            <w:r>
              <w:rPr>
                <w:sz w:val="16"/>
              </w:rPr>
              <w:t>Owner-levelled platform +15.00 m</w:t>
            </w:r>
          </w:p>
        </w:tc>
        <w:tc>
          <w:tcPr>
            <w:tcW w:type="dxa" w:w="1701"/>
          </w:tcPr>
          <w:p>
            <w:r>
              <w:rPr>
                <w:sz w:val="16"/>
              </w:rPr>
              <w:t>DEC-OWNR-0002</w:t>
            </w:r>
          </w:p>
        </w:tc>
      </w:tr>
      <w:tr>
        <w:tc>
          <w:tcPr>
            <w:tcW w:type="dxa" w:w="1361"/>
          </w:tcPr>
          <w:p>
            <w:r>
              <w:rPr>
                <w:sz w:val="16"/>
              </w:rPr>
              <w:t>site</w:t>
            </w:r>
          </w:p>
        </w:tc>
        <w:tc>
          <w:tcPr>
            <w:tcW w:type="dxa" w:w="4252"/>
          </w:tcPr>
          <w:p>
            <w:r>
              <w:rPr>
                <w:sz w:val="16"/>
              </w:rPr>
              <w:t>100-year coastal still water level</w:t>
            </w:r>
          </w:p>
        </w:tc>
        <w:tc>
          <w:tcPr>
            <w:tcW w:type="dxa" w:w="1701"/>
          </w:tcPr>
          <w:p>
            <w:r>
              <w:rPr>
                <w:sz w:val="16"/>
              </w:rPr>
              <w:t>0.9</w:t>
            </w:r>
          </w:p>
        </w:tc>
        <w:tc>
          <w:tcPr>
            <w:tcW w:type="dxa" w:w="1361"/>
          </w:tcPr>
          <w:p>
            <w:r>
              <w:rPr>
                <w:sz w:val="16"/>
              </w:rPr>
              <w:t>m</w:t>
            </w:r>
          </w:p>
        </w:tc>
        <w:tc>
          <w:tcPr>
            <w:tcW w:type="dxa" w:w="3969"/>
          </w:tcPr>
          <w:p>
            <w:r>
              <w:rPr>
                <w:sz w:val="16"/>
              </w:rPr>
              <w:t>national datum; +1.40 m with 0.5 m sea-level rise; floor levels &gt;= +1.90 m (ER-02.09); shoreline run-up +4.8 m</w:t>
            </w:r>
          </w:p>
        </w:tc>
        <w:tc>
          <w:tcPr>
            <w:tcW w:type="dxa" w:w="1701"/>
          </w:tcPr>
          <w:p>
            <w:r>
              <w:rPr>
                <w:sz w:val="16"/>
              </w:rPr>
              <w:t>SRC-OWNR-0002, ER-02.09</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CW intake velocity at the screens</w:t>
            </w:r>
          </w:p>
        </w:tc>
        <w:tc>
          <w:tcPr>
            <w:tcW w:type="dxa" w:w="1701"/>
          </w:tcPr>
          <w:p>
            <w:r>
              <w:rPr>
                <w:sz w:val="16"/>
              </w:rPr>
              <w:t>0.15</w:t>
            </w:r>
          </w:p>
        </w:tc>
        <w:tc>
          <w:tcPr>
            <w:tcW w:type="dxa" w:w="1361"/>
          </w:tcPr>
          <w:p>
            <w:r>
              <w:rPr>
                <w:sz w:val="16"/>
              </w:rPr>
              <w:t>m/s</w:t>
            </w:r>
          </w:p>
        </w:tc>
        <w:tc>
          <w:tcPr>
            <w:tcW w:type="dxa" w:w="3969"/>
          </w:tcPr>
          <w:p>
            <w:r>
              <w:rPr>
                <w:sz w:val="16"/>
              </w:rPr>
              <w:t>maximum, with fish return system</w:t>
            </w:r>
          </w:p>
        </w:tc>
        <w:tc>
          <w:tcPr>
            <w:tcW w:type="dxa" w:w="1701"/>
          </w:tcPr>
          <w:p>
            <w:r>
              <w:rPr>
                <w:sz w:val="16"/>
              </w:rPr>
              <w:t>SRC-OWNR-0007</w:t>
            </w:r>
          </w:p>
        </w:tc>
      </w:tr>
      <w:tr>
        <w:tc>
          <w:tcPr>
            <w:tcW w:type="dxa" w:w="1361"/>
          </w:tcPr>
          <w:p>
            <w:r>
              <w:rPr>
                <w:sz w:val="16"/>
              </w:rPr>
              <w:t>water</w:t>
            </w:r>
          </w:p>
        </w:tc>
        <w:tc>
          <w:tcPr>
            <w:tcW w:type="dxa" w:w="4252"/>
          </w:tcPr>
          <w:p>
            <w:r>
              <w:rPr>
                <w:sz w:val="16"/>
              </w:rPr>
              <w:t>SWRO brine salinity excess at 50 m from the diffuser</w:t>
            </w:r>
          </w:p>
        </w:tc>
        <w:tc>
          <w:tcPr>
            <w:tcW w:type="dxa" w:w="1701"/>
          </w:tcPr>
          <w:p>
            <w:r>
              <w:rPr>
                <w:sz w:val="16"/>
              </w:rPr>
              <w:t>5</w:t>
            </w:r>
          </w:p>
        </w:tc>
        <w:tc>
          <w:tcPr>
            <w:tcW w:type="dxa" w:w="1361"/>
          </w:tcPr>
          <w:p>
            <w:r>
              <w:rPr>
                <w:sz w:val="16"/>
              </w:rPr>
              <w:t>%</w:t>
            </w:r>
          </w:p>
        </w:tc>
        <w:tc>
          <w:tcPr>
            <w:tcW w:type="dxa" w:w="3969"/>
          </w:tcPr>
          <w:p>
            <w:r>
              <w:rPr>
                <w:sz w:val="16"/>
              </w:rPr>
              <w:t>above ambient salinity, maximum</w:t>
            </w:r>
          </w:p>
        </w:tc>
        <w:tc>
          <w:tcPr>
            <w:tcW w:type="dxa" w:w="1701"/>
          </w:tcPr>
          <w:p>
            <w:r>
              <w:rPr>
                <w:sz w:val="16"/>
              </w:rPr>
              <w:t>SRC-OWNR-0007</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SURV</w:t>
            </w:r>
          </w:p>
        </w:tc>
        <w:tc>
          <w:tcPr>
            <w:tcW w:type="dxa" w:w="3402"/>
          </w:tcPr>
          <w:p>
            <w:r>
              <w:rPr>
                <w:sz w:val="16"/>
              </w:rPr>
              <w:t>Land survey subcontractor (role-play)</w:t>
            </w:r>
          </w:p>
        </w:tc>
        <w:tc>
          <w:tcPr>
            <w:tcW w:type="dxa" w:w="1701"/>
          </w:tcPr>
          <w:p>
            <w:r>
              <w:rPr>
                <w:sz w:val="16"/>
              </w:rPr>
              <w:t>subcontractor</w:t>
            </w:r>
          </w:p>
        </w:tc>
        <w:tc>
          <w:tcPr>
            <w:tcW w:type="dxa" w:w="1134"/>
          </w:tcPr>
          <w:p>
            <w:r>
              <w:rPr>
                <w:sz w:val="16"/>
              </w:rPr>
              <w:t>Turkey</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r>
        <w:tc>
          <w:tcPr>
            <w:tcW w:type="dxa" w:w="794"/>
          </w:tcPr>
          <w:p>
            <w:r>
              <w:rPr>
                <w:sz w:val="16"/>
              </w:rPr>
              <w:t>TQ-036</w:t>
            </w:r>
          </w:p>
        </w:tc>
        <w:tc>
          <w:tcPr>
            <w:tcW w:type="dxa" w:w="624"/>
          </w:tcPr>
          <w:p>
            <w:r>
              <w:rPr>
                <w:sz w:val="16"/>
              </w:rPr>
              <w:t>8</w:t>
            </w:r>
          </w:p>
        </w:tc>
        <w:tc>
          <w:tcPr>
            <w:tcW w:type="dxa" w:w="1701"/>
          </w:tcPr>
          <w:p>
            <w:r>
              <w:rPr>
                <w:sz w:val="16"/>
              </w:rPr>
              <w:t>MDL Rev B baseline: document quantities, new document types, structures and packages</w:t>
            </w:r>
          </w:p>
        </w:tc>
        <w:tc>
          <w:tcPr>
            <w:tcW w:type="dxa" w:w="3855"/>
          </w:tcPr>
          <w:p>
            <w:r>
              <w:rPr>
                <w:sz w:val="16"/>
              </w:rPr>
              <w:t>The consortium re-issues the MDL as Rev B: 2205 documents (1455 EPC, 120 IEC, 630 other suppliers), 21,362 sheets. Rev A (623 documents) missed the per-tag deliverables, the supplier documents of the BOP packages, factory and site tests, system-based commissioning and O&amp;M documents and several permit dossiers. Document quantities now follow rules per system / structure / area / package with estimated quantities until the registers exist. Please accept (1) the MDL Rev B as the document baseline, (2) the new document types TST, TRP, WIR, HUP, SUP, RBR, EFD, MOS, MDB, CEM, HMI with their review classes, (3) the structure keys UZD (pipe racks), UZE (cable trenches), UZF (temporary barge landing), (4) the 14 added procurement packages, (5) the review of supplier documents: EPC reviews all; transmitted to the Owner for approval: supplier P&amp;IDs, ITPs and FAT procedures; for review: GA, datasheets, calculations, schematics, manuals; for information: manufacturing record books.</w:t>
            </w:r>
          </w:p>
        </w:tc>
        <w:tc>
          <w:tcPr>
            <w:tcW w:type="dxa" w:w="3628"/>
          </w:tcPr>
          <w:p>
            <w:r>
              <w:rPr>
                <w:sz w:val="16"/>
              </w:rPr>
              <w:t>(1)-(5) accepted with one change and one condition. Change: fire fighting, escape route and safety signage drawings are submitted to the fire brigade (occupancy permit PMT-020) and are for Owner approval. Condition: the Owner's Engineer review load must be planned; the consortium issues a monthly document issue forecast (from the engineering plan) and transmits in batches of at most 150 documents per week. The new structure keys are approved for engineering (verification with the KKS key list).</w:t>
            </w:r>
          </w:p>
        </w:tc>
        <w:tc>
          <w:tcPr>
            <w:tcW w:type="dxa" w:w="1134"/>
          </w:tcPr>
          <w:p>
            <w:r>
              <w:rPr>
                <w:sz w:val="16"/>
              </w:rPr>
              <w:t>requirement changed</w:t>
            </w:r>
          </w:p>
        </w:tc>
        <w:tc>
          <w:tcPr>
            <w:tcW w:type="dxa" w:w="1134"/>
          </w:tcPr>
          <w:p>
            <w:r>
              <w:rPr>
                <w:sz w:val="16"/>
              </w:rPr>
              <w:t>-</w:t>
            </w:r>
          </w:p>
        </w:tc>
        <w:tc>
          <w:tcPr>
            <w:tcW w:type="dxa" w:w="1757"/>
          </w:tcPr>
          <w:p>
            <w:r>
              <w:rPr>
                <w:sz w:val="16"/>
              </w:rPr>
              <w:t>mdl_rule/DL-HS-ESC</w:t>
            </w:r>
          </w:p>
        </w:tc>
      </w:tr>
      <w:tr>
        <w:tc>
          <w:tcPr>
            <w:tcW w:type="dxa" w:w="794"/>
          </w:tcPr>
          <w:p>
            <w:r>
              <w:rPr>
                <w:sz w:val="16"/>
              </w:rPr>
              <w:t>TQ-037</w:t>
            </w:r>
          </w:p>
        </w:tc>
        <w:tc>
          <w:tcPr>
            <w:tcW w:type="dxa" w:w="624"/>
          </w:tcPr>
          <w:p>
            <w:r>
              <w:rPr>
                <w:sz w:val="16"/>
              </w:rPr>
              <w:t>8</w:t>
            </w:r>
          </w:p>
        </w:tc>
        <w:tc>
          <w:tcPr>
            <w:tcW w:type="dxa" w:w="1701"/>
          </w:tcPr>
          <w:p>
            <w:r>
              <w:rPr>
                <w:sz w:val="16"/>
              </w:rPr>
              <w:t>AWP release rule: progressive EWP release to the IWPs of a CWP</w:t>
            </w:r>
          </w:p>
        </w:tc>
        <w:tc>
          <w:tcPr>
            <w:tcW w:type="dxa" w:w="3855"/>
          </w:tcPr>
          <w:p>
            <w:r>
              <w:rPr>
                <w:sz w:val="16"/>
              </w:rPr>
              <w:t>TQ-035 requires a CWP to be released only when its EWP is complete (all documents IFC). With the Rev B MDL a piping CWP carries up to 2,800 isometric sheets and a civil CWP the reinforcement of every pour; requiring all of them IFC before the first IWP would delay construction by 3-9 months or require engineering staff far above a realistic peak. The consortium proposes: (a) a CWP is released when the documents of its first IWPs are IFC (layouts, GA, foundations, plans: 100 % at release) and its materials for those IWPs are on site or confirmed; (b) progressive documents (isometrics, supports, schematics, loop diagrams, reinforcement, equipment foundations) are released per IWP, planned at CWP start - lead + share x CWP duration per document type; (c) no IWP is issued to the field unless all its documents are IFC and its constraints removed; (d) the EWP completeness per CWP is reported monthly.</w:t>
            </w:r>
          </w:p>
        </w:tc>
        <w:tc>
          <w:tcPr>
            <w:tcW w:type="dxa" w:w="3628"/>
          </w:tcPr>
          <w:p>
            <w:r>
              <w:rPr>
                <w:sz w:val="16"/>
              </w:rPr>
              <w:t>Accepted as proposed, with the condition that the monthly report shows per CWP the IFC status of the documents needed for the next 8 weeks of IWPs, and that a CWP whose first-IWP documents are not IFC is not started. TQ-035 item (4) is amended accordingly.</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TQ-038</w:t>
            </w:r>
          </w:p>
        </w:tc>
        <w:tc>
          <w:tcPr>
            <w:tcW w:type="dxa" w:w="624"/>
          </w:tcPr>
          <w:p>
            <w:r>
              <w:rPr>
                <w:sz w:val="16"/>
              </w:rPr>
              <w:t>9</w:t>
            </w:r>
          </w:p>
        </w:tc>
        <w:tc>
          <w:tcPr>
            <w:tcW w:type="dxa" w:w="1701"/>
          </w:tcPr>
          <w:p>
            <w:r>
              <w:rPr>
                <w:sz w:val="16"/>
              </w:rPr>
              <w:t>Payment milestone MS-02 (Basic Design Package approved, month 3) cannot be met</w:t>
            </w:r>
          </w:p>
        </w:tc>
        <w:tc>
          <w:tcPr>
            <w:tcW w:type="dxa" w:w="3855"/>
          </w:tcPr>
          <w:p>
            <w:r>
              <w:rPr>
                <w:sz w:val="16"/>
              </w:rPr>
              <w:t>Release gate G-OWN-BDP: The Basic Design Package (25 documents, of them 10 P&amp;IDs) must be approved for MS-02 at month 3 (2027-02-02). With the Owner review period for the BDP (21 days, ER-17.01) and the input chain design basis -&gt; system design specification -&gt; P&amp;ID, the earliest possible approval is 2027-03-08 even with unlimited staff; with the planned process team (12 FTE, 9,000 h of P&amp;IDs needed before May 2027 for the long-lead requisitions and the first EWPs) the BDP is approved on 2027-07-21. Please confirm one of: (a) MS-02 split into MS-02a 'BDP batch 1 approved' (design bases, PFDs, HMB, plot plan, SLD, power island P&amp;IDs; month 5) and MS-02b 'BDP batch 2 approved' (BOP P&amp;IDs; month 9), same total percentage; (b) MS-02 at month 9; (c) approval on the tender-stage P&amp;IDs at IFR with the IFC review later. The consortium recommends (a).</w:t>
            </w:r>
          </w:p>
        </w:tc>
        <w:tc>
          <w:tcPr>
            <w:tcW w:type="dxa" w:w="3628"/>
          </w:tcPr>
          <w:p>
            <w:r>
              <w:rPr>
                <w:sz w:val="16"/>
              </w:rPr>
              <w:t>Option (a) accepted. MS-02 becomes 'Basic Design Package batch 1 approved and power island order' (4 %, month 5): design bases and design criteria, KKS manual, heat balances, process flow diagrams, key single line diagram, plot plan, power block layouts and DCS architecture. New MS-13 'Basic Design Package batch 2 approved' (4 %, month 9): BOP P&amp;IDs of the gas station, CW pumps, feedwater, main steam, reheat, LP steam and condensate systems. The Owner's Engineer reviews each batch within 21 days of receipt; P&amp;IDs of batch 2 may be submitted progressively.</w:t>
            </w:r>
          </w:p>
        </w:tc>
        <w:tc>
          <w:tcPr>
            <w:tcW w:type="dxa" w:w="1134"/>
          </w:tcPr>
          <w:p>
            <w:r>
              <w:rPr>
                <w:sz w:val="16"/>
              </w:rPr>
              <w:t>requirement changed</w:t>
            </w:r>
          </w:p>
        </w:tc>
        <w:tc>
          <w:tcPr>
            <w:tcW w:type="dxa" w:w="1134"/>
          </w:tcPr>
          <w:p>
            <w:r>
              <w:rPr>
                <w:sz w:val="16"/>
              </w:rPr>
              <w:t>-</w:t>
            </w:r>
          </w:p>
        </w:tc>
        <w:tc>
          <w:tcPr>
            <w:tcW w:type="dxa" w:w="1757"/>
          </w:tcPr>
          <w:p>
            <w:r>
              <w:rPr>
                <w:sz w:val="16"/>
              </w:rPr>
              <w:t>milestone/MS-02, milestone/MS-13, gate_rule/G-OWN-BDP, gate_rule/G-OWN-BDP2</w:t>
            </w:r>
          </w:p>
        </w:tc>
      </w:tr>
      <w:tr>
        <w:tc>
          <w:tcPr>
            <w:tcW w:type="dxa" w:w="794"/>
          </w:tcPr>
          <w:p>
            <w:r>
              <w:rPr>
                <w:sz w:val="16"/>
              </w:rPr>
              <w:t>TQ-039</w:t>
            </w:r>
          </w:p>
        </w:tc>
        <w:tc>
          <w:tcPr>
            <w:tcW w:type="dxa" w:w="624"/>
          </w:tcPr>
          <w:p>
            <w:r>
              <w:rPr>
                <w:sz w:val="16"/>
              </w:rPr>
              <w:t>9</w:t>
            </w:r>
          </w:p>
        </w:tc>
        <w:tc>
          <w:tcPr>
            <w:tcW w:type="dxa" w:w="1701"/>
          </w:tcPr>
          <w:p>
            <w:r>
              <w:rPr>
                <w:sz w:val="16"/>
              </w:rPr>
              <w:t>Owner platform levels below +15.00 m (survey ALP-SUR-TOP-001)</w:t>
            </w:r>
          </w:p>
        </w:tc>
        <w:tc>
          <w:tcPr>
            <w:tcW w:type="dxa" w:w="3855"/>
          </w:tcPr>
          <w:p>
            <w:r>
              <w:rPr>
                <w:sz w:val="16"/>
              </w:rPr>
              <w:t>The topographic survey (ALP-EPC-00000-CV-RPT-0003) shows the Owner-levelled platform on average 66 mm below the +15.00 m stated in ER-02.01 / ALP-OWN-GEN-001, with 51 of 208 grid points outside +-0.10 m (systematic fall to the south, old warehouse foundations up to +0.25 m). Trimming to +15.00 m needs about 9,300 m3 of structural fill. Please confirm (a) the acceptance tolerance of the Owner platform and whether the fill below -0.10 m is at the Owner cost, or (b) that the Contractor may set the finished floor and road levels on the as-surveyed platform with local trimming only.</w:t>
            </w:r>
          </w:p>
        </w:tc>
        <w:tc>
          <w:tcPr>
            <w:tcW w:type="dxa" w:w="3628"/>
          </w:tcPr>
          <w:p>
            <w:r>
              <w:rPr>
                <w:sz w:val="16"/>
              </w:rPr>
              <w:t>(b) with a limit. The Owner's earthworks contract levelled the platform to +15.00 m +- 0.15 m; the survey shows the platform within that tolerance except the south edge strip (N 0-25 m, 17 points), the old warehouse foundations (2 points; demolition is Contractor scope anyway) and three isolated points 1-3 cm beyond the band. The Contractor sets finished floor and road levels on the as-surveyed platform with local trimming only; structural fill needed below +14.85 m is paid by the Owner at the unit rate of the Price Schedule against a joint survey.</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TQ-040</w:t>
            </w:r>
          </w:p>
        </w:tc>
        <w:tc>
          <w:tcPr>
            <w:tcW w:type="dxa" w:w="624"/>
          </w:tcPr>
          <w:p>
            <w:r>
              <w:rPr>
                <w:sz w:val="16"/>
              </w:rPr>
              <w:t>9</w:t>
            </w:r>
          </w:p>
        </w:tc>
        <w:tc>
          <w:tcPr>
            <w:tcW w:type="dxa" w:w="1701"/>
          </w:tcPr>
          <w:p>
            <w:r>
              <w:rPr>
                <w:sz w:val="16"/>
              </w:rPr>
              <w:t>Firm gas capacity booking has 1 % margin over the plant peak demand</w:t>
            </w:r>
          </w:p>
        </w:tc>
        <w:tc>
          <w:tcPr>
            <w:tcW w:type="dxa" w:w="3855"/>
          </w:tcPr>
          <w:p>
            <w:r>
              <w:rPr>
                <w:sz w:val="16"/>
              </w:rPr>
              <w:t>Peak gas demand is 113,950 Sm3/h (GT 23 kg/s at the maximum case per IF-01 plus the auxiliary boiler and the gas-fired station preheaters), 99 % of the firm booking of 115,000 Sm3/h (DP-OWNR-0033). Please confirm that the Owner will book at least 120,000 Sm3/h firm, or that the auxiliary boiler and the preheaters may be interrupted at GT full load in winter.</w:t>
            </w:r>
          </w:p>
        </w:tc>
        <w:tc>
          <w:tcPr>
            <w:tcW w:type="dxa" w:w="3628"/>
          </w:tcPr>
          <w:p>
            <w:r>
              <w:rPr>
                <w:sz w:val="16"/>
              </w:rPr>
              <w:t>The Owner will increase the firm booking to 120,000 Sm3/h from the first gas date; the network operator has confirmed the capacity is available at the TP-G1 connection.</w:t>
            </w:r>
          </w:p>
        </w:tc>
        <w:tc>
          <w:tcPr>
            <w:tcW w:type="dxa" w:w="1134"/>
          </w:tcPr>
          <w:p>
            <w:r>
              <w:rPr>
                <w:sz w:val="16"/>
              </w:rPr>
              <w:t>owner to provide</w:t>
            </w:r>
          </w:p>
        </w:tc>
        <w:tc>
          <w:tcPr>
            <w:tcW w:type="dxa" w:w="1134"/>
          </w:tcPr>
          <w:p>
            <w:r>
              <w:rPr>
                <w:sz w:val="16"/>
              </w:rPr>
              <w:t>-</w:t>
            </w:r>
          </w:p>
        </w:tc>
        <w:tc>
          <w:tcPr>
            <w:tcW w:type="dxa" w:w="1757"/>
          </w:tcPr>
          <w:p>
            <w:r>
              <w:rPr>
                <w:sz w:val="16"/>
              </w:rPr>
              <w:t>design_parameter/DP-OWNR-0033</w:t>
            </w:r>
          </w:p>
        </w:tc>
      </w:tr>
      <w:tr>
        <w:tc>
          <w:tcPr>
            <w:tcW w:type="dxa" w:w="794"/>
          </w:tcPr>
          <w:p>
            <w:r>
              <w:rPr>
                <w:sz w:val="16"/>
              </w:rPr>
              <w:t>TQ-041</w:t>
            </w:r>
          </w:p>
        </w:tc>
        <w:tc>
          <w:tcPr>
            <w:tcW w:type="dxa" w:w="624"/>
          </w:tcPr>
          <w:p>
            <w:r>
              <w:rPr>
                <w:sz w:val="16"/>
              </w:rPr>
              <w:t>10</w:t>
            </w:r>
          </w:p>
        </w:tc>
        <w:tc>
          <w:tcPr>
            <w:tcW w:type="dxa" w:w="1701"/>
          </w:tcPr>
          <w:p>
            <w:r>
              <w:rPr>
                <w:sz w:val="16"/>
              </w:rPr>
              <w:t>Design criteria: coastal flood level, chlorine compliance point, CW rise in transients, fire water refill</w:t>
            </w:r>
          </w:p>
        </w:tc>
        <w:tc>
          <w:tcPr>
            <w:tcW w:type="dxa" w:w="3855"/>
          </w:tcPr>
          <w:p>
            <w:r>
              <w:rPr>
                <w:sz w:val="16"/>
              </w:rPr>
              <w:t>(1) ER-02.09 sets floor levels 0.5 m above the 100-year coastal flood level plus 0.5 m sea-level rise; ALP-OWN-MAR-001 gives storm surge -0.4 / +0.6 m and Hs 50-year 4.4 m but no 100-year flood level or wave run-up. Please provide both. (2) Residual oxidant &lt;= 0.1 mg/l 'at the outfall' (EIA, DP-CASE-0017): please confirm the compliance point (end of pipe at the diffuser, or edge of a mixing zone). (3) The condenser rise &lt;= 7 K (EIA): does it apply to start-up and trip bypass transients (IEC DS-105: 8.8 - 9.5 K)? (4) Fire water: 2 x 100 % tanks of 700 m3 filled from the SWRO permeate; one tank is refilled in about 10 h (NFPA 850: 8 h) while the other holds the full demand - please confirm acceptance by the Owner's insurer.</w:t>
            </w:r>
          </w:p>
        </w:tc>
        <w:tc>
          <w:tcPr>
            <w:tcW w:type="dxa" w:w="3628"/>
          </w:tcPr>
          <w:p>
            <w:r>
              <w:rPr>
                <w:sz w:val="16"/>
              </w:rPr>
              <w:t>(1) 100-year still water level +0.90 m (national datum, storm surge and barometric set-up, Owner's marine consultant 2025); with the 0.5 m sea-level rise +1.40 m, so the ER-02.09 minimum floor level is +1.90 m. Wave run-up on the shore revetment (50-year) +4.8 m: structures at the shoreline shall have their floors at least at +5.3 m. (2) The compliance point is the end of the outfall pipe; sampling at the outfall seal pit is accepted as representative (no dilution between seal pit and diffuser); no mixing zone is credited. (3) The 7 K applies to steady-state operation as an hourly mean in all ambient conditions; start-up and trip bypass transients up to 60 min are allowed and reported in the monthly environmental report. (4) Accepted by the insurer on the condition that both tanks have separate suction connections and a low-level alarm to the control room.</w:t>
            </w:r>
          </w:p>
        </w:tc>
        <w:tc>
          <w:tcPr>
            <w:tcW w:type="dxa" w:w="1134"/>
          </w:tcPr>
          <w:p>
            <w:r>
              <w:rPr>
                <w:sz w:val="16"/>
              </w:rPr>
              <w:t>owner to provide</w:t>
            </w:r>
          </w:p>
        </w:tc>
        <w:tc>
          <w:tcPr>
            <w:tcW w:type="dxa" w:w="1134"/>
          </w:tcPr>
          <w:p>
            <w:r>
              <w:rPr>
                <w:sz w:val="16"/>
              </w:rPr>
              <w:t>-</w:t>
            </w:r>
          </w:p>
        </w:tc>
        <w:tc>
          <w:tcPr>
            <w:tcW w:type="dxa" w:w="1757"/>
          </w:tcPr>
          <w:p>
            <w:r>
              <w:rPr>
                <w:sz w:val="16"/>
              </w:rPr>
            </w:r>
          </w:p>
        </w:tc>
      </w:tr>
      <w:tr>
        <w:tc>
          <w:tcPr>
            <w:tcW w:type="dxa" w:w="794"/>
          </w:tcPr>
          <w:p>
            <w:r>
              <w:rPr>
                <w:sz w:val="16"/>
              </w:rPr>
              <w:t>TQ-042</w:t>
            </w:r>
          </w:p>
        </w:tc>
        <w:tc>
          <w:tcPr>
            <w:tcW w:type="dxa" w:w="624"/>
          </w:tcPr>
          <w:p>
            <w:r>
              <w:rPr>
                <w:sz w:val="16"/>
              </w:rPr>
              <w:t>10</w:t>
            </w:r>
          </w:p>
        </w:tc>
        <w:tc>
          <w:tcPr>
            <w:tcW w:type="dxa" w:w="1701"/>
          </w:tcPr>
          <w:p>
            <w:r>
              <w:rPr>
                <w:sz w:val="16"/>
              </w:rPr>
              <w:t>Expedited review of the tender-stage Basic Design Package criteria issued late</w:t>
            </w:r>
          </w:p>
        </w:tc>
        <w:tc>
          <w:tcPr>
            <w:tcW w:type="dxa" w:w="3855"/>
          </w:tcPr>
          <w:p>
            <w:r>
              <w:rPr>
                <w:sz w:val="16"/>
              </w:rPr>
              <w:t>The tender-stage design criteria ALP-EPC-00000-CV-DBR-0001, ALP-EPC-00000-EL-DBR-0001, ALP-EPC-00000-HV-DBR-0001, ALP-EPC-00000-IC-DBR-0001, ALP-EPC-00000-ME-SPC-0001, ALP-EPC-00000-PR-HMB-0001 were planned for first issue at NTP (2026-11-02) and are issued Rev A on 2026-12-14 after TQ-041. With the 21-day BDP review and an IFA cycle their IFC moves to late January 2027 and the civil EWPs of CWA-01/02/03/04/05/06/07/11/12 and the enquiries of MR-EL-009 and MR-PI-002 fall 1 to 23 working days behind their need dates. Please agree a review of 10 working days and acceptance in one review cycle (IFC after incorporation of the comments, no IFA) for these six documents.</w:t>
            </w:r>
          </w:p>
        </w:tc>
        <w:tc>
          <w:tcPr>
            <w:tcW w:type="dxa" w:w="3628"/>
          </w:tcPr>
          <w:p>
            <w:r>
              <w:rPr>
                <w:sz w:val="16"/>
              </w:rPr>
              <w:t>Withdrawn by the Contractor before use: the analysis showed the late first issue, not the review period, drives the civil path (the downstream documents need these criteria at IFR). The Owner answer of 2026-12-16 is not applied.</w:t>
            </w:r>
          </w:p>
        </w:tc>
        <w:tc>
          <w:tcPr>
            <w:tcW w:type="dxa" w:w="1134"/>
          </w:tcPr>
          <w:p>
            <w:r>
              <w:rPr>
                <w:sz w:val="16"/>
              </w:rPr>
              <w:t>contractor proposal accepted</w:t>
            </w:r>
          </w:p>
        </w:tc>
        <w:tc>
          <w:tcPr>
            <w:tcW w:type="dxa" w:w="1134"/>
          </w:tcPr>
          <w:p>
            <w:r>
              <w:rPr>
                <w:sz w:val="16"/>
              </w:rPr>
              <w:t>-</w:t>
            </w:r>
          </w:p>
        </w:tc>
        <w:tc>
          <w:tcPr>
            <w:tcW w:type="dxa" w:w="1757"/>
          </w:tcPr>
          <w:p>
            <w:r>
              <w:rPr>
                <w:sz w:val="16"/>
              </w:rPr>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cf368d267fbcb545 | generated 2026-09-29 by EPCE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