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36"/>
        </w:rPr>
        <w:t>Alpilla 600 MW Combined Cycle Power Plant</w:t>
        <w:br/>
        <w:t>Plant Heat and Mass Balances</w:t>
      </w:r>
    </w:p>
    <w:tbl>
      <w:tblPr>
        <w:tblStyle w:val="TableGrid"/>
        <w:tblW w:type="auto" w:w="0"/>
        <w:tblLayout w:type="fixed"/>
        <w:tblLook w:firstColumn="1" w:firstRow="1" w:lastColumn="0" w:lastRow="0" w:noHBand="0" w:noVBand="1" w:val="04A0"/>
      </w:tblPr>
      <w:tblGrid>
        <w:gridCol w:w="2551"/>
        <w:gridCol w:w="7314"/>
      </w:tblGrid>
      <w:tr>
        <w:trPr>
          <w:cantSplit w:val="true"/>
        </w:trPr>
        <w:tc>
          <w:tcPr>
            <w:tcW w:type="dxa" w:w="2551"/>
          </w:tcPr>
          <w:p>
            <w:pPr>
              <w:spacing w:after="0"/>
            </w:pPr>
            <w:r>
              <w:rPr>
                <w:b/>
                <w:sz w:val="16"/>
              </w:rPr>
              <w:t>Document number</w:t>
            </w:r>
          </w:p>
        </w:tc>
        <w:tc>
          <w:tcPr>
            <w:tcW w:type="dxa" w:w="7313"/>
          </w:tcPr>
          <w:p>
            <w:pPr>
              <w:spacing w:after="0"/>
            </w:pPr>
            <w:r>
              <w:rPr>
                <w:sz w:val="16"/>
              </w:rPr>
              <w:t>ALP-EPC-00000-PR-HMB-0001</w:t>
            </w:r>
          </w:p>
        </w:tc>
      </w:tr>
      <w:tr>
        <w:trPr>
          <w:cantSplit w:val="true"/>
        </w:trPr>
        <w:tc>
          <w:tcPr>
            <w:tcW w:type="dxa" w:w="2551"/>
          </w:tcPr>
          <w:p>
            <w:pPr>
              <w:spacing w:after="0"/>
            </w:pPr>
            <w:r>
              <w:rPr>
                <w:b/>
                <w:sz w:val="16"/>
              </w:rPr>
              <w:t>Description</w:t>
            </w:r>
          </w:p>
        </w:tc>
        <w:tc>
          <w:tcPr>
            <w:tcW w:type="dxa" w:w="7313"/>
          </w:tcPr>
          <w:p>
            <w:pPr>
              <w:spacing w:after="0"/>
            </w:pPr>
            <w:r>
              <w:rPr>
                <w:sz w:val="16"/>
              </w:rPr>
              <w:t>9 cases</w:t>
            </w:r>
          </w:p>
        </w:tc>
      </w:tr>
      <w:tr>
        <w:trPr>
          <w:cantSplit w:val="true"/>
        </w:trPr>
        <w:tc>
          <w:tcPr>
            <w:tcW w:type="dxa" w:w="2551"/>
          </w:tcPr>
          <w:p>
            <w:pPr>
              <w:spacing w:after="0"/>
            </w:pPr>
            <w:r>
              <w:rPr>
                <w:b/>
                <w:sz w:val="16"/>
              </w:rPr>
              <w:t>Revision / status</w:t>
            </w:r>
          </w:p>
        </w:tc>
        <w:tc>
          <w:tcPr>
            <w:tcW w:type="dxa" w:w="7313"/>
          </w:tcPr>
          <w:p>
            <w:pPr>
              <w:spacing w:after="0"/>
            </w:pPr>
            <w:r>
              <w:rPr>
                <w:sz w:val="16"/>
              </w:rPr>
              <w:t>Rev A - IFR, issued 2026-12-14</w:t>
            </w:r>
          </w:p>
        </w:tc>
      </w:tr>
      <w:tr>
        <w:trPr>
          <w:cantSplit w:val="true"/>
        </w:trPr>
        <w:tc>
          <w:tcPr>
            <w:tcW w:type="dxa" w:w="2551"/>
          </w:tcPr>
          <w:p>
            <w:pPr>
              <w:spacing w:after="0"/>
            </w:pPr>
            <w:r>
              <w:rPr>
                <w:b/>
                <w:sz w:val="16"/>
              </w:rPr>
              <w:t>Originator</w:t>
            </w:r>
          </w:p>
        </w:tc>
        <w:tc>
          <w:tcPr>
            <w:tcW w:type="dxa" w:w="7313"/>
          </w:tcPr>
          <w:p>
            <w:pPr>
              <w:spacing w:after="0"/>
            </w:pPr>
            <w:r>
              <w:rPr>
                <w:sz w:val="16"/>
              </w:rPr>
              <w:t>Istanbul EPC Mühendislik ve Taahhüt A.Ş.</w:t>
            </w:r>
          </w:p>
        </w:tc>
      </w:tr>
      <w:tr>
        <w:trPr>
          <w:cantSplit w:val="true"/>
        </w:trPr>
        <w:tc>
          <w:tcPr>
            <w:tcW w:type="dxa" w:w="2551"/>
          </w:tcPr>
          <w:p>
            <w:pPr>
              <w:spacing w:after="0"/>
            </w:pPr>
            <w:r>
              <w:rPr>
                <w:b/>
                <w:sz w:val="16"/>
              </w:rPr>
              <w:t>Discipline / type</w:t>
            </w:r>
          </w:p>
        </w:tc>
        <w:tc>
          <w:tcPr>
            <w:tcW w:type="dxa" w:w="7313"/>
          </w:tcPr>
          <w:p>
            <w:pPr>
              <w:spacing w:after="0"/>
            </w:pPr>
            <w:r>
              <w:rPr>
                <w:sz w:val="16"/>
              </w:rPr>
              <w:t>process / HMB Heat and mass balance</w:t>
            </w:r>
          </w:p>
        </w:tc>
      </w:tr>
      <w:tr>
        <w:trPr>
          <w:cantSplit w:val="true"/>
        </w:trPr>
        <w:tc>
          <w:tcPr>
            <w:tcW w:type="dxa" w:w="2551"/>
          </w:tcPr>
          <w:p>
            <w:pPr>
              <w:spacing w:after="0"/>
            </w:pPr>
            <w:r>
              <w:rPr>
                <w:b/>
                <w:sz w:val="16"/>
              </w:rPr>
              <w:t>Review class</w:t>
            </w:r>
          </w:p>
        </w:tc>
        <w:tc>
          <w:tcPr>
            <w:tcW w:type="dxa" w:w="7313"/>
          </w:tcPr>
          <w:p>
            <w:pPr>
              <w:spacing w:after="0"/>
            </w:pPr>
            <w:r>
              <w:rPr>
                <w:sz w:val="16"/>
              </w:rPr>
              <w:t>approval (Basic Design Package)</w:t>
            </w:r>
          </w:p>
        </w:tc>
      </w:tr>
      <w:tr>
        <w:trPr>
          <w:cantSplit w:val="true"/>
        </w:trPr>
        <w:tc>
          <w:tcPr>
            <w:tcW w:type="dxa" w:w="2551"/>
          </w:tcPr>
          <w:p>
            <w:pPr>
              <w:spacing w:after="0"/>
            </w:pPr>
            <w:r>
              <w:rPr>
                <w:b/>
                <w:sz w:val="16"/>
              </w:rPr>
              <w:t>Basis</w:t>
            </w:r>
          </w:p>
        </w:tc>
        <w:tc>
          <w:tcPr>
            <w:tcW w:type="dxa" w:w="7313"/>
          </w:tcPr>
          <w:p>
            <w:pPr>
              <w:spacing w:after="0"/>
            </w:pPr>
            <w:r>
              <w:rPr>
                <w:sz w:val="16"/>
              </w:rPr>
              <w:t>requirement:ER-03.02, requirement:ER-04.06</w:t>
            </w:r>
          </w:p>
        </w:tc>
      </w:tr>
    </w:tbl>
    <w:p>
      <w:pPr>
        <w:spacing w:after="40"/>
      </w:pPr>
    </w:p>
    <w:tbl>
      <w:tblPr>
        <w:tblStyle w:val="TableGrid"/>
        <w:tblW w:type="auto" w:w="0"/>
        <w:tblLayout w:type="fixed"/>
        <w:tblLook w:firstColumn="1" w:firstRow="1" w:lastColumn="0" w:lastRow="0" w:noHBand="0" w:noVBand="1" w:val="04A0"/>
      </w:tblPr>
      <w:tblGrid>
        <w:gridCol w:w="567"/>
        <w:gridCol w:w="793"/>
        <w:gridCol w:w="1134"/>
        <w:gridCol w:w="3968"/>
        <w:gridCol w:w="1134"/>
        <w:gridCol w:w="1134"/>
        <w:gridCol w:w="1134"/>
      </w:tblGrid>
      <w:tr>
        <w:trPr>
          <w:tblHeader w:val="true"/>
        </w:trPr>
        <w:tc>
          <w:tcPr>
            <w:tcW w:type="dxa" w:w="567"/>
            <w:shd w:val="clear" w:color="auto" w:fill="1F3864"/>
          </w:tcPr>
          <w:p>
            <w:r>
              <w:rPr>
                <w:b/>
                <w:color w:val="FFFFFF"/>
                <w:sz w:val="14"/>
              </w:rPr>
              <w:t>Rev</w:t>
            </w:r>
          </w:p>
        </w:tc>
        <w:tc>
          <w:tcPr>
            <w:tcW w:type="dxa" w:w="794"/>
            <w:shd w:val="clear" w:color="auto" w:fill="1F3864"/>
          </w:tcPr>
          <w:p>
            <w:r>
              <w:rPr>
                <w:b/>
                <w:color w:val="FFFFFF"/>
                <w:sz w:val="14"/>
              </w:rPr>
              <w:t>Purpose</w:t>
            </w:r>
          </w:p>
        </w:tc>
        <w:tc>
          <w:tcPr>
            <w:tcW w:type="dxa" w:w="1134"/>
            <w:shd w:val="clear" w:color="auto" w:fill="1F3864"/>
          </w:tcPr>
          <w:p>
            <w:r>
              <w:rPr>
                <w:b/>
                <w:color w:val="FFFFFF"/>
                <w:sz w:val="14"/>
              </w:rPr>
              <w:t>Date</w:t>
            </w:r>
          </w:p>
        </w:tc>
        <w:tc>
          <w:tcPr>
            <w:tcW w:type="dxa" w:w="3969"/>
            <w:shd w:val="clear" w:color="auto" w:fill="1F3864"/>
          </w:tcPr>
          <w:p>
            <w:r>
              <w:rPr>
                <w:b/>
                <w:color w:val="FFFFFF"/>
                <w:sz w:val="14"/>
              </w:rPr>
              <w:t>Description</w:t>
            </w:r>
          </w:p>
        </w:tc>
        <w:tc>
          <w:tcPr>
            <w:tcW w:type="dxa" w:w="1134"/>
            <w:shd w:val="clear" w:color="auto" w:fill="1F3864"/>
          </w:tcPr>
          <w:p>
            <w:r>
              <w:rPr>
                <w:b/>
                <w:color w:val="FFFFFF"/>
                <w:sz w:val="14"/>
              </w:rPr>
              <w:t>Prepared</w:t>
            </w:r>
          </w:p>
        </w:tc>
        <w:tc>
          <w:tcPr>
            <w:tcW w:type="dxa" w:w="1134"/>
            <w:shd w:val="clear" w:color="auto" w:fill="1F3864"/>
          </w:tcPr>
          <w:p>
            <w:r>
              <w:rPr>
                <w:b/>
                <w:color w:val="FFFFFF"/>
                <w:sz w:val="14"/>
              </w:rPr>
              <w:t>Checked</w:t>
            </w:r>
          </w:p>
        </w:tc>
        <w:tc>
          <w:tcPr>
            <w:tcW w:type="dxa" w:w="1134"/>
            <w:shd w:val="clear" w:color="auto" w:fill="1F3864"/>
          </w:tcPr>
          <w:p>
            <w:r>
              <w:rPr>
                <w:b/>
                <w:color w:val="FFFFFF"/>
                <w:sz w:val="14"/>
              </w:rPr>
              <w:t>Approved</w:t>
            </w:r>
          </w:p>
        </w:tc>
      </w:tr>
      <w:tr>
        <w:trPr>
          <w:cantSplit w:val="true"/>
        </w:trPr>
        <w:tc>
          <w:tcPr>
            <w:tcW w:type="dxa" w:w="567"/>
          </w:tcPr>
          <w:p>
            <w:pPr>
              <w:spacing w:after="0"/>
            </w:pPr>
            <w:r>
              <w:rPr>
                <w:sz w:val="14"/>
              </w:rPr>
              <w:t>A</w:t>
            </w:r>
          </w:p>
        </w:tc>
        <w:tc>
          <w:tcPr>
            <w:tcW w:type="dxa" w:w="794"/>
          </w:tcPr>
          <w:p>
            <w:pPr>
              <w:spacing w:after="0"/>
            </w:pPr>
            <w:r>
              <w:rPr>
                <w:sz w:val="14"/>
              </w:rPr>
              <w:t>IFR</w:t>
            </w:r>
          </w:p>
        </w:tc>
        <w:tc>
          <w:tcPr>
            <w:tcW w:type="dxa" w:w="1134"/>
          </w:tcPr>
          <w:p>
            <w:pPr>
              <w:spacing w:after="0"/>
            </w:pPr>
            <w:r>
              <w:rPr>
                <w:sz w:val="14"/>
              </w:rPr>
              <w:t>2026-12-14</w:t>
            </w:r>
          </w:p>
        </w:tc>
        <w:tc>
          <w:tcPr>
            <w:tcW w:type="dxa" w:w="3969"/>
          </w:tcPr>
          <w:p>
            <w:pPr>
              <w:spacing w:after="0"/>
            </w:pPr>
            <w:r>
              <w:rPr>
                <w:sz w:val="14"/>
              </w:rPr>
              <w:t>First issue for Owner approval (CW rise open, TQ-IEC-026)</w:t>
            </w:r>
          </w:p>
        </w:tc>
        <w:tc>
          <w:tcPr>
            <w:tcW w:type="dxa" w:w="1134"/>
          </w:tcPr>
          <w:p>
            <w:pPr>
              <w:spacing w:after="0"/>
            </w:pPr>
            <w:r>
              <w:rPr>
                <w:sz w:val="14"/>
              </w:rPr>
              <w:t>EPCE</w:t>
            </w:r>
          </w:p>
        </w:tc>
        <w:tc>
          <w:tcPr>
            <w:tcW w:type="dxa" w:w="1134"/>
          </w:tcPr>
          <w:p>
            <w:pPr>
              <w:spacing w:after="0"/>
            </w:pPr>
            <w:r>
              <w:rPr>
                <w:sz w:val="14"/>
              </w:rPr>
              <w:t>EPC process lead</w:t>
            </w:r>
          </w:p>
        </w:tc>
        <w:tc>
          <w:tcPr>
            <w:tcW w:type="dxa" w:w="1134"/>
          </w:tcPr>
          <w:p>
            <w:pPr>
              <w:spacing w:after="0"/>
            </w:pPr>
            <w:r>
              <w:rPr>
                <w:sz w:val="14"/>
              </w:rPr>
              <w:t>EPC engineering manager</w:t>
            </w:r>
          </w:p>
        </w:tc>
      </w:tr>
    </w:tbl>
    <w:p>
      <w:pPr>
        <w:spacing w:after="40"/>
      </w:pPr>
    </w:p>
    <w:p>
      <w:pPr>
        <w:pStyle w:val="Heading1"/>
        <w:keepNext/>
      </w:pPr>
      <w:r>
        <w:t>1. Purpose and basis</w:t>
      </w:r>
    </w:p>
    <w:p>
      <w:r>
        <w:t>This document gives the plant heat and mass balances of all design and guarantee cases: the power island performance data of Imaginary Electric, the EPC piping pressure and temperature drops, the balance-of-plant auxiliary loads and the other plant fuel consumers. Every stream enthalpy is recomputed (IAPWS-IF97 for water / steam, ideal-gas mixtures for air, fuel and flue gas), every node is closed for mass and energy, and each case is checked against the guarantees and limits it covers. Power island data:</w:t>
      </w:r>
    </w:p>
    <w:p>
      <w:pPr>
        <w:pStyle w:val="ListBullet"/>
      </w:pPr>
      <w:r>
        <w:t>SRC-IECE-0005 Power island off-design heat balances (case book) - Rev A</w:t>
      </w:r>
    </w:p>
    <w:p>
      <w:pPr>
        <w:pStyle w:val="ListBullet"/>
      </w:pPr>
      <w:r>
        <w:t>SRC-OWNR-0004 Secondary fuel: light diesel oil (LDO)</w:t>
      </w:r>
    </w:p>
    <w:p>
      <w:pPr>
        <w:pStyle w:val="Heading1"/>
        <w:keepNext/>
      </w:pPr>
      <w:r>
        <w:t>2. Cases</w:t>
      </w:r>
    </w:p>
    <w:tbl>
      <w:tblPr>
        <w:tblStyle w:val="TableGrid"/>
        <w:tblW w:type="auto" w:w="0"/>
        <w:tblLayout w:type="fixed"/>
        <w:tblLook w:firstColumn="1" w:firstRow="1" w:lastColumn="0" w:lastRow="0" w:noHBand="0" w:noVBand="1" w:val="04A0"/>
      </w:tblPr>
      <w:tblGrid>
        <w:gridCol w:w="1360"/>
        <w:gridCol w:w="3742"/>
        <w:gridCol w:w="907"/>
        <w:gridCol w:w="907"/>
        <w:gridCol w:w="680"/>
        <w:gridCol w:w="1020"/>
        <w:gridCol w:w="793"/>
      </w:tblGrid>
      <w:tr>
        <w:trPr>
          <w:tblHeader w:val="true"/>
        </w:trPr>
        <w:tc>
          <w:tcPr>
            <w:tcW w:type="dxa" w:w="1361"/>
            <w:shd w:val="clear" w:color="auto" w:fill="1F3864"/>
          </w:tcPr>
          <w:p>
            <w:r>
              <w:rPr>
                <w:b/>
                <w:color w:val="FFFFFF"/>
                <w:sz w:val="14"/>
              </w:rPr>
              <w:t>Case</w:t>
            </w:r>
          </w:p>
        </w:tc>
        <w:tc>
          <w:tcPr>
            <w:tcW w:type="dxa" w:w="3742"/>
            <w:shd w:val="clear" w:color="auto" w:fill="1F3864"/>
          </w:tcPr>
          <w:p>
            <w:r>
              <w:rPr>
                <w:b/>
                <w:color w:val="FFFFFF"/>
                <w:sz w:val="14"/>
              </w:rPr>
              <w:t>Description</w:t>
            </w:r>
          </w:p>
        </w:tc>
        <w:tc>
          <w:tcPr>
            <w:tcW w:type="dxa" w:w="907"/>
            <w:shd w:val="clear" w:color="auto" w:fill="1F3864"/>
          </w:tcPr>
          <w:p>
            <w:r>
              <w:rPr>
                <w:b/>
                <w:color w:val="FFFFFF"/>
                <w:sz w:val="14"/>
              </w:rPr>
              <w:t>Fuel</w:t>
            </w:r>
          </w:p>
        </w:tc>
        <w:tc>
          <w:tcPr>
            <w:tcW w:type="dxa" w:w="907"/>
            <w:shd w:val="clear" w:color="auto" w:fill="1F3864"/>
          </w:tcPr>
          <w:p>
            <w:r>
              <w:rPr>
                <w:b/>
                <w:color w:val="FFFFFF"/>
                <w:sz w:val="14"/>
              </w:rPr>
              <w:t>Ambient degC</w:t>
            </w:r>
          </w:p>
        </w:tc>
        <w:tc>
          <w:tcPr>
            <w:tcW w:type="dxa" w:w="680"/>
            <w:shd w:val="clear" w:color="auto" w:fill="1F3864"/>
          </w:tcPr>
          <w:p>
            <w:r>
              <w:rPr>
                <w:b/>
                <w:color w:val="FFFFFF"/>
                <w:sz w:val="14"/>
              </w:rPr>
              <w:t>RH %</w:t>
            </w:r>
          </w:p>
        </w:tc>
        <w:tc>
          <w:tcPr>
            <w:tcW w:type="dxa" w:w="1020"/>
            <w:shd w:val="clear" w:color="auto" w:fill="1F3864"/>
          </w:tcPr>
          <w:p>
            <w:r>
              <w:rPr>
                <w:b/>
                <w:color w:val="FFFFFF"/>
                <w:sz w:val="14"/>
              </w:rPr>
              <w:t>Seawater degC</w:t>
            </w:r>
          </w:p>
        </w:tc>
        <w:tc>
          <w:tcPr>
            <w:tcW w:type="dxa" w:w="794"/>
            <w:shd w:val="clear" w:color="auto" w:fill="1F3864"/>
          </w:tcPr>
          <w:p>
            <w:r>
              <w:rPr>
                <w:b/>
                <w:color w:val="FFFFFF"/>
                <w:sz w:val="14"/>
              </w:rPr>
              <w:t>GT load %</w:t>
            </w:r>
          </w:p>
        </w:tc>
      </w:tr>
      <w:tr>
        <w:trPr>
          <w:cantSplit w:val="true"/>
        </w:trPr>
        <w:tc>
          <w:tcPr>
            <w:tcW w:type="dxa" w:w="1361"/>
          </w:tcPr>
          <w:p>
            <w:pPr>
              <w:spacing w:after="0"/>
            </w:pPr>
            <w:r>
              <w:rPr>
                <w:sz w:val="14"/>
              </w:rPr>
              <w:t>MAX-NG-100</w:t>
            </w:r>
          </w:p>
        </w:tc>
        <w:tc>
          <w:tcPr>
            <w:tcW w:type="dxa" w:w="3742"/>
          </w:tcPr>
          <w:p>
            <w:pPr>
              <w:spacing w:after="0"/>
            </w:pPr>
            <w:r>
              <w:rPr>
                <w:sz w:val="14"/>
              </w:rPr>
              <w:t>Maximum ambient (40 degC) with maximum seawater (27 degC), natural gas, base load</w:t>
            </w:r>
          </w:p>
        </w:tc>
        <w:tc>
          <w:tcPr>
            <w:tcW w:type="dxa" w:w="907"/>
          </w:tcPr>
          <w:p>
            <w:pPr>
              <w:spacing w:after="0"/>
            </w:pPr>
            <w:r>
              <w:rPr>
                <w:sz w:val="14"/>
              </w:rPr>
              <w:t>gas</w:t>
            </w:r>
          </w:p>
        </w:tc>
        <w:tc>
          <w:tcPr>
            <w:tcW w:type="dxa" w:w="907"/>
          </w:tcPr>
          <w:p>
            <w:pPr>
              <w:spacing w:after="0"/>
            </w:pPr>
            <w:r>
              <w:rPr>
                <w:sz w:val="14"/>
              </w:rPr>
              <w:t>40</w:t>
            </w:r>
          </w:p>
        </w:tc>
        <w:tc>
          <w:tcPr>
            <w:tcW w:type="dxa" w:w="680"/>
          </w:tcPr>
          <w:p>
            <w:pPr>
              <w:spacing w:after="0"/>
            </w:pPr>
            <w:r>
              <w:rPr>
                <w:sz w:val="14"/>
              </w:rPr>
              <w:t>35</w:t>
            </w:r>
          </w:p>
        </w:tc>
        <w:tc>
          <w:tcPr>
            <w:tcW w:type="dxa" w:w="1020"/>
          </w:tcPr>
          <w:p>
            <w:pPr>
              <w:spacing w:after="0"/>
            </w:pPr>
            <w:r>
              <w:rPr>
                <w:sz w:val="14"/>
              </w:rPr>
              <w:t>27</w:t>
            </w:r>
          </w:p>
        </w:tc>
        <w:tc>
          <w:tcPr>
            <w:tcW w:type="dxa" w:w="794"/>
          </w:tcPr>
          <w:p>
            <w:pPr>
              <w:spacing w:after="0"/>
            </w:pPr>
            <w:r>
              <w:rPr>
                <w:sz w:val="14"/>
              </w:rPr>
              <w:t>100</w:t>
            </w:r>
          </w:p>
        </w:tc>
      </w:tr>
      <w:tr>
        <w:trPr>
          <w:cantSplit w:val="true"/>
        </w:trPr>
        <w:tc>
          <w:tcPr>
            <w:tcW w:type="dxa" w:w="1361"/>
          </w:tcPr>
          <w:p>
            <w:pPr>
              <w:spacing w:after="0"/>
            </w:pPr>
            <w:r>
              <w:rPr>
                <w:sz w:val="14"/>
              </w:rPr>
              <w:t>MIN-NG-100</w:t>
            </w:r>
          </w:p>
        </w:tc>
        <w:tc>
          <w:tcPr>
            <w:tcW w:type="dxa" w:w="3742"/>
          </w:tcPr>
          <w:p>
            <w:pPr>
              <w:spacing w:after="0"/>
            </w:pPr>
            <w:r>
              <w:rPr>
                <w:sz w:val="14"/>
              </w:rPr>
              <w:t>Minimum ambient for full capability (-8 degC), natural gas, base load</w:t>
            </w:r>
          </w:p>
        </w:tc>
        <w:tc>
          <w:tcPr>
            <w:tcW w:type="dxa" w:w="907"/>
          </w:tcPr>
          <w:p>
            <w:pPr>
              <w:spacing w:after="0"/>
            </w:pPr>
            <w:r>
              <w:rPr>
                <w:sz w:val="14"/>
              </w:rPr>
              <w:t>gas</w:t>
            </w:r>
          </w:p>
        </w:tc>
        <w:tc>
          <w:tcPr>
            <w:tcW w:type="dxa" w:w="907"/>
          </w:tcPr>
          <w:p>
            <w:pPr>
              <w:spacing w:after="0"/>
            </w:pPr>
            <w:r>
              <w:rPr>
                <w:sz w:val="14"/>
              </w:rPr>
              <w:t>-8</w:t>
            </w:r>
          </w:p>
        </w:tc>
        <w:tc>
          <w:tcPr>
            <w:tcW w:type="dxa" w:w="680"/>
          </w:tcPr>
          <w:p>
            <w:pPr>
              <w:spacing w:after="0"/>
            </w:pPr>
            <w:r>
              <w:rPr>
                <w:sz w:val="14"/>
              </w:rPr>
              <w:t>80</w:t>
            </w:r>
          </w:p>
        </w:tc>
        <w:tc>
          <w:tcPr>
            <w:tcW w:type="dxa" w:w="1020"/>
          </w:tcPr>
          <w:p>
            <w:pPr>
              <w:spacing w:after="0"/>
            </w:pPr>
            <w:r>
              <w:rPr>
                <w:sz w:val="14"/>
              </w:rPr>
              <w:t>6.9</w:t>
            </w:r>
          </w:p>
        </w:tc>
        <w:tc>
          <w:tcPr>
            <w:tcW w:type="dxa" w:w="794"/>
          </w:tcPr>
          <w:p>
            <w:pPr>
              <w:spacing w:after="0"/>
            </w:pPr>
            <w:r>
              <w:rPr>
                <w:sz w:val="14"/>
              </w:rPr>
              <w:t>100</w:t>
            </w:r>
          </w:p>
        </w:tc>
      </w:tr>
      <w:tr>
        <w:trPr>
          <w:cantSplit w:val="true"/>
        </w:trPr>
        <w:tc>
          <w:tcPr>
            <w:tcW w:type="dxa" w:w="1361"/>
          </w:tcPr>
          <w:p>
            <w:pPr>
              <w:spacing w:after="0"/>
            </w:pPr>
            <w:r>
              <w:rPr>
                <w:sz w:val="14"/>
              </w:rPr>
              <w:t>SRC-LDO-100</w:t>
            </w:r>
          </w:p>
        </w:tc>
        <w:tc>
          <w:tcPr>
            <w:tcW w:type="dxa" w:w="3742"/>
          </w:tcPr>
          <w:p>
            <w:pPr>
              <w:spacing w:after="0"/>
            </w:pPr>
            <w:r>
              <w:rPr>
                <w:sz w:val="14"/>
              </w:rPr>
              <w:t>Site Reference Conditions, LDO with water injection, base load (guarantee PG-15/16)</w:t>
            </w:r>
          </w:p>
        </w:tc>
        <w:tc>
          <w:tcPr>
            <w:tcW w:type="dxa" w:w="907"/>
          </w:tcPr>
          <w:p>
            <w:pPr>
              <w:spacing w:after="0"/>
            </w:pPr>
            <w:r>
              <w:rPr>
                <w:sz w:val="14"/>
              </w:rPr>
              <w:t>LDO</w:t>
            </w:r>
          </w:p>
        </w:tc>
        <w:tc>
          <w:tcPr>
            <w:tcW w:type="dxa" w:w="907"/>
          </w:tcPr>
          <w:p>
            <w:pPr>
              <w:spacing w:after="0"/>
            </w:pPr>
            <w:r>
              <w:rPr>
                <w:sz w:val="14"/>
              </w:rPr>
              <w:t>15</w:t>
            </w:r>
          </w:p>
        </w:tc>
        <w:tc>
          <w:tcPr>
            <w:tcW w:type="dxa" w:w="680"/>
          </w:tcPr>
          <w:p>
            <w:pPr>
              <w:spacing w:after="0"/>
            </w:pPr>
            <w:r>
              <w:rPr>
                <w:sz w:val="14"/>
              </w:rPr>
              <w:t>70</w:t>
            </w:r>
          </w:p>
        </w:tc>
        <w:tc>
          <w:tcPr>
            <w:tcW w:type="dxa" w:w="1020"/>
          </w:tcPr>
          <w:p>
            <w:pPr>
              <w:spacing w:after="0"/>
            </w:pPr>
            <w:r>
              <w:rPr>
                <w:sz w:val="14"/>
              </w:rPr>
              <w:t>16</w:t>
            </w:r>
          </w:p>
        </w:tc>
        <w:tc>
          <w:tcPr>
            <w:tcW w:type="dxa" w:w="794"/>
          </w:tcPr>
          <w:p>
            <w:pPr>
              <w:spacing w:after="0"/>
            </w:pPr>
            <w:r>
              <w:rPr>
                <w:sz w:val="14"/>
              </w:rPr>
              <w:t>100</w:t>
            </w:r>
          </w:p>
        </w:tc>
      </w:tr>
      <w:tr>
        <w:trPr>
          <w:cantSplit w:val="true"/>
        </w:trPr>
        <w:tc>
          <w:tcPr>
            <w:tcW w:type="dxa" w:w="1361"/>
          </w:tcPr>
          <w:p>
            <w:pPr>
              <w:spacing w:after="0"/>
            </w:pPr>
            <w:r>
              <w:rPr>
                <w:sz w:val="14"/>
              </w:rPr>
              <w:t>SRC-NG-060</w:t>
            </w:r>
          </w:p>
        </w:tc>
        <w:tc>
          <w:tcPr>
            <w:tcW w:type="dxa" w:w="3742"/>
          </w:tcPr>
          <w:p>
            <w:pPr>
              <w:spacing w:after="0"/>
            </w:pPr>
            <w:r>
              <w:rPr>
                <w:sz w:val="14"/>
              </w:rPr>
              <w:t>Site Reference Conditions, natural gas, 60 % plant net load (guarantee PG-03)</w:t>
            </w:r>
          </w:p>
        </w:tc>
        <w:tc>
          <w:tcPr>
            <w:tcW w:type="dxa" w:w="907"/>
          </w:tcPr>
          <w:p>
            <w:pPr>
              <w:spacing w:after="0"/>
            </w:pPr>
            <w:r>
              <w:rPr>
                <w:sz w:val="14"/>
              </w:rPr>
              <w:t>gas</w:t>
            </w:r>
          </w:p>
        </w:tc>
        <w:tc>
          <w:tcPr>
            <w:tcW w:type="dxa" w:w="907"/>
          </w:tcPr>
          <w:p>
            <w:pPr>
              <w:spacing w:after="0"/>
            </w:pPr>
            <w:r>
              <w:rPr>
                <w:sz w:val="14"/>
              </w:rPr>
              <w:t>15</w:t>
            </w:r>
          </w:p>
        </w:tc>
        <w:tc>
          <w:tcPr>
            <w:tcW w:type="dxa" w:w="680"/>
          </w:tcPr>
          <w:p>
            <w:pPr>
              <w:spacing w:after="0"/>
            </w:pPr>
            <w:r>
              <w:rPr>
                <w:sz w:val="14"/>
              </w:rPr>
              <w:t>70</w:t>
            </w:r>
          </w:p>
        </w:tc>
        <w:tc>
          <w:tcPr>
            <w:tcW w:type="dxa" w:w="1020"/>
          </w:tcPr>
          <w:p>
            <w:pPr>
              <w:spacing w:after="0"/>
            </w:pPr>
            <w:r>
              <w:rPr>
                <w:sz w:val="14"/>
              </w:rPr>
              <w:t>16</w:t>
            </w:r>
          </w:p>
        </w:tc>
        <w:tc>
          <w:tcPr>
            <w:tcW w:type="dxa" w:w="794"/>
          </w:tcPr>
          <w:p>
            <w:pPr>
              <w:spacing w:after="0"/>
            </w:pPr>
            <w:r>
              <w:rPr>
                <w:sz w:val="14"/>
              </w:rPr>
              <w:t>55.78</w:t>
            </w:r>
          </w:p>
        </w:tc>
      </w:tr>
      <w:tr>
        <w:trPr>
          <w:cantSplit w:val="true"/>
        </w:trPr>
        <w:tc>
          <w:tcPr>
            <w:tcW w:type="dxa" w:w="1361"/>
          </w:tcPr>
          <w:p>
            <w:pPr>
              <w:spacing w:after="0"/>
            </w:pPr>
            <w:r>
              <w:rPr>
                <w:sz w:val="14"/>
              </w:rPr>
              <w:t>SRC-NG-100</w:t>
            </w:r>
          </w:p>
        </w:tc>
        <w:tc>
          <w:tcPr>
            <w:tcW w:type="dxa" w:w="3742"/>
          </w:tcPr>
          <w:p>
            <w:pPr>
              <w:spacing w:after="0"/>
            </w:pPr>
            <w:r>
              <w:rPr>
                <w:sz w:val="14"/>
              </w:rPr>
              <w:t>Site Reference Conditions, natural gas, base load (guarantee case)</w:t>
            </w:r>
          </w:p>
        </w:tc>
        <w:tc>
          <w:tcPr>
            <w:tcW w:type="dxa" w:w="907"/>
          </w:tcPr>
          <w:p>
            <w:pPr>
              <w:spacing w:after="0"/>
            </w:pPr>
            <w:r>
              <w:rPr>
                <w:sz w:val="14"/>
              </w:rPr>
              <w:t>gas</w:t>
            </w:r>
          </w:p>
        </w:tc>
        <w:tc>
          <w:tcPr>
            <w:tcW w:type="dxa" w:w="907"/>
          </w:tcPr>
          <w:p>
            <w:pPr>
              <w:spacing w:after="0"/>
            </w:pPr>
            <w:r>
              <w:rPr>
                <w:sz w:val="14"/>
              </w:rPr>
              <w:t>15</w:t>
            </w:r>
          </w:p>
        </w:tc>
        <w:tc>
          <w:tcPr>
            <w:tcW w:type="dxa" w:w="680"/>
          </w:tcPr>
          <w:p>
            <w:pPr>
              <w:spacing w:after="0"/>
            </w:pPr>
            <w:r>
              <w:rPr>
                <w:sz w:val="14"/>
              </w:rPr>
              <w:t>70</w:t>
            </w:r>
          </w:p>
        </w:tc>
        <w:tc>
          <w:tcPr>
            <w:tcW w:type="dxa" w:w="1020"/>
          </w:tcPr>
          <w:p>
            <w:pPr>
              <w:spacing w:after="0"/>
            </w:pPr>
            <w:r>
              <w:rPr>
                <w:sz w:val="14"/>
              </w:rPr>
              <w:t>16</w:t>
            </w:r>
          </w:p>
        </w:tc>
        <w:tc>
          <w:tcPr>
            <w:tcW w:type="dxa" w:w="794"/>
          </w:tcPr>
          <w:p>
            <w:pPr>
              <w:spacing w:after="0"/>
            </w:pPr>
            <w:r>
              <w:rPr>
                <w:sz w:val="14"/>
              </w:rPr>
              <w:t>100</w:t>
            </w:r>
          </w:p>
        </w:tc>
      </w:tr>
      <w:tr>
        <w:trPr>
          <w:cantSplit w:val="true"/>
        </w:trPr>
        <w:tc>
          <w:tcPr>
            <w:tcW w:type="dxa" w:w="1361"/>
          </w:tcPr>
          <w:p>
            <w:pPr>
              <w:spacing w:after="0"/>
            </w:pPr>
            <w:r>
              <w:rPr>
                <w:sz w:val="14"/>
              </w:rPr>
              <w:t>SRC-NG-GT80</w:t>
            </w:r>
          </w:p>
        </w:tc>
        <w:tc>
          <w:tcPr>
            <w:tcW w:type="dxa" w:w="3742"/>
          </w:tcPr>
          <w:p>
            <w:pPr>
              <w:spacing w:after="0"/>
            </w:pPr>
            <w:r>
              <w:rPr>
                <w:sz w:val="14"/>
              </w:rPr>
              <w:t>Site Reference Conditions, natural gas, GT at 80 % load</w:t>
            </w:r>
          </w:p>
        </w:tc>
        <w:tc>
          <w:tcPr>
            <w:tcW w:type="dxa" w:w="907"/>
          </w:tcPr>
          <w:p>
            <w:pPr>
              <w:spacing w:after="0"/>
            </w:pPr>
            <w:r>
              <w:rPr>
                <w:sz w:val="14"/>
              </w:rPr>
              <w:t>gas</w:t>
            </w:r>
          </w:p>
        </w:tc>
        <w:tc>
          <w:tcPr>
            <w:tcW w:type="dxa" w:w="907"/>
          </w:tcPr>
          <w:p>
            <w:pPr>
              <w:spacing w:after="0"/>
            </w:pPr>
            <w:r>
              <w:rPr>
                <w:sz w:val="14"/>
              </w:rPr>
              <w:t>15</w:t>
            </w:r>
          </w:p>
        </w:tc>
        <w:tc>
          <w:tcPr>
            <w:tcW w:type="dxa" w:w="680"/>
          </w:tcPr>
          <w:p>
            <w:pPr>
              <w:spacing w:after="0"/>
            </w:pPr>
            <w:r>
              <w:rPr>
                <w:sz w:val="14"/>
              </w:rPr>
              <w:t>70</w:t>
            </w:r>
          </w:p>
        </w:tc>
        <w:tc>
          <w:tcPr>
            <w:tcW w:type="dxa" w:w="1020"/>
          </w:tcPr>
          <w:p>
            <w:pPr>
              <w:spacing w:after="0"/>
            </w:pPr>
            <w:r>
              <w:rPr>
                <w:sz w:val="14"/>
              </w:rPr>
              <w:t>16</w:t>
            </w:r>
          </w:p>
        </w:tc>
        <w:tc>
          <w:tcPr>
            <w:tcW w:type="dxa" w:w="794"/>
          </w:tcPr>
          <w:p>
            <w:pPr>
              <w:spacing w:after="0"/>
            </w:pPr>
            <w:r>
              <w:rPr>
                <w:sz w:val="14"/>
              </w:rPr>
              <w:t>80</w:t>
            </w:r>
          </w:p>
        </w:tc>
      </w:tr>
      <w:tr>
        <w:trPr>
          <w:cantSplit w:val="true"/>
        </w:trPr>
        <w:tc>
          <w:tcPr>
            <w:tcW w:type="dxa" w:w="1361"/>
          </w:tcPr>
          <w:p>
            <w:pPr>
              <w:spacing w:after="0"/>
            </w:pPr>
            <w:r>
              <w:rPr>
                <w:sz w:val="14"/>
              </w:rPr>
              <w:t>SRC-NG-MEL</w:t>
            </w:r>
          </w:p>
        </w:tc>
        <w:tc>
          <w:tcPr>
            <w:tcW w:type="dxa" w:w="3742"/>
          </w:tcPr>
          <w:p>
            <w:pPr>
              <w:spacing w:after="0"/>
            </w:pPr>
            <w:r>
              <w:rPr>
                <w:sz w:val="14"/>
              </w:rPr>
              <w:t>Site Reference Conditions, natural gas, GT at minimum emissions-compliant load (30 %, low-load extension)</w:t>
            </w:r>
          </w:p>
        </w:tc>
        <w:tc>
          <w:tcPr>
            <w:tcW w:type="dxa" w:w="907"/>
          </w:tcPr>
          <w:p>
            <w:pPr>
              <w:spacing w:after="0"/>
            </w:pPr>
            <w:r>
              <w:rPr>
                <w:sz w:val="14"/>
              </w:rPr>
              <w:t>gas</w:t>
            </w:r>
          </w:p>
        </w:tc>
        <w:tc>
          <w:tcPr>
            <w:tcW w:type="dxa" w:w="907"/>
          </w:tcPr>
          <w:p>
            <w:pPr>
              <w:spacing w:after="0"/>
            </w:pPr>
            <w:r>
              <w:rPr>
                <w:sz w:val="14"/>
              </w:rPr>
              <w:t>15</w:t>
            </w:r>
          </w:p>
        </w:tc>
        <w:tc>
          <w:tcPr>
            <w:tcW w:type="dxa" w:w="680"/>
          </w:tcPr>
          <w:p>
            <w:pPr>
              <w:spacing w:after="0"/>
            </w:pPr>
            <w:r>
              <w:rPr>
                <w:sz w:val="14"/>
              </w:rPr>
              <w:t>70</w:t>
            </w:r>
          </w:p>
        </w:tc>
        <w:tc>
          <w:tcPr>
            <w:tcW w:type="dxa" w:w="1020"/>
          </w:tcPr>
          <w:p>
            <w:pPr>
              <w:spacing w:after="0"/>
            </w:pPr>
            <w:r>
              <w:rPr>
                <w:sz w:val="14"/>
              </w:rPr>
              <w:t>16</w:t>
            </w:r>
          </w:p>
        </w:tc>
        <w:tc>
          <w:tcPr>
            <w:tcW w:type="dxa" w:w="794"/>
          </w:tcPr>
          <w:p>
            <w:pPr>
              <w:spacing w:after="0"/>
            </w:pPr>
            <w:r>
              <w:rPr>
                <w:sz w:val="14"/>
              </w:rPr>
              <w:t>30</w:t>
            </w:r>
          </w:p>
        </w:tc>
      </w:tr>
      <w:tr>
        <w:trPr>
          <w:cantSplit w:val="true"/>
        </w:trPr>
        <w:tc>
          <w:tcPr>
            <w:tcW w:type="dxa" w:w="1361"/>
          </w:tcPr>
          <w:p>
            <w:pPr>
              <w:spacing w:after="0"/>
            </w:pPr>
            <w:r>
              <w:rPr>
                <w:sz w:val="14"/>
              </w:rPr>
              <w:t>SUM-NG-100</w:t>
            </w:r>
          </w:p>
        </w:tc>
        <w:tc>
          <w:tcPr>
            <w:tcW w:type="dxa" w:w="3742"/>
          </w:tcPr>
          <w:p>
            <w:pPr>
              <w:spacing w:after="0"/>
            </w:pPr>
            <w:r>
              <w:rPr>
                <w:sz w:val="14"/>
              </w:rPr>
              <w:t>Summer design (32.8 degC, 0.4 %), natural gas, base load</w:t>
            </w:r>
          </w:p>
        </w:tc>
        <w:tc>
          <w:tcPr>
            <w:tcW w:type="dxa" w:w="907"/>
          </w:tcPr>
          <w:p>
            <w:pPr>
              <w:spacing w:after="0"/>
            </w:pPr>
            <w:r>
              <w:rPr>
                <w:sz w:val="14"/>
              </w:rPr>
              <w:t>gas</w:t>
            </w:r>
          </w:p>
        </w:tc>
        <w:tc>
          <w:tcPr>
            <w:tcW w:type="dxa" w:w="907"/>
          </w:tcPr>
          <w:p>
            <w:pPr>
              <w:spacing w:after="0"/>
            </w:pPr>
            <w:r>
              <w:rPr>
                <w:sz w:val="14"/>
              </w:rPr>
              <w:t>32.8</w:t>
            </w:r>
          </w:p>
        </w:tc>
        <w:tc>
          <w:tcPr>
            <w:tcW w:type="dxa" w:w="680"/>
          </w:tcPr>
          <w:p>
            <w:pPr>
              <w:spacing w:after="0"/>
            </w:pPr>
            <w:r>
              <w:rPr>
                <w:sz w:val="14"/>
              </w:rPr>
              <w:t>45</w:t>
            </w:r>
          </w:p>
        </w:tc>
        <w:tc>
          <w:tcPr>
            <w:tcW w:type="dxa" w:w="1020"/>
          </w:tcPr>
          <w:p>
            <w:pPr>
              <w:spacing w:after="0"/>
            </w:pPr>
            <w:r>
              <w:rPr>
                <w:sz w:val="14"/>
              </w:rPr>
              <w:t>24</w:t>
            </w:r>
          </w:p>
        </w:tc>
        <w:tc>
          <w:tcPr>
            <w:tcW w:type="dxa" w:w="794"/>
          </w:tcPr>
          <w:p>
            <w:pPr>
              <w:spacing w:after="0"/>
            </w:pPr>
            <w:r>
              <w:rPr>
                <w:sz w:val="14"/>
              </w:rPr>
              <w:t>100</w:t>
            </w:r>
          </w:p>
        </w:tc>
      </w:tr>
      <w:tr>
        <w:trPr>
          <w:cantSplit w:val="true"/>
        </w:trPr>
        <w:tc>
          <w:tcPr>
            <w:tcW w:type="dxa" w:w="1361"/>
          </w:tcPr>
          <w:p>
            <w:pPr>
              <w:spacing w:after="0"/>
            </w:pPr>
            <w:r>
              <w:rPr>
                <w:sz w:val="14"/>
              </w:rPr>
              <w:t>WIN-NG-100</w:t>
            </w:r>
          </w:p>
        </w:tc>
        <w:tc>
          <w:tcPr>
            <w:tcW w:type="dxa" w:w="3742"/>
          </w:tcPr>
          <w:p>
            <w:pPr>
              <w:spacing w:after="0"/>
            </w:pPr>
            <w:r>
              <w:rPr>
                <w:sz w:val="14"/>
              </w:rPr>
              <w:t>Winter design (-4.8 degC, 99.6 %), natural gas, base load (GT at output limit)</w:t>
            </w:r>
          </w:p>
        </w:tc>
        <w:tc>
          <w:tcPr>
            <w:tcW w:type="dxa" w:w="907"/>
          </w:tcPr>
          <w:p>
            <w:pPr>
              <w:spacing w:after="0"/>
            </w:pPr>
            <w:r>
              <w:rPr>
                <w:sz w:val="14"/>
              </w:rPr>
              <w:t>gas</w:t>
            </w:r>
          </w:p>
        </w:tc>
        <w:tc>
          <w:tcPr>
            <w:tcW w:type="dxa" w:w="907"/>
          </w:tcPr>
          <w:p>
            <w:pPr>
              <w:spacing w:after="0"/>
            </w:pPr>
            <w:r>
              <w:rPr>
                <w:sz w:val="14"/>
              </w:rPr>
              <w:t>-4.8</w:t>
            </w:r>
          </w:p>
        </w:tc>
        <w:tc>
          <w:tcPr>
            <w:tcW w:type="dxa" w:w="680"/>
          </w:tcPr>
          <w:p>
            <w:pPr>
              <w:spacing w:after="0"/>
            </w:pPr>
            <w:r>
              <w:rPr>
                <w:sz w:val="14"/>
              </w:rPr>
              <w:t>80</w:t>
            </w:r>
          </w:p>
        </w:tc>
        <w:tc>
          <w:tcPr>
            <w:tcW w:type="dxa" w:w="1020"/>
          </w:tcPr>
          <w:p>
            <w:pPr>
              <w:spacing w:after="0"/>
            </w:pPr>
            <w:r>
              <w:rPr>
                <w:sz w:val="14"/>
              </w:rPr>
              <w:t>8</w:t>
            </w:r>
          </w:p>
        </w:tc>
        <w:tc>
          <w:tcPr>
            <w:tcW w:type="dxa" w:w="794"/>
          </w:tcPr>
          <w:p>
            <w:pPr>
              <w:spacing w:after="0"/>
            </w:pPr>
            <w:r>
              <w:rPr>
                <w:sz w:val="14"/>
              </w:rPr>
              <w:t>100</w:t>
            </w:r>
          </w:p>
        </w:tc>
      </w:tr>
    </w:tbl>
    <w:p>
      <w:pPr>
        <w:spacing w:after="40"/>
      </w:pPr>
    </w:p>
    <w:p>
      <w:pPr>
        <w:pStyle w:val="Heading1"/>
        <w:keepNext/>
      </w:pPr>
      <w:r>
        <w:t>3. Results</w:t>
      </w:r>
    </w:p>
    <w:tbl>
      <w:tblPr>
        <w:tblStyle w:val="TableGrid"/>
        <w:tblW w:type="auto" w:w="0"/>
        <w:tblLayout w:type="fixed"/>
        <w:tblLook w:firstColumn="1" w:firstRow="1" w:lastColumn="0" w:lastRow="0" w:noHBand="0" w:noVBand="1" w:val="04A0"/>
      </w:tblPr>
      <w:tblGrid>
        <w:gridCol w:w="2381"/>
        <w:gridCol w:w="781"/>
        <w:gridCol w:w="781"/>
        <w:gridCol w:w="781"/>
        <w:gridCol w:w="781"/>
        <w:gridCol w:w="781"/>
        <w:gridCol w:w="781"/>
        <w:gridCol w:w="781"/>
        <w:gridCol w:w="781"/>
        <w:gridCol w:w="781"/>
      </w:tblGrid>
      <w:tr>
        <w:trPr>
          <w:tblHeader w:val="true"/>
        </w:trPr>
        <w:tc>
          <w:tcPr>
            <w:tcW w:type="dxa" w:w="2381"/>
            <w:shd w:val="clear" w:color="auto" w:fill="1F3864"/>
          </w:tcPr>
          <w:p>
            <w:r>
              <w:rPr>
                <w:b/>
                <w:color w:val="FFFFFF"/>
                <w:sz w:val="12"/>
              </w:rPr>
              <w:t>Item</w:t>
            </w:r>
          </w:p>
        </w:tc>
        <w:tc>
          <w:tcPr>
            <w:tcW w:type="dxa" w:w="781"/>
            <w:shd w:val="clear" w:color="auto" w:fill="1F3864"/>
          </w:tcPr>
          <w:p>
            <w:r>
              <w:rPr>
                <w:b/>
                <w:color w:val="FFFFFF"/>
                <w:sz w:val="12"/>
              </w:rPr>
              <w:t>MAX-NG-100</w:t>
            </w:r>
          </w:p>
        </w:tc>
        <w:tc>
          <w:tcPr>
            <w:tcW w:type="dxa" w:w="781"/>
            <w:shd w:val="clear" w:color="auto" w:fill="1F3864"/>
          </w:tcPr>
          <w:p>
            <w:r>
              <w:rPr>
                <w:b/>
                <w:color w:val="FFFFFF"/>
                <w:sz w:val="12"/>
              </w:rPr>
              <w:t>MIN-NG-100</w:t>
            </w:r>
          </w:p>
        </w:tc>
        <w:tc>
          <w:tcPr>
            <w:tcW w:type="dxa" w:w="781"/>
            <w:shd w:val="clear" w:color="auto" w:fill="1F3864"/>
          </w:tcPr>
          <w:p>
            <w:r>
              <w:rPr>
                <w:b/>
                <w:color w:val="FFFFFF"/>
                <w:sz w:val="12"/>
              </w:rPr>
              <w:t>SRC-LDO-100</w:t>
            </w:r>
          </w:p>
        </w:tc>
        <w:tc>
          <w:tcPr>
            <w:tcW w:type="dxa" w:w="781"/>
            <w:shd w:val="clear" w:color="auto" w:fill="1F3864"/>
          </w:tcPr>
          <w:p>
            <w:r>
              <w:rPr>
                <w:b/>
                <w:color w:val="FFFFFF"/>
                <w:sz w:val="12"/>
              </w:rPr>
              <w:t>SRC-NG-060</w:t>
            </w:r>
          </w:p>
        </w:tc>
        <w:tc>
          <w:tcPr>
            <w:tcW w:type="dxa" w:w="781"/>
            <w:shd w:val="clear" w:color="auto" w:fill="1F3864"/>
          </w:tcPr>
          <w:p>
            <w:r>
              <w:rPr>
                <w:b/>
                <w:color w:val="FFFFFF"/>
                <w:sz w:val="12"/>
              </w:rPr>
              <w:t>SRC-NG-100</w:t>
            </w:r>
          </w:p>
        </w:tc>
        <w:tc>
          <w:tcPr>
            <w:tcW w:type="dxa" w:w="781"/>
            <w:shd w:val="clear" w:color="auto" w:fill="1F3864"/>
          </w:tcPr>
          <w:p>
            <w:r>
              <w:rPr>
                <w:b/>
                <w:color w:val="FFFFFF"/>
                <w:sz w:val="12"/>
              </w:rPr>
              <w:t>SRC-NG-GT80</w:t>
            </w:r>
          </w:p>
        </w:tc>
        <w:tc>
          <w:tcPr>
            <w:tcW w:type="dxa" w:w="781"/>
            <w:shd w:val="clear" w:color="auto" w:fill="1F3864"/>
          </w:tcPr>
          <w:p>
            <w:r>
              <w:rPr>
                <w:b/>
                <w:color w:val="FFFFFF"/>
                <w:sz w:val="12"/>
              </w:rPr>
              <w:t>SRC-NG-MEL</w:t>
            </w:r>
          </w:p>
        </w:tc>
        <w:tc>
          <w:tcPr>
            <w:tcW w:type="dxa" w:w="781"/>
            <w:shd w:val="clear" w:color="auto" w:fill="1F3864"/>
          </w:tcPr>
          <w:p>
            <w:r>
              <w:rPr>
                <w:b/>
                <w:color w:val="FFFFFF"/>
                <w:sz w:val="12"/>
              </w:rPr>
              <w:t>SUM-NG-100</w:t>
            </w:r>
          </w:p>
        </w:tc>
        <w:tc>
          <w:tcPr>
            <w:tcW w:type="dxa" w:w="781"/>
            <w:shd w:val="clear" w:color="auto" w:fill="1F3864"/>
          </w:tcPr>
          <w:p>
            <w:r>
              <w:rPr>
                <w:b/>
                <w:color w:val="FFFFFF"/>
                <w:sz w:val="12"/>
              </w:rPr>
              <w:t>WIN-NG-100</w:t>
            </w:r>
          </w:p>
        </w:tc>
      </w:tr>
      <w:tr>
        <w:trPr>
          <w:cantSplit w:val="true"/>
        </w:trPr>
        <w:tc>
          <w:tcPr>
            <w:tcW w:type="dxa" w:w="2381"/>
          </w:tcPr>
          <w:p>
            <w:pPr>
              <w:spacing w:after="0"/>
            </w:pPr>
            <w:r>
              <w:rPr>
                <w:sz w:val="12"/>
              </w:rPr>
              <w:t>GT output MW</w:t>
            </w:r>
          </w:p>
        </w:tc>
        <w:tc>
          <w:tcPr>
            <w:tcW w:type="dxa" w:w="781"/>
          </w:tcPr>
          <w:p>
            <w:pPr>
              <w:spacing w:after="0"/>
            </w:pPr>
            <w:r>
              <w:rPr>
                <w:sz w:val="12"/>
              </w:rPr>
              <w:t>348.2</w:t>
            </w:r>
          </w:p>
        </w:tc>
        <w:tc>
          <w:tcPr>
            <w:tcW w:type="dxa" w:w="781"/>
          </w:tcPr>
          <w:p>
            <w:pPr>
              <w:spacing w:after="0"/>
            </w:pPr>
            <w:r>
              <w:rPr>
                <w:sz w:val="12"/>
              </w:rPr>
              <w:t>470.0</w:t>
            </w:r>
          </w:p>
        </w:tc>
        <w:tc>
          <w:tcPr>
            <w:tcW w:type="dxa" w:w="781"/>
          </w:tcPr>
          <w:p>
            <w:pPr>
              <w:spacing w:after="0"/>
            </w:pPr>
            <w:r>
              <w:rPr>
                <w:sz w:val="12"/>
              </w:rPr>
              <w:t>400.5</w:t>
            </w:r>
          </w:p>
        </w:tc>
        <w:tc>
          <w:tcPr>
            <w:tcW w:type="dxa" w:w="781"/>
          </w:tcPr>
          <w:p>
            <w:pPr>
              <w:spacing w:after="0"/>
            </w:pPr>
            <w:r>
              <w:rPr>
                <w:sz w:val="12"/>
              </w:rPr>
              <w:t>237.1</w:t>
            </w:r>
          </w:p>
        </w:tc>
        <w:tc>
          <w:tcPr>
            <w:tcW w:type="dxa" w:w="781"/>
          </w:tcPr>
          <w:p>
            <w:pPr>
              <w:spacing w:after="0"/>
            </w:pPr>
            <w:r>
              <w:rPr>
                <w:sz w:val="12"/>
              </w:rPr>
              <w:t>425.0</w:t>
            </w:r>
          </w:p>
        </w:tc>
        <w:tc>
          <w:tcPr>
            <w:tcW w:type="dxa" w:w="781"/>
          </w:tcPr>
          <w:p>
            <w:pPr>
              <w:spacing w:after="0"/>
            </w:pPr>
            <w:r>
              <w:rPr>
                <w:sz w:val="12"/>
              </w:rPr>
              <w:t>340.0</w:t>
            </w:r>
          </w:p>
        </w:tc>
        <w:tc>
          <w:tcPr>
            <w:tcW w:type="dxa" w:w="781"/>
          </w:tcPr>
          <w:p>
            <w:pPr>
              <w:spacing w:after="0"/>
            </w:pPr>
            <w:r>
              <w:rPr>
                <w:sz w:val="12"/>
              </w:rPr>
              <w:t>127.5</w:t>
            </w:r>
          </w:p>
        </w:tc>
        <w:tc>
          <w:tcPr>
            <w:tcW w:type="dxa" w:w="781"/>
          </w:tcPr>
          <w:p>
            <w:pPr>
              <w:spacing w:after="0"/>
            </w:pPr>
            <w:r>
              <w:rPr>
                <w:sz w:val="12"/>
              </w:rPr>
              <w:t>372.8</w:t>
            </w:r>
          </w:p>
        </w:tc>
        <w:tc>
          <w:tcPr>
            <w:tcW w:type="dxa" w:w="781"/>
          </w:tcPr>
          <w:p>
            <w:pPr>
              <w:spacing w:after="0"/>
            </w:pPr>
            <w:r>
              <w:rPr>
                <w:sz w:val="12"/>
              </w:rPr>
              <w:t>470.0</w:t>
            </w:r>
          </w:p>
        </w:tc>
      </w:tr>
      <w:tr>
        <w:trPr>
          <w:cantSplit w:val="true"/>
        </w:trPr>
        <w:tc>
          <w:tcPr>
            <w:tcW w:type="dxa" w:w="2381"/>
          </w:tcPr>
          <w:p>
            <w:pPr>
              <w:spacing w:after="0"/>
            </w:pPr>
            <w:r>
              <w:rPr>
                <w:sz w:val="12"/>
              </w:rPr>
              <w:t>ST output MW</w:t>
            </w:r>
          </w:p>
        </w:tc>
        <w:tc>
          <w:tcPr>
            <w:tcW w:type="dxa" w:w="781"/>
          </w:tcPr>
          <w:p>
            <w:pPr>
              <w:spacing w:after="0"/>
            </w:pPr>
            <w:r>
              <w:rPr>
                <w:sz w:val="12"/>
              </w:rPr>
              <w:t>175.8</w:t>
            </w:r>
          </w:p>
        </w:tc>
        <w:tc>
          <w:tcPr>
            <w:tcW w:type="dxa" w:w="781"/>
          </w:tcPr>
          <w:p>
            <w:pPr>
              <w:spacing w:after="0"/>
            </w:pPr>
            <w:r>
              <w:rPr>
                <w:sz w:val="12"/>
              </w:rPr>
              <w:t>204.9</w:t>
            </w:r>
          </w:p>
        </w:tc>
        <w:tc>
          <w:tcPr>
            <w:tcW w:type="dxa" w:w="781"/>
          </w:tcPr>
          <w:p>
            <w:pPr>
              <w:spacing w:after="0"/>
            </w:pPr>
            <w:r>
              <w:rPr>
                <w:sz w:val="12"/>
              </w:rPr>
              <w:t>178.4</w:t>
            </w:r>
          </w:p>
        </w:tc>
        <w:tc>
          <w:tcPr>
            <w:tcW w:type="dxa" w:w="781"/>
          </w:tcPr>
          <w:p>
            <w:pPr>
              <w:spacing w:after="0"/>
            </w:pPr>
            <w:r>
              <w:rPr>
                <w:sz w:val="12"/>
              </w:rPr>
              <w:t>140.7</w:t>
            </w:r>
          </w:p>
        </w:tc>
        <w:tc>
          <w:tcPr>
            <w:tcW w:type="dxa" w:w="781"/>
          </w:tcPr>
          <w:p>
            <w:pPr>
              <w:spacing w:after="0"/>
            </w:pPr>
            <w:r>
              <w:rPr>
                <w:sz w:val="12"/>
              </w:rPr>
              <w:t>200.7</w:t>
            </w:r>
          </w:p>
        </w:tc>
        <w:tc>
          <w:tcPr>
            <w:tcW w:type="dxa" w:w="781"/>
          </w:tcPr>
          <w:p>
            <w:pPr>
              <w:spacing w:after="0"/>
            </w:pPr>
            <w:r>
              <w:rPr>
                <w:sz w:val="12"/>
              </w:rPr>
              <w:t>175.1</w:t>
            </w:r>
          </w:p>
        </w:tc>
        <w:tc>
          <w:tcPr>
            <w:tcW w:type="dxa" w:w="781"/>
          </w:tcPr>
          <w:p>
            <w:pPr>
              <w:spacing w:after="0"/>
            </w:pPr>
            <w:r>
              <w:rPr>
                <w:sz w:val="12"/>
              </w:rPr>
              <w:t>94.4</w:t>
            </w:r>
          </w:p>
        </w:tc>
        <w:tc>
          <w:tcPr>
            <w:tcW w:type="dxa" w:w="781"/>
          </w:tcPr>
          <w:p>
            <w:pPr>
              <w:spacing w:after="0"/>
            </w:pPr>
            <w:r>
              <w:rPr>
                <w:sz w:val="12"/>
              </w:rPr>
              <w:t>184.5</w:t>
            </w:r>
          </w:p>
        </w:tc>
        <w:tc>
          <w:tcPr>
            <w:tcW w:type="dxa" w:w="781"/>
          </w:tcPr>
          <w:p>
            <w:pPr>
              <w:spacing w:after="0"/>
            </w:pPr>
            <w:r>
              <w:rPr>
                <w:sz w:val="12"/>
              </w:rPr>
              <w:t>207.9</w:t>
            </w:r>
          </w:p>
        </w:tc>
      </w:tr>
      <w:tr>
        <w:trPr>
          <w:cantSplit w:val="true"/>
        </w:trPr>
        <w:tc>
          <w:tcPr>
            <w:tcW w:type="dxa" w:w="2381"/>
          </w:tcPr>
          <w:p>
            <w:pPr>
              <w:spacing w:after="0"/>
            </w:pPr>
            <w:r>
              <w:rPr>
                <w:sz w:val="12"/>
              </w:rPr>
              <w:t>Gross output MW</w:t>
            </w:r>
          </w:p>
        </w:tc>
        <w:tc>
          <w:tcPr>
            <w:tcW w:type="dxa" w:w="781"/>
          </w:tcPr>
          <w:p>
            <w:pPr>
              <w:spacing w:after="0"/>
            </w:pPr>
            <w:r>
              <w:rPr>
                <w:sz w:val="12"/>
              </w:rPr>
              <w:t>524.1</w:t>
            </w:r>
          </w:p>
        </w:tc>
        <w:tc>
          <w:tcPr>
            <w:tcW w:type="dxa" w:w="781"/>
          </w:tcPr>
          <w:p>
            <w:pPr>
              <w:spacing w:after="0"/>
            </w:pPr>
            <w:r>
              <w:rPr>
                <w:sz w:val="12"/>
              </w:rPr>
              <w:t>674.9</w:t>
            </w:r>
          </w:p>
        </w:tc>
        <w:tc>
          <w:tcPr>
            <w:tcW w:type="dxa" w:w="781"/>
          </w:tcPr>
          <w:p>
            <w:pPr>
              <w:spacing w:after="0"/>
            </w:pPr>
            <w:r>
              <w:rPr>
                <w:sz w:val="12"/>
              </w:rPr>
              <w:t>578.9</w:t>
            </w:r>
          </w:p>
        </w:tc>
        <w:tc>
          <w:tcPr>
            <w:tcW w:type="dxa" w:w="781"/>
          </w:tcPr>
          <w:p>
            <w:pPr>
              <w:spacing w:after="0"/>
            </w:pPr>
            <w:r>
              <w:rPr>
                <w:sz w:val="12"/>
              </w:rPr>
              <w:t>377.8</w:t>
            </w:r>
          </w:p>
        </w:tc>
        <w:tc>
          <w:tcPr>
            <w:tcW w:type="dxa" w:w="781"/>
          </w:tcPr>
          <w:p>
            <w:pPr>
              <w:spacing w:after="0"/>
            </w:pPr>
            <w:r>
              <w:rPr>
                <w:sz w:val="12"/>
              </w:rPr>
              <w:t>625.7</w:t>
            </w:r>
          </w:p>
        </w:tc>
        <w:tc>
          <w:tcPr>
            <w:tcW w:type="dxa" w:w="781"/>
          </w:tcPr>
          <w:p>
            <w:pPr>
              <w:spacing w:after="0"/>
            </w:pPr>
            <w:r>
              <w:rPr>
                <w:sz w:val="12"/>
              </w:rPr>
              <w:t>515.0</w:t>
            </w:r>
          </w:p>
        </w:tc>
        <w:tc>
          <w:tcPr>
            <w:tcW w:type="dxa" w:w="781"/>
          </w:tcPr>
          <w:p>
            <w:pPr>
              <w:spacing w:after="0"/>
            </w:pPr>
            <w:r>
              <w:rPr>
                <w:sz w:val="12"/>
              </w:rPr>
              <w:t>221.9</w:t>
            </w:r>
          </w:p>
        </w:tc>
        <w:tc>
          <w:tcPr>
            <w:tcW w:type="dxa" w:w="781"/>
          </w:tcPr>
          <w:p>
            <w:pPr>
              <w:spacing w:after="0"/>
            </w:pPr>
            <w:r>
              <w:rPr>
                <w:sz w:val="12"/>
              </w:rPr>
              <w:t>557.3</w:t>
            </w:r>
          </w:p>
        </w:tc>
        <w:tc>
          <w:tcPr>
            <w:tcW w:type="dxa" w:w="781"/>
          </w:tcPr>
          <w:p>
            <w:pPr>
              <w:spacing w:after="0"/>
            </w:pPr>
            <w:r>
              <w:rPr>
                <w:sz w:val="12"/>
              </w:rPr>
              <w:t>677.9</w:t>
            </w:r>
          </w:p>
        </w:tc>
      </w:tr>
      <w:tr>
        <w:trPr>
          <w:cantSplit w:val="true"/>
        </w:trPr>
        <w:tc>
          <w:tcPr>
            <w:tcW w:type="dxa" w:w="2381"/>
          </w:tcPr>
          <w:p>
            <w:pPr>
              <w:spacing w:after="0"/>
            </w:pPr>
            <w:r>
              <w:rPr>
                <w:sz w:val="12"/>
              </w:rPr>
              <w:t>Auxiliaries + transformer losses MW</w:t>
            </w:r>
          </w:p>
        </w:tc>
        <w:tc>
          <w:tcPr>
            <w:tcW w:type="dxa" w:w="781"/>
          </w:tcPr>
          <w:p>
            <w:pPr>
              <w:spacing w:after="0"/>
            </w:pPr>
            <w:r>
              <w:rPr>
                <w:sz w:val="12"/>
              </w:rPr>
              <w:t>10.8</w:t>
            </w:r>
          </w:p>
        </w:tc>
        <w:tc>
          <w:tcPr>
            <w:tcW w:type="dxa" w:w="781"/>
          </w:tcPr>
          <w:p>
            <w:pPr>
              <w:spacing w:after="0"/>
            </w:pPr>
            <w:r>
              <w:rPr>
                <w:sz w:val="12"/>
              </w:rPr>
              <w:t>12.1</w:t>
            </w:r>
          </w:p>
        </w:tc>
        <w:tc>
          <w:tcPr>
            <w:tcW w:type="dxa" w:w="781"/>
          </w:tcPr>
          <w:p>
            <w:pPr>
              <w:spacing w:after="0"/>
            </w:pPr>
            <w:r>
              <w:rPr>
                <w:sz w:val="12"/>
              </w:rPr>
              <w:t>11.1</w:t>
            </w:r>
          </w:p>
        </w:tc>
        <w:tc>
          <w:tcPr>
            <w:tcW w:type="dxa" w:w="781"/>
          </w:tcPr>
          <w:p>
            <w:pPr>
              <w:spacing w:after="0"/>
            </w:pPr>
            <w:r>
              <w:rPr>
                <w:sz w:val="12"/>
              </w:rPr>
              <w:t>9.3</w:t>
            </w:r>
          </w:p>
        </w:tc>
        <w:tc>
          <w:tcPr>
            <w:tcW w:type="dxa" w:w="781"/>
          </w:tcPr>
          <w:p>
            <w:pPr>
              <w:spacing w:after="0"/>
            </w:pPr>
            <w:r>
              <w:rPr>
                <w:sz w:val="12"/>
              </w:rPr>
              <w:t>11.8</w:t>
            </w:r>
          </w:p>
        </w:tc>
        <w:tc>
          <w:tcPr>
            <w:tcW w:type="dxa" w:w="781"/>
          </w:tcPr>
          <w:p>
            <w:pPr>
              <w:spacing w:after="0"/>
            </w:pPr>
            <w:r>
              <w:rPr>
                <w:sz w:val="12"/>
              </w:rPr>
              <w:t>10.5</w:t>
            </w:r>
          </w:p>
        </w:tc>
        <w:tc>
          <w:tcPr>
            <w:tcW w:type="dxa" w:w="781"/>
          </w:tcPr>
          <w:p>
            <w:pPr>
              <w:spacing w:after="0"/>
            </w:pPr>
            <w:r>
              <w:rPr>
                <w:sz w:val="12"/>
              </w:rPr>
              <w:t>8.1</w:t>
            </w:r>
          </w:p>
        </w:tc>
        <w:tc>
          <w:tcPr>
            <w:tcW w:type="dxa" w:w="781"/>
          </w:tcPr>
          <w:p>
            <w:pPr>
              <w:spacing w:after="0"/>
            </w:pPr>
            <w:r>
              <w:rPr>
                <w:sz w:val="12"/>
              </w:rPr>
              <w:t>11.1</w:t>
            </w:r>
          </w:p>
        </w:tc>
        <w:tc>
          <w:tcPr>
            <w:tcW w:type="dxa" w:w="781"/>
          </w:tcPr>
          <w:p>
            <w:pPr>
              <w:spacing w:after="0"/>
            </w:pPr>
            <w:r>
              <w:rPr>
                <w:sz w:val="12"/>
              </w:rPr>
              <w:t>12.2</w:t>
            </w:r>
          </w:p>
        </w:tc>
      </w:tr>
      <w:tr>
        <w:trPr>
          <w:cantSplit w:val="true"/>
        </w:trPr>
        <w:tc>
          <w:tcPr>
            <w:tcW w:type="dxa" w:w="2381"/>
          </w:tcPr>
          <w:p>
            <w:pPr>
              <w:spacing w:after="0"/>
            </w:pPr>
            <w:r>
              <w:rPr>
                <w:sz w:val="12"/>
              </w:rPr>
              <w:t>Net output MW</w:t>
            </w:r>
          </w:p>
        </w:tc>
        <w:tc>
          <w:tcPr>
            <w:tcW w:type="dxa" w:w="781"/>
          </w:tcPr>
          <w:p>
            <w:pPr>
              <w:spacing w:after="0"/>
            </w:pPr>
            <w:r>
              <w:rPr>
                <w:sz w:val="12"/>
              </w:rPr>
              <w:t>513.3</w:t>
            </w:r>
          </w:p>
        </w:tc>
        <w:tc>
          <w:tcPr>
            <w:tcW w:type="dxa" w:w="781"/>
          </w:tcPr>
          <w:p>
            <w:pPr>
              <w:spacing w:after="0"/>
            </w:pPr>
            <w:r>
              <w:rPr>
                <w:sz w:val="12"/>
              </w:rPr>
              <w:t>662.8</w:t>
            </w:r>
          </w:p>
        </w:tc>
        <w:tc>
          <w:tcPr>
            <w:tcW w:type="dxa" w:w="781"/>
          </w:tcPr>
          <w:p>
            <w:pPr>
              <w:spacing w:after="0"/>
            </w:pPr>
            <w:r>
              <w:rPr>
                <w:sz w:val="12"/>
              </w:rPr>
              <w:t>567.8</w:t>
            </w:r>
          </w:p>
        </w:tc>
        <w:tc>
          <w:tcPr>
            <w:tcW w:type="dxa" w:w="781"/>
          </w:tcPr>
          <w:p>
            <w:pPr>
              <w:spacing w:after="0"/>
            </w:pPr>
            <w:r>
              <w:rPr>
                <w:sz w:val="12"/>
              </w:rPr>
              <w:t>368.5</w:t>
            </w:r>
          </w:p>
        </w:tc>
        <w:tc>
          <w:tcPr>
            <w:tcW w:type="dxa" w:w="781"/>
          </w:tcPr>
          <w:p>
            <w:pPr>
              <w:spacing w:after="0"/>
            </w:pPr>
            <w:r>
              <w:rPr>
                <w:sz w:val="12"/>
              </w:rPr>
              <w:t>613.9</w:t>
            </w:r>
          </w:p>
        </w:tc>
        <w:tc>
          <w:tcPr>
            <w:tcW w:type="dxa" w:w="781"/>
          </w:tcPr>
          <w:p>
            <w:pPr>
              <w:spacing w:after="0"/>
            </w:pPr>
            <w:r>
              <w:rPr>
                <w:sz w:val="12"/>
              </w:rPr>
              <w:t>504.5</w:t>
            </w:r>
          </w:p>
        </w:tc>
        <w:tc>
          <w:tcPr>
            <w:tcW w:type="dxa" w:w="781"/>
          </w:tcPr>
          <w:p>
            <w:pPr>
              <w:spacing w:after="0"/>
            </w:pPr>
            <w:r>
              <w:rPr>
                <w:sz w:val="12"/>
              </w:rPr>
              <w:t>213.8</w:t>
            </w:r>
          </w:p>
        </w:tc>
        <w:tc>
          <w:tcPr>
            <w:tcW w:type="dxa" w:w="781"/>
          </w:tcPr>
          <w:p>
            <w:pPr>
              <w:spacing w:after="0"/>
            </w:pPr>
            <w:r>
              <w:rPr>
                <w:sz w:val="12"/>
              </w:rPr>
              <w:t>546.2</w:t>
            </w:r>
          </w:p>
        </w:tc>
        <w:tc>
          <w:tcPr>
            <w:tcW w:type="dxa" w:w="781"/>
          </w:tcPr>
          <w:p>
            <w:pPr>
              <w:spacing w:after="0"/>
            </w:pPr>
            <w:r>
              <w:rPr>
                <w:sz w:val="12"/>
              </w:rPr>
              <w:t>665.7</w:t>
            </w:r>
          </w:p>
        </w:tc>
      </w:tr>
      <w:tr>
        <w:trPr>
          <w:cantSplit w:val="true"/>
        </w:trPr>
        <w:tc>
          <w:tcPr>
            <w:tcW w:type="dxa" w:w="2381"/>
          </w:tcPr>
          <w:p>
            <w:pPr>
              <w:spacing w:after="0"/>
            </w:pPr>
            <w:r>
              <w:rPr>
                <w:sz w:val="12"/>
              </w:rPr>
              <w:t>Heat input LHV MW</w:t>
            </w:r>
          </w:p>
        </w:tc>
        <w:tc>
          <w:tcPr>
            <w:tcW w:type="dxa" w:w="781"/>
          </w:tcPr>
          <w:p>
            <w:pPr>
              <w:spacing w:after="0"/>
            </w:pPr>
            <w:r>
              <w:rPr>
                <w:sz w:val="12"/>
              </w:rPr>
              <w:t>832.2</w:t>
            </w:r>
          </w:p>
        </w:tc>
        <w:tc>
          <w:tcPr>
            <w:tcW w:type="dxa" w:w="781"/>
          </w:tcPr>
          <w:p>
            <w:pPr>
              <w:spacing w:after="0"/>
            </w:pPr>
            <w:r>
              <w:rPr>
                <w:sz w:val="12"/>
              </w:rPr>
              <w:t>1,058.3</w:t>
            </w:r>
          </w:p>
        </w:tc>
        <w:tc>
          <w:tcPr>
            <w:tcW w:type="dxa" w:w="781"/>
          </w:tcPr>
          <w:p>
            <w:pPr>
              <w:spacing w:after="0"/>
            </w:pPr>
            <w:r>
              <w:rPr>
                <w:sz w:val="12"/>
              </w:rPr>
              <w:t>961.2</w:t>
            </w:r>
          </w:p>
        </w:tc>
        <w:tc>
          <w:tcPr>
            <w:tcW w:type="dxa" w:w="781"/>
          </w:tcPr>
          <w:p>
            <w:pPr>
              <w:spacing w:after="0"/>
            </w:pPr>
            <w:r>
              <w:rPr>
                <w:sz w:val="12"/>
              </w:rPr>
              <w:t>635.1</w:t>
            </w:r>
          </w:p>
        </w:tc>
        <w:tc>
          <w:tcPr>
            <w:tcW w:type="dxa" w:w="781"/>
          </w:tcPr>
          <w:p>
            <w:pPr>
              <w:spacing w:after="0"/>
            </w:pPr>
            <w:r>
              <w:rPr>
                <w:sz w:val="12"/>
              </w:rPr>
              <w:t>983.0</w:t>
            </w:r>
          </w:p>
        </w:tc>
        <w:tc>
          <w:tcPr>
            <w:tcW w:type="dxa" w:w="781"/>
          </w:tcPr>
          <w:p>
            <w:pPr>
              <w:spacing w:after="0"/>
            </w:pPr>
            <w:r>
              <w:rPr>
                <w:sz w:val="12"/>
              </w:rPr>
              <w:t>827.3</w:t>
            </w:r>
          </w:p>
        </w:tc>
        <w:tc>
          <w:tcPr>
            <w:tcW w:type="dxa" w:w="781"/>
          </w:tcPr>
          <w:p>
            <w:pPr>
              <w:spacing w:after="0"/>
            </w:pPr>
            <w:r>
              <w:rPr>
                <w:sz w:val="12"/>
              </w:rPr>
              <w:t>412.9</w:t>
            </w:r>
          </w:p>
        </w:tc>
        <w:tc>
          <w:tcPr>
            <w:tcW w:type="dxa" w:w="781"/>
          </w:tcPr>
          <w:p>
            <w:pPr>
              <w:spacing w:after="0"/>
            </w:pPr>
            <w:r>
              <w:rPr>
                <w:sz w:val="12"/>
              </w:rPr>
              <w:t>881.2</w:t>
            </w:r>
          </w:p>
        </w:tc>
        <w:tc>
          <w:tcPr>
            <w:tcW w:type="dxa" w:w="781"/>
          </w:tcPr>
          <w:p>
            <w:pPr>
              <w:spacing w:after="0"/>
            </w:pPr>
            <w:r>
              <w:rPr>
                <w:sz w:val="12"/>
              </w:rPr>
              <w:t>1,063.8</w:t>
            </w:r>
          </w:p>
        </w:tc>
      </w:tr>
      <w:tr>
        <w:trPr>
          <w:cantSplit w:val="true"/>
        </w:trPr>
        <w:tc>
          <w:tcPr>
            <w:tcW w:type="dxa" w:w="2381"/>
          </w:tcPr>
          <w:p>
            <w:pPr>
              <w:spacing w:after="0"/>
            </w:pPr>
            <w:r>
              <w:rPr>
                <w:sz w:val="12"/>
              </w:rPr>
              <w:t>of which other plant fuel consumers MW</w:t>
            </w:r>
          </w:p>
        </w:tc>
        <w:tc>
          <w:tcPr>
            <w:tcW w:type="dxa" w:w="781"/>
          </w:tcPr>
          <w:p>
            <w:pPr>
              <w:spacing w:after="0"/>
            </w:pPr>
            <w:r>
              <w:rPr>
                <w:sz w:val="12"/>
              </w:rPr>
              <w:t>0.8</w:t>
            </w:r>
          </w:p>
        </w:tc>
        <w:tc>
          <w:tcPr>
            <w:tcW w:type="dxa" w:w="781"/>
          </w:tcPr>
          <w:p>
            <w:pPr>
              <w:spacing w:after="0"/>
            </w:pPr>
            <w:r>
              <w:rPr>
                <w:sz w:val="12"/>
              </w:rPr>
              <w:t>2.3</w:t>
            </w:r>
          </w:p>
        </w:tc>
        <w:tc>
          <w:tcPr>
            <w:tcW w:type="dxa" w:w="781"/>
          </w:tcPr>
          <w:p>
            <w:pPr>
              <w:spacing w:after="0"/>
            </w:pPr>
            <w:r>
              <w:rPr>
                <w:sz w:val="12"/>
              </w:rPr>
              <w:t>0.0</w:t>
            </w:r>
          </w:p>
        </w:tc>
        <w:tc>
          <w:tcPr>
            <w:tcW w:type="dxa" w:w="781"/>
          </w:tcPr>
          <w:p>
            <w:pPr>
              <w:spacing w:after="0"/>
            </w:pPr>
            <w:r>
              <w:rPr>
                <w:sz w:val="12"/>
              </w:rPr>
              <w:t>1.0</w:t>
            </w:r>
          </w:p>
        </w:tc>
        <w:tc>
          <w:tcPr>
            <w:tcW w:type="dxa" w:w="781"/>
          </w:tcPr>
          <w:p>
            <w:pPr>
              <w:spacing w:after="0"/>
            </w:pPr>
            <w:r>
              <w:rPr>
                <w:sz w:val="12"/>
              </w:rPr>
              <w:t>1.5</w:t>
            </w:r>
          </w:p>
        </w:tc>
        <w:tc>
          <w:tcPr>
            <w:tcW w:type="dxa" w:w="781"/>
          </w:tcPr>
          <w:p>
            <w:pPr>
              <w:spacing w:after="0"/>
            </w:pPr>
            <w:r>
              <w:rPr>
                <w:sz w:val="12"/>
              </w:rPr>
              <w:t>1.3</w:t>
            </w:r>
          </w:p>
        </w:tc>
        <w:tc>
          <w:tcPr>
            <w:tcW w:type="dxa" w:w="781"/>
          </w:tcPr>
          <w:p>
            <w:pPr>
              <w:spacing w:after="0"/>
            </w:pPr>
            <w:r>
              <w:rPr>
                <w:sz w:val="12"/>
              </w:rPr>
              <w:t>0.6</w:t>
            </w:r>
          </w:p>
        </w:tc>
        <w:tc>
          <w:tcPr>
            <w:tcW w:type="dxa" w:w="781"/>
          </w:tcPr>
          <w:p>
            <w:pPr>
              <w:spacing w:after="0"/>
            </w:pPr>
            <w:r>
              <w:rPr>
                <w:sz w:val="12"/>
              </w:rPr>
              <w:t>0.8</w:t>
            </w:r>
          </w:p>
        </w:tc>
        <w:tc>
          <w:tcPr>
            <w:tcW w:type="dxa" w:w="781"/>
          </w:tcPr>
          <w:p>
            <w:pPr>
              <w:spacing w:after="0"/>
            </w:pPr>
            <w:r>
              <w:rPr>
                <w:sz w:val="12"/>
              </w:rPr>
              <w:t>2.3</w:t>
            </w:r>
          </w:p>
        </w:tc>
      </w:tr>
      <w:tr>
        <w:trPr>
          <w:cantSplit w:val="true"/>
        </w:trPr>
        <w:tc>
          <w:tcPr>
            <w:tcW w:type="dxa" w:w="2381"/>
          </w:tcPr>
          <w:p>
            <w:pPr>
              <w:spacing w:after="0"/>
            </w:pPr>
            <w:r>
              <w:rPr>
                <w:sz w:val="12"/>
              </w:rPr>
              <w:t>Net heat rate LHV kJ/kWh</w:t>
            </w:r>
          </w:p>
        </w:tc>
        <w:tc>
          <w:tcPr>
            <w:tcW w:type="dxa" w:w="781"/>
          </w:tcPr>
          <w:p>
            <w:pPr>
              <w:spacing w:after="0"/>
            </w:pPr>
            <w:r>
              <w:rPr>
                <w:sz w:val="12"/>
              </w:rPr>
              <w:t>5,836.4</w:t>
            </w:r>
          </w:p>
        </w:tc>
        <w:tc>
          <w:tcPr>
            <w:tcW w:type="dxa" w:w="781"/>
          </w:tcPr>
          <w:p>
            <w:pPr>
              <w:spacing w:after="0"/>
            </w:pPr>
            <w:r>
              <w:rPr>
                <w:sz w:val="12"/>
              </w:rPr>
              <w:t>5,748.2</w:t>
            </w:r>
          </w:p>
        </w:tc>
        <w:tc>
          <w:tcPr>
            <w:tcW w:type="dxa" w:w="781"/>
          </w:tcPr>
          <w:p>
            <w:pPr>
              <w:spacing w:after="0"/>
            </w:pPr>
            <w:r>
              <w:rPr>
                <w:sz w:val="12"/>
              </w:rPr>
              <w:t>6,094.4</w:t>
            </w:r>
          </w:p>
        </w:tc>
        <w:tc>
          <w:tcPr>
            <w:tcW w:type="dxa" w:w="781"/>
          </w:tcPr>
          <w:p>
            <w:pPr>
              <w:spacing w:after="0"/>
            </w:pPr>
            <w:r>
              <w:rPr>
                <w:sz w:val="12"/>
              </w:rPr>
              <w:t>6,204.0</w:t>
            </w:r>
          </w:p>
        </w:tc>
        <w:tc>
          <w:tcPr>
            <w:tcW w:type="dxa" w:w="781"/>
          </w:tcPr>
          <w:p>
            <w:pPr>
              <w:spacing w:after="0"/>
            </w:pPr>
            <w:r>
              <w:rPr>
                <w:sz w:val="12"/>
              </w:rPr>
              <w:t>5,764.2</w:t>
            </w:r>
          </w:p>
        </w:tc>
        <w:tc>
          <w:tcPr>
            <w:tcW w:type="dxa" w:w="781"/>
          </w:tcPr>
          <w:p>
            <w:pPr>
              <w:spacing w:after="0"/>
            </w:pPr>
            <w:r>
              <w:rPr>
                <w:sz w:val="12"/>
              </w:rPr>
              <w:t>5,903.5</w:t>
            </w:r>
          </w:p>
        </w:tc>
        <w:tc>
          <w:tcPr>
            <w:tcW w:type="dxa" w:w="781"/>
          </w:tcPr>
          <w:p>
            <w:pPr>
              <w:spacing w:after="0"/>
            </w:pPr>
            <w:r>
              <w:rPr>
                <w:sz w:val="12"/>
              </w:rPr>
              <w:t>6,952.8</w:t>
            </w:r>
          </w:p>
        </w:tc>
        <w:tc>
          <w:tcPr>
            <w:tcW w:type="dxa" w:w="781"/>
          </w:tcPr>
          <w:p>
            <w:pPr>
              <w:spacing w:after="0"/>
            </w:pPr>
            <w:r>
              <w:rPr>
                <w:sz w:val="12"/>
              </w:rPr>
              <w:t>5,807.7</w:t>
            </w:r>
          </w:p>
        </w:tc>
        <w:tc>
          <w:tcPr>
            <w:tcW w:type="dxa" w:w="781"/>
          </w:tcPr>
          <w:p>
            <w:pPr>
              <w:spacing w:after="0"/>
            </w:pPr>
            <w:r>
              <w:rPr>
                <w:sz w:val="12"/>
              </w:rPr>
              <w:t>5,752.8</w:t>
            </w:r>
          </w:p>
        </w:tc>
      </w:tr>
      <w:tr>
        <w:trPr>
          <w:cantSplit w:val="true"/>
        </w:trPr>
        <w:tc>
          <w:tcPr>
            <w:tcW w:type="dxa" w:w="2381"/>
          </w:tcPr>
          <w:p>
            <w:pPr>
              <w:spacing w:after="0"/>
            </w:pPr>
            <w:r>
              <w:rPr>
                <w:sz w:val="12"/>
              </w:rPr>
              <w:t>Net efficiency %</w:t>
            </w:r>
          </w:p>
        </w:tc>
        <w:tc>
          <w:tcPr>
            <w:tcW w:type="dxa" w:w="781"/>
          </w:tcPr>
          <w:p>
            <w:pPr>
              <w:spacing w:after="0"/>
            </w:pPr>
            <w:r>
              <w:rPr>
                <w:sz w:val="12"/>
              </w:rPr>
              <w:t>61.7</w:t>
            </w:r>
          </w:p>
        </w:tc>
        <w:tc>
          <w:tcPr>
            <w:tcW w:type="dxa" w:w="781"/>
          </w:tcPr>
          <w:p>
            <w:pPr>
              <w:spacing w:after="0"/>
            </w:pPr>
            <w:r>
              <w:rPr>
                <w:sz w:val="12"/>
              </w:rPr>
              <w:t>62.6</w:t>
            </w:r>
          </w:p>
        </w:tc>
        <w:tc>
          <w:tcPr>
            <w:tcW w:type="dxa" w:w="781"/>
          </w:tcPr>
          <w:p>
            <w:pPr>
              <w:spacing w:after="0"/>
            </w:pPr>
            <w:r>
              <w:rPr>
                <w:sz w:val="12"/>
              </w:rPr>
              <w:t>59.1</w:t>
            </w:r>
          </w:p>
        </w:tc>
        <w:tc>
          <w:tcPr>
            <w:tcW w:type="dxa" w:w="781"/>
          </w:tcPr>
          <w:p>
            <w:pPr>
              <w:spacing w:after="0"/>
            </w:pPr>
            <w:r>
              <w:rPr>
                <w:sz w:val="12"/>
              </w:rPr>
              <w:t>58.0</w:t>
            </w:r>
          </w:p>
        </w:tc>
        <w:tc>
          <w:tcPr>
            <w:tcW w:type="dxa" w:w="781"/>
          </w:tcPr>
          <w:p>
            <w:pPr>
              <w:spacing w:after="0"/>
            </w:pPr>
            <w:r>
              <w:rPr>
                <w:sz w:val="12"/>
              </w:rPr>
              <w:t>62.5</w:t>
            </w:r>
          </w:p>
        </w:tc>
        <w:tc>
          <w:tcPr>
            <w:tcW w:type="dxa" w:w="781"/>
          </w:tcPr>
          <w:p>
            <w:pPr>
              <w:spacing w:after="0"/>
            </w:pPr>
            <w:r>
              <w:rPr>
                <w:sz w:val="12"/>
              </w:rPr>
              <w:t>61.0</w:t>
            </w:r>
          </w:p>
        </w:tc>
        <w:tc>
          <w:tcPr>
            <w:tcW w:type="dxa" w:w="781"/>
          </w:tcPr>
          <w:p>
            <w:pPr>
              <w:spacing w:after="0"/>
            </w:pPr>
            <w:r>
              <w:rPr>
                <w:sz w:val="12"/>
              </w:rPr>
              <w:t>51.8</w:t>
            </w:r>
          </w:p>
        </w:tc>
        <w:tc>
          <w:tcPr>
            <w:tcW w:type="dxa" w:w="781"/>
          </w:tcPr>
          <w:p>
            <w:pPr>
              <w:spacing w:after="0"/>
            </w:pPr>
            <w:r>
              <w:rPr>
                <w:sz w:val="12"/>
              </w:rPr>
              <w:t>62.0</w:t>
            </w:r>
          </w:p>
        </w:tc>
        <w:tc>
          <w:tcPr>
            <w:tcW w:type="dxa" w:w="781"/>
          </w:tcPr>
          <w:p>
            <w:pPr>
              <w:spacing w:after="0"/>
            </w:pPr>
            <w:r>
              <w:rPr>
                <w:sz w:val="12"/>
              </w:rPr>
              <w:t>62.6</w:t>
            </w:r>
          </w:p>
        </w:tc>
      </w:tr>
    </w:tbl>
    <w:p>
      <w:pPr>
        <w:spacing w:after="40"/>
      </w:pPr>
    </w:p>
    <w:p>
      <w:pPr>
        <w:pStyle w:val="Heading1"/>
        <w:keepNext/>
      </w:pPr>
      <w:r>
        <w:t>4. Checks against guarantees and limits</w:t>
      </w:r>
    </w:p>
    <w:tbl>
      <w:tblPr>
        <w:tblStyle w:val="TableGrid"/>
        <w:tblW w:type="auto" w:w="0"/>
        <w:tblLayout w:type="fixed"/>
        <w:tblLook w:firstColumn="1" w:firstRow="1" w:lastColumn="0" w:lastRow="0" w:noHBand="0" w:noVBand="1" w:val="04A0"/>
      </w:tblPr>
      <w:tblGrid>
        <w:gridCol w:w="1474"/>
        <w:gridCol w:w="793"/>
        <w:gridCol w:w="7144"/>
      </w:tblGrid>
      <w:tr>
        <w:trPr>
          <w:tblHeader w:val="true"/>
        </w:trPr>
        <w:tc>
          <w:tcPr>
            <w:tcW w:type="dxa" w:w="1474"/>
            <w:shd w:val="clear" w:color="auto" w:fill="1F3864"/>
          </w:tcPr>
          <w:p>
            <w:r>
              <w:rPr>
                <w:b/>
                <w:color w:val="FFFFFF"/>
                <w:sz w:val="14"/>
              </w:rPr>
              <w:t>Case</w:t>
            </w:r>
          </w:p>
        </w:tc>
        <w:tc>
          <w:tcPr>
            <w:tcW w:type="dxa" w:w="794"/>
            <w:shd w:val="clear" w:color="auto" w:fill="1F3864"/>
          </w:tcPr>
          <w:p>
            <w:r>
              <w:rPr>
                <w:b/>
                <w:color w:val="FFFFFF"/>
                <w:sz w:val="14"/>
              </w:rPr>
              <w:t>Result</w:t>
            </w:r>
          </w:p>
        </w:tc>
        <w:tc>
          <w:tcPr>
            <w:tcW w:type="dxa" w:w="7143"/>
            <w:shd w:val="clear" w:color="auto" w:fill="1F3864"/>
          </w:tcPr>
          <w:p>
            <w:r>
              <w:rPr>
                <w:b/>
                <w:color w:val="FFFFFF"/>
                <w:sz w:val="14"/>
              </w:rPr>
              <w:t>Check</w:t>
            </w:r>
          </w:p>
        </w:tc>
      </w:tr>
      <w:tr>
        <w:trPr>
          <w:cantSplit w:val="true"/>
        </w:trPr>
        <w:tc>
          <w:tcPr>
            <w:tcW w:type="dxa" w:w="1474"/>
          </w:tcPr>
          <w:p>
            <w:pPr>
              <w:spacing w:after="0"/>
            </w:pPr>
            <w:r>
              <w:rPr>
                <w:sz w:val="14"/>
              </w:rPr>
              <w:t>MIN-NG-100</w:t>
            </w:r>
          </w:p>
        </w:tc>
        <w:tc>
          <w:tcPr>
            <w:tcW w:type="dxa" w:w="794"/>
          </w:tcPr>
          <w:p>
            <w:pPr>
              <w:spacing w:after="0"/>
            </w:pPr>
            <w:r>
              <w:rPr>
                <w:sz w:val="14"/>
              </w:rPr>
              <w:t>WARN</w:t>
            </w:r>
          </w:p>
        </w:tc>
        <w:tc>
          <w:tcPr>
            <w:tcW w:type="dxa" w:w="7143"/>
          </w:tcPr>
          <w:p>
            <w:pPr>
              <w:spacing w:after="0"/>
            </w:pPr>
            <w:r>
              <w:rPr>
                <w:sz w:val="14"/>
              </w:rPr>
              <w:t>CW temperature rise 7.20 K vs DP-CASE-0015 &lt;= 7.0 K (Condenser cooling water temperature rise)</w:t>
            </w:r>
          </w:p>
        </w:tc>
      </w:tr>
      <w:tr>
        <w:trPr>
          <w:cantSplit w:val="true"/>
        </w:trPr>
        <w:tc>
          <w:tcPr>
            <w:tcW w:type="dxa" w:w="1474"/>
          </w:tcPr>
          <w:p>
            <w:pPr>
              <w:spacing w:after="0"/>
            </w:pPr>
            <w:r>
              <w:rPr>
                <w:sz w:val="14"/>
              </w:rPr>
              <w:t>MIN-NG-100</w:t>
            </w:r>
          </w:p>
        </w:tc>
        <w:tc>
          <w:tcPr>
            <w:tcW w:type="dxa" w:w="794"/>
          </w:tcPr>
          <w:p>
            <w:pPr>
              <w:spacing w:after="0"/>
            </w:pPr>
            <w:r>
              <w:rPr>
                <w:sz w:val="14"/>
              </w:rPr>
              <w:t>INFO</w:t>
            </w:r>
          </w:p>
        </w:tc>
        <w:tc>
          <w:tcPr>
            <w:tcW w:type="dxa" w:w="7143"/>
          </w:tcPr>
          <w:p>
            <w:pPr>
              <w:spacing w:after="0"/>
            </w:pPr>
            <w:r>
              <w:rPr>
                <w:sz w:val="14"/>
              </w:rPr>
              <w:t>net export 662.8 MW vs DP-OWNR-0051 connection capacity 640 MW (this case); capability above the capacity, export limited: 640 MW net at the 380 kV revenue meters (TQ-027, TP-E1)</w:t>
            </w:r>
          </w:p>
        </w:tc>
      </w:tr>
      <w:tr>
        <w:trPr>
          <w:cantSplit w:val="true"/>
        </w:trPr>
        <w:tc>
          <w:tcPr>
            <w:tcW w:type="dxa" w:w="1474"/>
          </w:tcPr>
          <w:p>
            <w:pPr>
              <w:spacing w:after="0"/>
            </w:pPr>
            <w:r>
              <w:rPr>
                <w:sz w:val="14"/>
              </w:rPr>
              <w:t>SRC-LDO-100</w:t>
            </w:r>
          </w:p>
        </w:tc>
        <w:tc>
          <w:tcPr>
            <w:tcW w:type="dxa" w:w="794"/>
          </w:tcPr>
          <w:p>
            <w:pPr>
              <w:spacing w:after="0"/>
            </w:pPr>
            <w:r>
              <w:rPr>
                <w:sz w:val="14"/>
              </w:rPr>
              <w:t>OK</w:t>
            </w:r>
          </w:p>
        </w:tc>
        <w:tc>
          <w:tcPr>
            <w:tcW w:type="dxa" w:w="7143"/>
          </w:tcPr>
          <w:p>
            <w:pPr>
              <w:spacing w:after="0"/>
            </w:pPr>
            <w:r>
              <w:rPr>
                <w:sz w:val="14"/>
              </w:rPr>
              <w:t>guarantee cover: at IG-09/IG-10 limits and this HMB's auxiliaries the net plant is 560.9 MW / 6,139 kJ/kWh vs Owner PG-15 560 MW / PG-16 6,150 kJ/kWh</w:t>
            </w:r>
          </w:p>
        </w:tc>
      </w:tr>
      <w:tr>
        <w:trPr>
          <w:cantSplit w:val="true"/>
        </w:trPr>
        <w:tc>
          <w:tcPr>
            <w:tcW w:type="dxa" w:w="1474"/>
          </w:tcPr>
          <w:p>
            <w:pPr>
              <w:spacing w:after="0"/>
            </w:pPr>
            <w:r>
              <w:rPr>
                <w:sz w:val="14"/>
              </w:rPr>
              <w:t>SRC-NG-100</w:t>
            </w:r>
          </w:p>
        </w:tc>
        <w:tc>
          <w:tcPr>
            <w:tcW w:type="dxa" w:w="794"/>
          </w:tcPr>
          <w:p>
            <w:pPr>
              <w:spacing w:after="0"/>
            </w:pPr>
            <w:r>
              <w:rPr>
                <w:sz w:val="14"/>
              </w:rPr>
              <w:t>OK</w:t>
            </w:r>
          </w:p>
        </w:tc>
        <w:tc>
          <w:tcPr>
            <w:tcW w:type="dxa" w:w="7143"/>
          </w:tcPr>
          <w:p>
            <w:pPr>
              <w:spacing w:after="0"/>
            </w:pPr>
            <w:r>
              <w:rPr>
                <w:sz w:val="14"/>
              </w:rPr>
              <w:t>guarantee cover: at IG-01/IG-02 limits and this HMB's auxiliaries the net plant is 603.2 MW / 5,847 kJ/kWh vs Owner PG-01 600 MW / PG-02 5,860 kJ/kWh</w:t>
            </w:r>
          </w:p>
        </w:tc>
      </w:tr>
      <w:tr>
        <w:trPr>
          <w:cantSplit w:val="true"/>
        </w:trPr>
        <w:tc>
          <w:tcPr>
            <w:tcW w:type="dxa" w:w="1474"/>
          </w:tcPr>
          <w:p>
            <w:pPr>
              <w:spacing w:after="0"/>
            </w:pPr>
            <w:r>
              <w:rPr>
                <w:sz w:val="14"/>
              </w:rPr>
              <w:t>WIN-NG-100</w:t>
            </w:r>
          </w:p>
        </w:tc>
        <w:tc>
          <w:tcPr>
            <w:tcW w:type="dxa" w:w="794"/>
          </w:tcPr>
          <w:p>
            <w:pPr>
              <w:spacing w:after="0"/>
            </w:pPr>
            <w:r>
              <w:rPr>
                <w:sz w:val="14"/>
              </w:rPr>
              <w:t>WARN</w:t>
            </w:r>
          </w:p>
        </w:tc>
        <w:tc>
          <w:tcPr>
            <w:tcW w:type="dxa" w:w="7143"/>
          </w:tcPr>
          <w:p>
            <w:pPr>
              <w:spacing w:after="0"/>
            </w:pPr>
            <w:r>
              <w:rPr>
                <w:sz w:val="14"/>
              </w:rPr>
              <w:t>CW temperature rise 7.28 K vs DP-CASE-0015 &lt;= 7.0 K (Condenser cooling water temperature rise)</w:t>
            </w:r>
          </w:p>
        </w:tc>
      </w:tr>
      <w:tr>
        <w:trPr>
          <w:cantSplit w:val="true"/>
        </w:trPr>
        <w:tc>
          <w:tcPr>
            <w:tcW w:type="dxa" w:w="1474"/>
          </w:tcPr>
          <w:p>
            <w:pPr>
              <w:spacing w:after="0"/>
            </w:pPr>
            <w:r>
              <w:rPr>
                <w:sz w:val="14"/>
              </w:rPr>
              <w:t>WIN-NG-100</w:t>
            </w:r>
          </w:p>
        </w:tc>
        <w:tc>
          <w:tcPr>
            <w:tcW w:type="dxa" w:w="794"/>
          </w:tcPr>
          <w:p>
            <w:pPr>
              <w:spacing w:after="0"/>
            </w:pPr>
            <w:r>
              <w:rPr>
                <w:sz w:val="14"/>
              </w:rPr>
              <w:t>INFO</w:t>
            </w:r>
          </w:p>
        </w:tc>
        <w:tc>
          <w:tcPr>
            <w:tcW w:type="dxa" w:w="7143"/>
          </w:tcPr>
          <w:p>
            <w:pPr>
              <w:spacing w:after="0"/>
            </w:pPr>
            <w:r>
              <w:rPr>
                <w:sz w:val="14"/>
              </w:rPr>
              <w:t>net export 665.7 MW vs DP-OWNR-0051 connection capacity 640 MW (this case); capability above the capacity, export limited: 640 MW net at the 380 kV revenue meters (TQ-027, TP-E1)</w:t>
            </w:r>
          </w:p>
        </w:tc>
      </w:tr>
    </w:tbl>
    <w:p>
      <w:pPr>
        <w:spacing w:after="40"/>
      </w:pPr>
    </w:p>
    <w:p>
      <w:pPr>
        <w:pStyle w:val="Heading1"/>
        <w:keepNext/>
      </w:pPr>
      <w:r>
        <w:t>5. Auxiliary loads at Site Reference Conditions</w:t>
      </w:r>
    </w:p>
    <w:tbl>
      <w:tblPr>
        <w:tblStyle w:val="TableGrid"/>
        <w:tblW w:type="auto" w:w="0"/>
        <w:tblLayout w:type="fixed"/>
        <w:tblLook w:firstColumn="1" w:firstRow="1" w:lastColumn="0" w:lastRow="0" w:noHBand="0" w:noVBand="1" w:val="04A0"/>
      </w:tblPr>
      <w:tblGrid>
        <w:gridCol w:w="793"/>
        <w:gridCol w:w="4195"/>
        <w:gridCol w:w="3402"/>
        <w:gridCol w:w="1020"/>
      </w:tblGrid>
      <w:tr>
        <w:trPr>
          <w:tblHeader w:val="true"/>
        </w:trPr>
        <w:tc>
          <w:tcPr>
            <w:tcW w:type="dxa" w:w="794"/>
            <w:shd w:val="clear" w:color="auto" w:fill="1F3864"/>
          </w:tcPr>
          <w:p>
            <w:r>
              <w:rPr>
                <w:b/>
                <w:color w:val="FFFFFF"/>
                <w:sz w:val="14"/>
              </w:rPr>
              <w:t>Id</w:t>
            </w:r>
          </w:p>
        </w:tc>
        <w:tc>
          <w:tcPr>
            <w:tcW w:type="dxa" w:w="4195"/>
            <w:shd w:val="clear" w:color="auto" w:fill="1F3864"/>
          </w:tcPr>
          <w:p>
            <w:r>
              <w:rPr>
                <w:b/>
                <w:color w:val="FFFFFF"/>
                <w:sz w:val="14"/>
              </w:rPr>
              <w:t>Consumer</w:t>
            </w:r>
          </w:p>
        </w:tc>
        <w:tc>
          <w:tcPr>
            <w:tcW w:type="dxa" w:w="3402"/>
            <w:shd w:val="clear" w:color="auto" w:fill="1F3864"/>
          </w:tcPr>
          <w:p>
            <w:r>
              <w:rPr>
                <w:b/>
                <w:color w:val="FFFFFF"/>
                <w:sz w:val="14"/>
              </w:rPr>
              <w:t>Basis</w:t>
            </w:r>
          </w:p>
        </w:tc>
        <w:tc>
          <w:tcPr>
            <w:tcW w:type="dxa" w:w="1020"/>
            <w:shd w:val="clear" w:color="auto" w:fill="1F3864"/>
          </w:tcPr>
          <w:p>
            <w:r>
              <w:rPr>
                <w:b/>
                <w:color w:val="FFFFFF"/>
                <w:sz w:val="14"/>
              </w:rPr>
              <w:t>kW</w:t>
            </w:r>
          </w:p>
        </w:tc>
      </w:tr>
      <w:tr>
        <w:trPr>
          <w:cantSplit w:val="true"/>
        </w:trPr>
        <w:tc>
          <w:tcPr>
            <w:tcW w:type="dxa" w:w="794"/>
          </w:tcPr>
          <w:p>
            <w:pPr>
              <w:spacing w:after="0"/>
            </w:pPr>
            <w:r>
              <w:rPr>
                <w:sz w:val="14"/>
              </w:rPr>
              <w:t>AL-01</w:t>
            </w:r>
          </w:p>
        </w:tc>
        <w:tc>
          <w:tcPr>
            <w:tcW w:type="dxa" w:w="4195"/>
          </w:tcPr>
          <w:p>
            <w:pPr>
              <w:spacing w:after="0"/>
            </w:pPr>
            <w:r>
              <w:rPr>
                <w:sz w:val="14"/>
              </w:rPr>
              <w:t>GT package auxiliaries (lube oil, hydraulic, enclosure ventilation, fuel skid, filter house)</w:t>
            </w:r>
          </w:p>
        </w:tc>
        <w:tc>
          <w:tcPr>
            <w:tcW w:type="dxa" w:w="3402"/>
          </w:tcPr>
          <w:p>
            <w:pPr>
              <w:spacing w:after="0"/>
            </w:pPr>
            <w:r>
              <w:rPr>
                <w:sz w:val="14"/>
              </w:rPr>
              <w:t>fixed</w:t>
            </w:r>
          </w:p>
        </w:tc>
        <w:tc>
          <w:tcPr>
            <w:tcW w:type="dxa" w:w="1020"/>
          </w:tcPr>
          <w:p>
            <w:pPr>
              <w:spacing w:after="0"/>
            </w:pPr>
            <w:r>
              <w:rPr>
                <w:sz w:val="14"/>
              </w:rPr>
              <w:t>1,180</w:t>
            </w:r>
          </w:p>
        </w:tc>
      </w:tr>
      <w:tr>
        <w:trPr>
          <w:cantSplit w:val="true"/>
        </w:trPr>
        <w:tc>
          <w:tcPr>
            <w:tcW w:type="dxa" w:w="794"/>
          </w:tcPr>
          <w:p>
            <w:pPr>
              <w:spacing w:after="0"/>
            </w:pPr>
            <w:r>
              <w:rPr>
                <w:sz w:val="14"/>
              </w:rPr>
              <w:t>AL-02</w:t>
            </w:r>
          </w:p>
        </w:tc>
        <w:tc>
          <w:tcPr>
            <w:tcW w:type="dxa" w:w="4195"/>
          </w:tcPr>
          <w:p>
            <w:pPr>
              <w:spacing w:after="0"/>
            </w:pPr>
            <w:r>
              <w:rPr>
                <w:sz w:val="14"/>
              </w:rPr>
              <w:t>GT generator auxiliaries (seal oil, stator water, excitation)</w:t>
            </w:r>
          </w:p>
        </w:tc>
        <w:tc>
          <w:tcPr>
            <w:tcW w:type="dxa" w:w="3402"/>
          </w:tcPr>
          <w:p>
            <w:pPr>
              <w:spacing w:after="0"/>
            </w:pPr>
            <w:r>
              <w:rPr>
                <w:sz w:val="14"/>
              </w:rPr>
              <w:t>fixed</w:t>
            </w:r>
          </w:p>
        </w:tc>
        <w:tc>
          <w:tcPr>
            <w:tcW w:type="dxa" w:w="1020"/>
          </w:tcPr>
          <w:p>
            <w:pPr>
              <w:spacing w:after="0"/>
            </w:pPr>
            <w:r>
              <w:rPr>
                <w:sz w:val="14"/>
              </w:rPr>
              <w:t>420</w:t>
            </w:r>
          </w:p>
        </w:tc>
      </w:tr>
      <w:tr>
        <w:trPr>
          <w:cantSplit w:val="true"/>
        </w:trPr>
        <w:tc>
          <w:tcPr>
            <w:tcW w:type="dxa" w:w="794"/>
          </w:tcPr>
          <w:p>
            <w:pPr>
              <w:spacing w:after="0"/>
            </w:pPr>
            <w:r>
              <w:rPr>
                <w:sz w:val="14"/>
              </w:rPr>
              <w:t>AL-03</w:t>
            </w:r>
          </w:p>
        </w:tc>
        <w:tc>
          <w:tcPr>
            <w:tcW w:type="dxa" w:w="4195"/>
          </w:tcPr>
          <w:p>
            <w:pPr>
              <w:spacing w:after="0"/>
            </w:pPr>
            <w:r>
              <w:rPr>
                <w:sz w:val="14"/>
              </w:rPr>
              <w:t>ST auxiliaries (lube oil, EHC, gland steam exhausters)</w:t>
            </w:r>
          </w:p>
        </w:tc>
        <w:tc>
          <w:tcPr>
            <w:tcW w:type="dxa" w:w="3402"/>
          </w:tcPr>
          <w:p>
            <w:pPr>
              <w:spacing w:after="0"/>
            </w:pPr>
            <w:r>
              <w:rPr>
                <w:sz w:val="14"/>
              </w:rPr>
              <w:t>fixed</w:t>
            </w:r>
          </w:p>
        </w:tc>
        <w:tc>
          <w:tcPr>
            <w:tcW w:type="dxa" w:w="1020"/>
          </w:tcPr>
          <w:p>
            <w:pPr>
              <w:spacing w:after="0"/>
            </w:pPr>
            <w:r>
              <w:rPr>
                <w:sz w:val="14"/>
              </w:rPr>
              <w:t>380</w:t>
            </w:r>
          </w:p>
        </w:tc>
      </w:tr>
      <w:tr>
        <w:trPr>
          <w:cantSplit w:val="true"/>
        </w:trPr>
        <w:tc>
          <w:tcPr>
            <w:tcW w:type="dxa" w:w="794"/>
          </w:tcPr>
          <w:p>
            <w:pPr>
              <w:spacing w:after="0"/>
            </w:pPr>
            <w:r>
              <w:rPr>
                <w:sz w:val="14"/>
              </w:rPr>
              <w:t>AL-04</w:t>
            </w:r>
          </w:p>
        </w:tc>
        <w:tc>
          <w:tcPr>
            <w:tcW w:type="dxa" w:w="4195"/>
          </w:tcPr>
          <w:p>
            <w:pPr>
              <w:spacing w:after="0"/>
            </w:pPr>
            <w:r>
              <w:rPr>
                <w:sz w:val="14"/>
              </w:rPr>
              <w:t>ST generator auxiliaries (excitation, TEWAC)</w:t>
            </w:r>
          </w:p>
        </w:tc>
        <w:tc>
          <w:tcPr>
            <w:tcW w:type="dxa" w:w="3402"/>
          </w:tcPr>
          <w:p>
            <w:pPr>
              <w:spacing w:after="0"/>
            </w:pPr>
            <w:r>
              <w:rPr>
                <w:sz w:val="14"/>
              </w:rPr>
              <w:t>fixed</w:t>
            </w:r>
          </w:p>
        </w:tc>
        <w:tc>
          <w:tcPr>
            <w:tcW w:type="dxa" w:w="1020"/>
          </w:tcPr>
          <w:p>
            <w:pPr>
              <w:spacing w:after="0"/>
            </w:pPr>
            <w:r>
              <w:rPr>
                <w:sz w:val="14"/>
              </w:rPr>
              <w:t>260</w:t>
            </w:r>
          </w:p>
        </w:tc>
      </w:tr>
      <w:tr>
        <w:trPr>
          <w:cantSplit w:val="true"/>
        </w:trPr>
        <w:tc>
          <w:tcPr>
            <w:tcW w:type="dxa" w:w="794"/>
          </w:tcPr>
          <w:p>
            <w:pPr>
              <w:spacing w:after="0"/>
            </w:pPr>
            <w:r>
              <w:rPr>
                <w:sz w:val="14"/>
              </w:rPr>
              <w:t>AL-05</w:t>
            </w:r>
          </w:p>
        </w:tc>
        <w:tc>
          <w:tcPr>
            <w:tcW w:type="dxa" w:w="4195"/>
          </w:tcPr>
          <w:p>
            <w:pPr>
              <w:spacing w:after="0"/>
            </w:pPr>
            <w:r>
              <w:rPr>
                <w:sz w:val="14"/>
              </w:rPr>
              <w:t>HRSG auxiliaries (CPH recirculation pump, ammonia skid, drains)</w:t>
            </w:r>
          </w:p>
        </w:tc>
        <w:tc>
          <w:tcPr>
            <w:tcW w:type="dxa" w:w="3402"/>
          </w:tcPr>
          <w:p>
            <w:pPr>
              <w:spacing w:after="0"/>
            </w:pPr>
            <w:r>
              <w:rPr>
                <w:sz w:val="14"/>
              </w:rPr>
              <w:t>fixed</w:t>
            </w:r>
          </w:p>
        </w:tc>
        <w:tc>
          <w:tcPr>
            <w:tcW w:type="dxa" w:w="1020"/>
          </w:tcPr>
          <w:p>
            <w:pPr>
              <w:spacing w:after="0"/>
            </w:pPr>
            <w:r>
              <w:rPr>
                <w:sz w:val="14"/>
              </w:rPr>
              <w:t>210</w:t>
            </w:r>
          </w:p>
        </w:tc>
      </w:tr>
      <w:tr>
        <w:trPr>
          <w:cantSplit w:val="true"/>
        </w:trPr>
        <w:tc>
          <w:tcPr>
            <w:tcW w:type="dxa" w:w="794"/>
          </w:tcPr>
          <w:p>
            <w:pPr>
              <w:spacing w:after="0"/>
            </w:pPr>
            <w:r>
              <w:rPr>
                <w:sz w:val="14"/>
              </w:rPr>
              <w:t>AL-06</w:t>
            </w:r>
          </w:p>
        </w:tc>
        <w:tc>
          <w:tcPr>
            <w:tcW w:type="dxa" w:w="4195"/>
          </w:tcPr>
          <w:p>
            <w:pPr>
              <w:spacing w:after="0"/>
            </w:pPr>
            <w:r>
              <w:rPr>
                <w:sz w:val="14"/>
              </w:rPr>
              <w:t>Condenser vacuum pump (1 running)</w:t>
            </w:r>
          </w:p>
        </w:tc>
        <w:tc>
          <w:tcPr>
            <w:tcW w:type="dxa" w:w="3402"/>
          </w:tcPr>
          <w:p>
            <w:pPr>
              <w:spacing w:after="0"/>
            </w:pPr>
            <w:r>
              <w:rPr>
                <w:sz w:val="14"/>
              </w:rPr>
              <w:t>fixed</w:t>
            </w:r>
          </w:p>
        </w:tc>
        <w:tc>
          <w:tcPr>
            <w:tcW w:type="dxa" w:w="1020"/>
          </w:tcPr>
          <w:p>
            <w:pPr>
              <w:spacing w:after="0"/>
            </w:pPr>
            <w:r>
              <w:rPr>
                <w:sz w:val="14"/>
              </w:rPr>
              <w:t>75</w:t>
            </w:r>
          </w:p>
        </w:tc>
      </w:tr>
      <w:tr>
        <w:trPr>
          <w:cantSplit w:val="true"/>
        </w:trPr>
        <w:tc>
          <w:tcPr>
            <w:tcW w:type="dxa" w:w="794"/>
          </w:tcPr>
          <w:p>
            <w:pPr>
              <w:spacing w:after="0"/>
            </w:pPr>
            <w:r>
              <w:rPr>
                <w:sz w:val="14"/>
              </w:rPr>
              <w:t>AL-07</w:t>
            </w:r>
          </w:p>
        </w:tc>
        <w:tc>
          <w:tcPr>
            <w:tcW w:type="dxa" w:w="4195"/>
          </w:tcPr>
          <w:p>
            <w:pPr>
              <w:spacing w:after="0"/>
            </w:pPr>
            <w:r>
              <w:rPr>
                <w:sz w:val="14"/>
              </w:rPr>
              <w:t>Turbine control system and UPS load</w:t>
            </w:r>
          </w:p>
        </w:tc>
        <w:tc>
          <w:tcPr>
            <w:tcW w:type="dxa" w:w="3402"/>
          </w:tcPr>
          <w:p>
            <w:pPr>
              <w:spacing w:after="0"/>
            </w:pPr>
            <w:r>
              <w:rPr>
                <w:sz w:val="14"/>
              </w:rPr>
              <w:t>fixed</w:t>
            </w:r>
          </w:p>
        </w:tc>
        <w:tc>
          <w:tcPr>
            <w:tcW w:type="dxa" w:w="1020"/>
          </w:tcPr>
          <w:p>
            <w:pPr>
              <w:spacing w:after="0"/>
            </w:pPr>
            <w:r>
              <w:rPr>
                <w:sz w:val="14"/>
              </w:rPr>
              <w:t>60</w:t>
            </w:r>
          </w:p>
        </w:tc>
      </w:tr>
      <w:tr>
        <w:trPr>
          <w:cantSplit w:val="true"/>
        </w:trPr>
        <w:tc>
          <w:tcPr>
            <w:tcW w:type="dxa" w:w="794"/>
          </w:tcPr>
          <w:p>
            <w:pPr>
              <w:spacing w:after="0"/>
            </w:pPr>
            <w:r>
              <w:rPr>
                <w:sz w:val="14"/>
              </w:rPr>
              <w:t>AL-08</w:t>
            </w:r>
          </w:p>
        </w:tc>
        <w:tc>
          <w:tcPr>
            <w:tcW w:type="dxa" w:w="4195"/>
          </w:tcPr>
          <w:p>
            <w:pPr>
              <w:spacing w:after="0"/>
            </w:pPr>
            <w:r>
              <w:rPr>
                <w:sz w:val="14"/>
              </w:rPr>
              <w:t>GT GSU losses at this case load</w:t>
            </w:r>
          </w:p>
        </w:tc>
        <w:tc>
          <w:tcPr>
            <w:tcW w:type="dxa" w:w="3402"/>
          </w:tcPr>
          <w:p>
            <w:pPr>
              <w:spacing w:after="0"/>
            </w:pPr>
            <w:r>
              <w:rPr>
                <w:sz w:val="14"/>
              </w:rPr>
              <w:t>fixed</w:t>
            </w:r>
          </w:p>
        </w:tc>
        <w:tc>
          <w:tcPr>
            <w:tcW w:type="dxa" w:w="1020"/>
          </w:tcPr>
          <w:p>
            <w:pPr>
              <w:spacing w:after="0"/>
            </w:pPr>
            <w:r>
              <w:rPr>
                <w:sz w:val="14"/>
              </w:rPr>
              <w:t>1,107</w:t>
            </w:r>
          </w:p>
        </w:tc>
      </w:tr>
      <w:tr>
        <w:trPr>
          <w:cantSplit w:val="true"/>
        </w:trPr>
        <w:tc>
          <w:tcPr>
            <w:tcW w:type="dxa" w:w="794"/>
          </w:tcPr>
          <w:p>
            <w:pPr>
              <w:spacing w:after="0"/>
            </w:pPr>
            <w:r>
              <w:rPr>
                <w:sz w:val="14"/>
              </w:rPr>
              <w:t>AL-09</w:t>
            </w:r>
          </w:p>
        </w:tc>
        <w:tc>
          <w:tcPr>
            <w:tcW w:type="dxa" w:w="4195"/>
          </w:tcPr>
          <w:p>
            <w:pPr>
              <w:spacing w:after="0"/>
            </w:pPr>
            <w:r>
              <w:rPr>
                <w:sz w:val="14"/>
              </w:rPr>
              <w:t>ST GSU losses at this case load</w:t>
            </w:r>
          </w:p>
        </w:tc>
        <w:tc>
          <w:tcPr>
            <w:tcW w:type="dxa" w:w="3402"/>
          </w:tcPr>
          <w:p>
            <w:pPr>
              <w:spacing w:after="0"/>
            </w:pPr>
            <w:r>
              <w:rPr>
                <w:sz w:val="14"/>
              </w:rPr>
              <w:t>fixed</w:t>
            </w:r>
          </w:p>
        </w:tc>
        <w:tc>
          <w:tcPr>
            <w:tcW w:type="dxa" w:w="1020"/>
          </w:tcPr>
          <w:p>
            <w:pPr>
              <w:spacing w:after="0"/>
            </w:pPr>
            <w:r>
              <w:rPr>
                <w:sz w:val="14"/>
              </w:rPr>
              <w:t>584</w:t>
            </w:r>
          </w:p>
        </w:tc>
      </w:tr>
      <w:tr>
        <w:trPr>
          <w:cantSplit w:val="true"/>
        </w:trPr>
        <w:tc>
          <w:tcPr>
            <w:tcW w:type="dxa" w:w="794"/>
          </w:tcPr>
          <w:p>
            <w:pPr>
              <w:spacing w:after="0"/>
            </w:pPr>
            <w:r>
              <w:rPr>
                <w:sz w:val="14"/>
              </w:rPr>
              <w:t>AL-10</w:t>
            </w:r>
          </w:p>
        </w:tc>
        <w:tc>
          <w:tcPr>
            <w:tcW w:type="dxa" w:w="4195"/>
          </w:tcPr>
          <w:p>
            <w:pPr>
              <w:spacing w:after="0"/>
            </w:pPr>
            <w:r>
              <w:rPr>
                <w:sz w:val="14"/>
              </w:rPr>
              <w:t>Boiler feed pumps 2 x 100 % (1 running)</w:t>
            </w:r>
          </w:p>
        </w:tc>
        <w:tc>
          <w:tcPr>
            <w:tcW w:type="dxa" w:w="3402"/>
          </w:tcPr>
          <w:p>
            <w:pPr>
              <w:spacing w:after="0"/>
            </w:pPr>
            <w:r>
              <w:rPr>
                <w:sz w:val="14"/>
              </w:rPr>
              <w:t>enthalpy rise 2,981 kW / motor 0.965</w:t>
            </w:r>
          </w:p>
        </w:tc>
        <w:tc>
          <w:tcPr>
            <w:tcW w:type="dxa" w:w="1020"/>
          </w:tcPr>
          <w:p>
            <w:pPr>
              <w:spacing w:after="0"/>
            </w:pPr>
            <w:r>
              <w:rPr>
                <w:sz w:val="14"/>
              </w:rPr>
              <w:t>3,089</w:t>
            </w:r>
          </w:p>
        </w:tc>
      </w:tr>
      <w:tr>
        <w:trPr>
          <w:cantSplit w:val="true"/>
        </w:trPr>
        <w:tc>
          <w:tcPr>
            <w:tcW w:type="dxa" w:w="794"/>
          </w:tcPr>
          <w:p>
            <w:pPr>
              <w:spacing w:after="0"/>
            </w:pPr>
            <w:r>
              <w:rPr>
                <w:sz w:val="14"/>
              </w:rPr>
              <w:t>AL-11</w:t>
            </w:r>
          </w:p>
        </w:tc>
        <w:tc>
          <w:tcPr>
            <w:tcW w:type="dxa" w:w="4195"/>
          </w:tcPr>
          <w:p>
            <w:pPr>
              <w:spacing w:after="0"/>
            </w:pPr>
            <w:r>
              <w:rPr>
                <w:sz w:val="14"/>
              </w:rPr>
              <w:t>Condensate extraction pumps 2 x 100 % (1 running)</w:t>
            </w:r>
          </w:p>
        </w:tc>
        <w:tc>
          <w:tcPr>
            <w:tcW w:type="dxa" w:w="3402"/>
          </w:tcPr>
          <w:p>
            <w:pPr>
              <w:spacing w:after="0"/>
            </w:pPr>
            <w:r>
              <w:rPr>
                <w:sz w:val="14"/>
              </w:rPr>
              <w:t>enthalpy rise 282 kW / motor 0.95</w:t>
            </w:r>
          </w:p>
        </w:tc>
        <w:tc>
          <w:tcPr>
            <w:tcW w:type="dxa" w:w="1020"/>
          </w:tcPr>
          <w:p>
            <w:pPr>
              <w:spacing w:after="0"/>
            </w:pPr>
            <w:r>
              <w:rPr>
                <w:sz w:val="14"/>
              </w:rPr>
              <w:t>297</w:t>
            </w:r>
          </w:p>
        </w:tc>
      </w:tr>
      <w:tr>
        <w:trPr>
          <w:cantSplit w:val="true"/>
        </w:trPr>
        <w:tc>
          <w:tcPr>
            <w:tcW w:type="dxa" w:w="794"/>
          </w:tcPr>
          <w:p>
            <w:pPr>
              <w:spacing w:after="0"/>
            </w:pPr>
            <w:r>
              <w:rPr>
                <w:sz w:val="14"/>
              </w:rPr>
              <w:t>AL-12</w:t>
            </w:r>
          </w:p>
        </w:tc>
        <w:tc>
          <w:tcPr>
            <w:tcW w:type="dxa" w:w="4195"/>
          </w:tcPr>
          <w:p>
            <w:pPr>
              <w:spacing w:after="0"/>
            </w:pPr>
            <w:r>
              <w:rPr>
                <w:sz w:val="14"/>
              </w:rPr>
              <w:t>Circulating water pumps 2 x 50 %</w:t>
            </w:r>
          </w:p>
        </w:tc>
        <w:tc>
          <w:tcPr>
            <w:tcW w:type="dxa" w:w="3402"/>
          </w:tcPr>
          <w:p>
            <w:pPr>
              <w:spacing w:after="0"/>
            </w:pPr>
            <w:r>
              <w:rPr>
                <w:sz w:val="14"/>
              </w:rPr>
              <w:t>10,197 kg/s x g x 16.0 m / (0.86 x 0.96)</w:t>
            </w:r>
          </w:p>
        </w:tc>
        <w:tc>
          <w:tcPr>
            <w:tcW w:type="dxa" w:w="1020"/>
          </w:tcPr>
          <w:p>
            <w:pPr>
              <w:spacing w:after="0"/>
            </w:pPr>
            <w:r>
              <w:rPr>
                <w:sz w:val="14"/>
              </w:rPr>
              <w:t>1,939</w:t>
            </w:r>
          </w:p>
        </w:tc>
      </w:tr>
      <w:tr>
        <w:trPr>
          <w:cantSplit w:val="true"/>
        </w:trPr>
        <w:tc>
          <w:tcPr>
            <w:tcW w:type="dxa" w:w="794"/>
          </w:tcPr>
          <w:p>
            <w:pPr>
              <w:spacing w:after="0"/>
            </w:pPr>
            <w:r>
              <w:rPr>
                <w:sz w:val="14"/>
              </w:rPr>
              <w:t>AL-13</w:t>
            </w:r>
          </w:p>
        </w:tc>
        <w:tc>
          <w:tcPr>
            <w:tcW w:type="dxa" w:w="4195"/>
          </w:tcPr>
          <w:p>
            <w:pPr>
              <w:spacing w:after="0"/>
            </w:pPr>
            <w:r>
              <w:rPr>
                <w:sz w:val="14"/>
              </w:rPr>
              <w:t>Closed cooling water pumps</w:t>
            </w:r>
          </w:p>
        </w:tc>
        <w:tc>
          <w:tcPr>
            <w:tcW w:type="dxa" w:w="3402"/>
          </w:tcPr>
          <w:p>
            <w:pPr>
              <w:spacing w:after="0"/>
            </w:pPr>
            <w:r>
              <w:rPr>
                <w:sz w:val="14"/>
              </w:rPr>
              <w:t>fixed</w:t>
            </w:r>
          </w:p>
        </w:tc>
        <w:tc>
          <w:tcPr>
            <w:tcW w:type="dxa" w:w="1020"/>
          </w:tcPr>
          <w:p>
            <w:pPr>
              <w:spacing w:after="0"/>
            </w:pPr>
            <w:r>
              <w:rPr>
                <w:sz w:val="14"/>
              </w:rPr>
              <w:t>160</w:t>
            </w:r>
          </w:p>
        </w:tc>
      </w:tr>
      <w:tr>
        <w:trPr>
          <w:cantSplit w:val="true"/>
        </w:trPr>
        <w:tc>
          <w:tcPr>
            <w:tcW w:type="dxa" w:w="794"/>
          </w:tcPr>
          <w:p>
            <w:pPr>
              <w:spacing w:after="0"/>
            </w:pPr>
            <w:r>
              <w:rPr>
                <w:sz w:val="14"/>
              </w:rPr>
              <w:t>AL-14</w:t>
            </w:r>
          </w:p>
        </w:tc>
        <w:tc>
          <w:tcPr>
            <w:tcW w:type="dxa" w:w="4195"/>
          </w:tcPr>
          <w:p>
            <w:pPr>
              <w:spacing w:after="0"/>
            </w:pPr>
            <w:r>
              <w:rPr>
                <w:sz w:val="14"/>
              </w:rPr>
              <w:t>Electro-chlorination</w:t>
            </w:r>
          </w:p>
        </w:tc>
        <w:tc>
          <w:tcPr>
            <w:tcW w:type="dxa" w:w="3402"/>
          </w:tcPr>
          <w:p>
            <w:pPr>
              <w:spacing w:after="0"/>
            </w:pPr>
            <w:r>
              <w:rPr>
                <w:sz w:val="14"/>
              </w:rPr>
              <w:t>fixed</w:t>
            </w:r>
          </w:p>
        </w:tc>
        <w:tc>
          <w:tcPr>
            <w:tcW w:type="dxa" w:w="1020"/>
          </w:tcPr>
          <w:p>
            <w:pPr>
              <w:spacing w:after="0"/>
            </w:pPr>
            <w:r>
              <w:rPr>
                <w:sz w:val="14"/>
              </w:rPr>
              <w:t>180</w:t>
            </w:r>
          </w:p>
        </w:tc>
      </w:tr>
      <w:tr>
        <w:trPr>
          <w:cantSplit w:val="true"/>
        </w:trPr>
        <w:tc>
          <w:tcPr>
            <w:tcW w:type="dxa" w:w="794"/>
          </w:tcPr>
          <w:p>
            <w:pPr>
              <w:spacing w:after="0"/>
            </w:pPr>
            <w:r>
              <w:rPr>
                <w:sz w:val="14"/>
              </w:rPr>
              <w:t>AL-15</w:t>
            </w:r>
          </w:p>
        </w:tc>
        <w:tc>
          <w:tcPr>
            <w:tcW w:type="dxa" w:w="4195"/>
          </w:tcPr>
          <w:p>
            <w:pPr>
              <w:spacing w:after="0"/>
            </w:pPr>
            <w:r>
              <w:rPr>
                <w:sz w:val="14"/>
              </w:rPr>
              <w:t>Water treatment (SWRO, demineralisation, condensate polishing)</w:t>
            </w:r>
          </w:p>
        </w:tc>
        <w:tc>
          <w:tcPr>
            <w:tcW w:type="dxa" w:w="3402"/>
          </w:tcPr>
          <w:p>
            <w:pPr>
              <w:spacing w:after="0"/>
            </w:pPr>
            <w:r>
              <w:rPr>
                <w:sz w:val="14"/>
              </w:rPr>
              <w:t>fixed</w:t>
            </w:r>
          </w:p>
        </w:tc>
        <w:tc>
          <w:tcPr>
            <w:tcW w:type="dxa" w:w="1020"/>
          </w:tcPr>
          <w:p>
            <w:pPr>
              <w:spacing w:after="0"/>
            </w:pPr>
            <w:r>
              <w:rPr>
                <w:sz w:val="14"/>
              </w:rPr>
              <w:t>250</w:t>
            </w:r>
          </w:p>
        </w:tc>
      </w:tr>
      <w:tr>
        <w:trPr>
          <w:cantSplit w:val="true"/>
        </w:trPr>
        <w:tc>
          <w:tcPr>
            <w:tcW w:type="dxa" w:w="794"/>
          </w:tcPr>
          <w:p>
            <w:pPr>
              <w:spacing w:after="0"/>
            </w:pPr>
            <w:r>
              <w:rPr>
                <w:sz w:val="14"/>
              </w:rPr>
              <w:t>AL-16</w:t>
            </w:r>
          </w:p>
        </w:tc>
        <w:tc>
          <w:tcPr>
            <w:tcW w:type="dxa" w:w="4195"/>
          </w:tcPr>
          <w:p>
            <w:pPr>
              <w:spacing w:after="0"/>
            </w:pPr>
            <w:r>
              <w:rPr>
                <w:sz w:val="14"/>
              </w:rPr>
              <w:t>Compressed air</w:t>
            </w:r>
          </w:p>
        </w:tc>
        <w:tc>
          <w:tcPr>
            <w:tcW w:type="dxa" w:w="3402"/>
          </w:tcPr>
          <w:p>
            <w:pPr>
              <w:spacing w:after="0"/>
            </w:pPr>
            <w:r>
              <w:rPr>
                <w:sz w:val="14"/>
              </w:rPr>
              <w:t>fixed</w:t>
            </w:r>
          </w:p>
        </w:tc>
        <w:tc>
          <w:tcPr>
            <w:tcW w:type="dxa" w:w="1020"/>
          </w:tcPr>
          <w:p>
            <w:pPr>
              <w:spacing w:after="0"/>
            </w:pPr>
            <w:r>
              <w:rPr>
                <w:sz w:val="14"/>
              </w:rPr>
              <w:t>180</w:t>
            </w:r>
          </w:p>
        </w:tc>
      </w:tr>
      <w:tr>
        <w:trPr>
          <w:cantSplit w:val="true"/>
        </w:trPr>
        <w:tc>
          <w:tcPr>
            <w:tcW w:type="dxa" w:w="794"/>
          </w:tcPr>
          <w:p>
            <w:pPr>
              <w:spacing w:after="0"/>
            </w:pPr>
            <w:r>
              <w:rPr>
                <w:sz w:val="14"/>
              </w:rPr>
              <w:t>AL-17</w:t>
            </w:r>
          </w:p>
        </w:tc>
        <w:tc>
          <w:tcPr>
            <w:tcW w:type="dxa" w:w="4195"/>
          </w:tcPr>
          <w:p>
            <w:pPr>
              <w:spacing w:after="0"/>
            </w:pPr>
            <w:r>
              <w:rPr>
                <w:sz w:val="14"/>
              </w:rPr>
              <w:t>HVAC and lighting</w:t>
            </w:r>
          </w:p>
        </w:tc>
        <w:tc>
          <w:tcPr>
            <w:tcW w:type="dxa" w:w="3402"/>
          </w:tcPr>
          <w:p>
            <w:pPr>
              <w:spacing w:after="0"/>
            </w:pPr>
            <w:r>
              <w:rPr>
                <w:sz w:val="14"/>
              </w:rPr>
              <w:t>fixed</w:t>
            </w:r>
          </w:p>
        </w:tc>
        <w:tc>
          <w:tcPr>
            <w:tcW w:type="dxa" w:w="1020"/>
          </w:tcPr>
          <w:p>
            <w:pPr>
              <w:spacing w:after="0"/>
            </w:pPr>
            <w:r>
              <w:rPr>
                <w:sz w:val="14"/>
              </w:rPr>
              <w:t>750</w:t>
            </w:r>
          </w:p>
        </w:tc>
      </w:tr>
      <w:tr>
        <w:trPr>
          <w:cantSplit w:val="true"/>
        </w:trPr>
        <w:tc>
          <w:tcPr>
            <w:tcW w:type="dxa" w:w="794"/>
          </w:tcPr>
          <w:p>
            <w:pPr>
              <w:spacing w:after="0"/>
            </w:pPr>
            <w:r>
              <w:rPr>
                <w:sz w:val="14"/>
              </w:rPr>
              <w:t>AL-18</w:t>
            </w:r>
          </w:p>
        </w:tc>
        <w:tc>
          <w:tcPr>
            <w:tcW w:type="dxa" w:w="4195"/>
          </w:tcPr>
          <w:p>
            <w:pPr>
              <w:spacing w:after="0"/>
            </w:pPr>
            <w:r>
              <w:rPr>
                <w:sz w:val="14"/>
              </w:rPr>
              <w:t>Ammonia and chemical dosing</w:t>
            </w:r>
          </w:p>
        </w:tc>
        <w:tc>
          <w:tcPr>
            <w:tcW w:type="dxa" w:w="3402"/>
          </w:tcPr>
          <w:p>
            <w:pPr>
              <w:spacing w:after="0"/>
            </w:pPr>
            <w:r>
              <w:rPr>
                <w:sz w:val="14"/>
              </w:rPr>
              <w:t>fixed</w:t>
            </w:r>
          </w:p>
        </w:tc>
        <w:tc>
          <w:tcPr>
            <w:tcW w:type="dxa" w:w="1020"/>
          </w:tcPr>
          <w:p>
            <w:pPr>
              <w:spacing w:after="0"/>
            </w:pPr>
            <w:r>
              <w:rPr>
                <w:sz w:val="14"/>
              </w:rPr>
              <w:t>40</w:t>
            </w:r>
          </w:p>
        </w:tc>
      </w:tr>
      <w:tr>
        <w:trPr>
          <w:cantSplit w:val="true"/>
        </w:trPr>
        <w:tc>
          <w:tcPr>
            <w:tcW w:type="dxa" w:w="794"/>
          </w:tcPr>
          <w:p>
            <w:pPr>
              <w:spacing w:after="0"/>
            </w:pPr>
            <w:r>
              <w:rPr>
                <w:sz w:val="14"/>
              </w:rPr>
              <w:t>AL-19</w:t>
            </w:r>
          </w:p>
        </w:tc>
        <w:tc>
          <w:tcPr>
            <w:tcW w:type="dxa" w:w="4195"/>
          </w:tcPr>
          <w:p>
            <w:pPr>
              <w:spacing w:after="0"/>
            </w:pPr>
            <w:r>
              <w:rPr>
                <w:sz w:val="14"/>
              </w:rPr>
              <w:t>Fuel gas receiving station</w:t>
            </w:r>
          </w:p>
        </w:tc>
        <w:tc>
          <w:tcPr>
            <w:tcW w:type="dxa" w:w="3402"/>
          </w:tcPr>
          <w:p>
            <w:pPr>
              <w:spacing w:after="0"/>
            </w:pPr>
            <w:r>
              <w:rPr>
                <w:sz w:val="14"/>
              </w:rPr>
              <w:t>fixed</w:t>
            </w:r>
          </w:p>
        </w:tc>
        <w:tc>
          <w:tcPr>
            <w:tcW w:type="dxa" w:w="1020"/>
          </w:tcPr>
          <w:p>
            <w:pPr>
              <w:spacing w:after="0"/>
            </w:pPr>
            <w:r>
              <w:rPr>
                <w:sz w:val="14"/>
              </w:rPr>
              <w:t>60</w:t>
            </w:r>
          </w:p>
        </w:tc>
      </w:tr>
      <w:tr>
        <w:trPr>
          <w:cantSplit w:val="true"/>
        </w:trPr>
        <w:tc>
          <w:tcPr>
            <w:tcW w:type="dxa" w:w="794"/>
          </w:tcPr>
          <w:p>
            <w:pPr>
              <w:spacing w:after="0"/>
            </w:pPr>
            <w:r>
              <w:rPr>
                <w:sz w:val="14"/>
              </w:rPr>
              <w:t>AL-20</w:t>
            </w:r>
          </w:p>
        </w:tc>
        <w:tc>
          <w:tcPr>
            <w:tcW w:type="dxa" w:w="4195"/>
          </w:tcPr>
          <w:p>
            <w:pPr>
              <w:spacing w:after="0"/>
            </w:pPr>
            <w:r>
              <w:rPr>
                <w:sz w:val="14"/>
              </w:rPr>
              <w:t>LDO system (standby on gas)</w:t>
            </w:r>
          </w:p>
        </w:tc>
        <w:tc>
          <w:tcPr>
            <w:tcW w:type="dxa" w:w="3402"/>
          </w:tcPr>
          <w:p>
            <w:pPr>
              <w:spacing w:after="0"/>
            </w:pPr>
            <w:r>
              <w:rPr>
                <w:sz w:val="14"/>
              </w:rPr>
              <w:t>fixed</w:t>
            </w:r>
          </w:p>
        </w:tc>
        <w:tc>
          <w:tcPr>
            <w:tcW w:type="dxa" w:w="1020"/>
          </w:tcPr>
          <w:p>
            <w:pPr>
              <w:spacing w:after="0"/>
            </w:pPr>
            <w:r>
              <w:rPr>
                <w:sz w:val="14"/>
              </w:rPr>
              <w:t>30</w:t>
            </w:r>
          </w:p>
        </w:tc>
      </w:tr>
      <w:tr>
        <w:trPr>
          <w:cantSplit w:val="true"/>
        </w:trPr>
        <w:tc>
          <w:tcPr>
            <w:tcW w:type="dxa" w:w="794"/>
          </w:tcPr>
          <w:p>
            <w:pPr>
              <w:spacing w:after="0"/>
            </w:pPr>
            <w:r>
              <w:rPr>
                <w:sz w:val="14"/>
              </w:rPr>
              <w:t>AL-21</w:t>
            </w:r>
          </w:p>
        </w:tc>
        <w:tc>
          <w:tcPr>
            <w:tcW w:type="dxa" w:w="4195"/>
          </w:tcPr>
          <w:p>
            <w:pPr>
              <w:spacing w:after="0"/>
            </w:pPr>
            <w:r>
              <w:rPr>
                <w:sz w:val="14"/>
              </w:rPr>
              <w:t>UAT and MV/LV transformer losses</w:t>
            </w:r>
          </w:p>
        </w:tc>
        <w:tc>
          <w:tcPr>
            <w:tcW w:type="dxa" w:w="3402"/>
          </w:tcPr>
          <w:p>
            <w:pPr>
              <w:spacing w:after="0"/>
            </w:pPr>
            <w:r>
              <w:rPr>
                <w:sz w:val="14"/>
              </w:rPr>
              <w:t>fixed</w:t>
            </w:r>
          </w:p>
        </w:tc>
        <w:tc>
          <w:tcPr>
            <w:tcW w:type="dxa" w:w="1020"/>
          </w:tcPr>
          <w:p>
            <w:pPr>
              <w:spacing w:after="0"/>
            </w:pPr>
            <w:r>
              <w:rPr>
                <w:sz w:val="14"/>
              </w:rPr>
              <w:t>240</w:t>
            </w:r>
          </w:p>
        </w:tc>
      </w:tr>
      <w:tr>
        <w:trPr>
          <w:cantSplit w:val="true"/>
        </w:trPr>
        <w:tc>
          <w:tcPr>
            <w:tcW w:type="dxa" w:w="794"/>
          </w:tcPr>
          <w:p>
            <w:pPr>
              <w:spacing w:after="0"/>
            </w:pPr>
            <w:r>
              <w:rPr>
                <w:sz w:val="14"/>
              </w:rPr>
              <w:t>AL-22</w:t>
            </w:r>
          </w:p>
        </w:tc>
        <w:tc>
          <w:tcPr>
            <w:tcW w:type="dxa" w:w="4195"/>
          </w:tcPr>
          <w:p>
            <w:pPr>
              <w:spacing w:after="0"/>
            </w:pPr>
            <w:r>
              <w:rPr>
                <w:sz w:val="14"/>
              </w:rPr>
              <w:t>Miscellaneous (workshop, lighting outdoor, cathodic protection)</w:t>
            </w:r>
          </w:p>
        </w:tc>
        <w:tc>
          <w:tcPr>
            <w:tcW w:type="dxa" w:w="3402"/>
          </w:tcPr>
          <w:p>
            <w:pPr>
              <w:spacing w:after="0"/>
            </w:pPr>
            <w:r>
              <w:rPr>
                <w:sz w:val="14"/>
              </w:rPr>
              <w:t>fixed</w:t>
            </w:r>
          </w:p>
        </w:tc>
        <w:tc>
          <w:tcPr>
            <w:tcW w:type="dxa" w:w="1020"/>
          </w:tcPr>
          <w:p>
            <w:pPr>
              <w:spacing w:after="0"/>
            </w:pPr>
            <w:r>
              <w:rPr>
                <w:sz w:val="14"/>
              </w:rPr>
              <w:t>300</w:t>
            </w:r>
          </w:p>
        </w:tc>
      </w:tr>
    </w:tbl>
    <w:p>
      <w:pPr>
        <w:spacing w:after="40"/>
      </w:pPr>
    </w:p>
    <w:p>
      <w:pPr>
        <w:pStyle w:val="Heading1"/>
        <w:keepNext/>
      </w:pPr>
      <w:r>
        <w:t>6. Notes</w:t>
      </w:r>
    </w:p>
    <w:p>
      <w:pPr>
        <w:pStyle w:val="ListBullet"/>
      </w:pPr>
      <w:r>
        <w:t>Performance cases are at continuous blowdown closed (as during the performance tests); the demineralised water make-up, blowdown and cycle losses in normal operation are given in the Plant Water Balance ALP-EPC-00000-PR-STU-0001.</w:t>
      </w:r>
    </w:p>
    <w:p>
      <w:pPr>
        <w:pStyle w:val="ListBullet"/>
      </w:pPr>
      <w:r>
        <w:t>The station gas preheaters (indirect water-bath heaters, DEC-EPCE-0014) burn plant fuel downstream of the fiscal metering: their fuel (stream 31) is part of the plant heat input and of the net heat rate, not of the power island (gross) heat rate.</w:t>
      </w:r>
    </w:p>
    <w:p>
      <w:pPr>
        <w:pStyle w:val="ListBullet"/>
      </w:pPr>
      <w:r>
        <w:t>Auxiliary loads of the balance of plant follow the preliminary equipment sizing (DEC-EPCE-0014 / 0015 / 0016) and are updated with the electrical load list.</w:t>
      </w:r>
    </w:p>
    <w:p>
      <w:pPr>
        <w:pStyle w:val="ListBullet"/>
      </w:pPr>
      <w:r>
        <w:t>The diagrams of all cases follow this report (A1 sheets, stream data in the boxes, node balances in the case workbooks ALP-HMB-&lt;case&gt;.xlsx).</w:t>
      </w:r>
    </w:p>
    <w:sectPr w:rsidR="00FC693F" w:rsidRPr="0006063C" w:rsidSect="00034616">
      <w:headerReference w:type="default" r:id="rId9"/>
      <w:footerReference w:type="default" r:id="rId10"/>
      <w:pgSz w:w="11906" w:h="16838"/>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4"/>
      </w:rPr>
      <w:t>engine hmb v1.2.0 | data 6b60fce553593bf5 | generated 2026-09-29 - generated from the project database; do not edit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4"/>
      </w:rPr>
      <w:t>Alpilla 600 MW Combined Cycle Power Plant | ALP-EPC-00000-PR-HMB-0001 | Rev 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Arial" w:hAnsi="Arial"/>
      <w:b/>
      <w:bCs/>
      <w:color w:val="1F3864"/>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Arial" w:hAnsi="Arial"/>
      <w:b/>
      <w:bCs/>
      <w:color w:val="1F3864"/>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