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Topographic Survey and Site Setting-Out Report</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ALP-EPC-00000-CV-RPT-0003</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2026-11-20</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civil / RPT Technical report</w:t>
            </w:r>
          </w:p>
        </w:tc>
      </w:tr>
      <w:tr>
        <w:trPr>
          <w:cantSplit w:val="true"/>
        </w:trPr>
        <w:tc>
          <w:tcPr>
            <w:tcW w:type="dxa" w:w="2551"/>
          </w:tcPr>
          <w:p>
            <w:pPr>
              <w:spacing w:after="0"/>
            </w:pPr>
            <w:r>
              <w:rPr>
                <w:b/>
                <w:sz w:val="16"/>
              </w:rPr>
              <w:t>Review class</w:t>
            </w:r>
          </w:p>
        </w:tc>
        <w:tc>
          <w:tcPr>
            <w:tcW w:type="dxa" w:w="7313"/>
          </w:tcPr>
          <w:p>
            <w:pPr>
              <w:spacing w:after="0"/>
            </w:pPr>
            <w:r>
              <w:rPr>
                <w:sz w:val="16"/>
              </w:rPr>
              <w:t>review</w:t>
            </w:r>
          </w:p>
        </w:tc>
      </w:tr>
      <w:tr>
        <w:trPr>
          <w:cantSplit w:val="true"/>
        </w:trPr>
        <w:tc>
          <w:tcPr>
            <w:tcW w:type="dxa" w:w="2551"/>
          </w:tcPr>
          <w:p>
            <w:pPr>
              <w:spacing w:after="0"/>
            </w:pPr>
            <w:r>
              <w:rPr>
                <w:b/>
                <w:sz w:val="16"/>
              </w:rPr>
              <w:t>Basis</w:t>
            </w:r>
          </w:p>
        </w:tc>
        <w:tc>
          <w:tcPr>
            <w:tcW w:type="dxa" w:w="7313"/>
          </w:tcPr>
          <w:p>
            <w:pPr>
              <w:spacing w:after="0"/>
            </w:pPr>
            <w:r>
              <w:rPr>
                <w:sz w:val="16"/>
              </w:rPr>
              <w:t>requirement:ER-02.01, scope_item:SC-004</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2026-11-20</w:t>
            </w:r>
          </w:p>
        </w:tc>
        <w:tc>
          <w:tcPr>
            <w:tcW w:type="dxa" w:w="3969"/>
          </w:tcPr>
          <w:p>
            <w:pPr>
              <w:spacing w:after="0"/>
            </w:pPr>
            <w:r>
              <w:rPr>
                <w:sz w:val="14"/>
              </w:rPr>
              <w:t>First issue for Owner review</w:t>
            </w:r>
          </w:p>
        </w:tc>
        <w:tc>
          <w:tcPr>
            <w:tcW w:type="dxa" w:w="1134"/>
          </w:tcPr>
          <w:p>
            <w:pPr>
              <w:spacing w:after="0"/>
            </w:pPr>
            <w:r>
              <w:rPr>
                <w:sz w:val="14"/>
              </w:rPr>
              <w:t>EPCE</w:t>
            </w:r>
          </w:p>
        </w:tc>
        <w:tc>
          <w:tcPr>
            <w:tcW w:type="dxa" w:w="1134"/>
          </w:tcPr>
          <w:p>
            <w:pPr>
              <w:spacing w:after="0"/>
            </w:pPr>
            <w:r>
              <w:rPr>
                <w:sz w:val="14"/>
              </w:rPr>
              <w:t>EPC civil lead</w:t>
            </w:r>
          </w:p>
        </w:tc>
        <w:tc>
          <w:tcPr>
            <w:tcW w:type="dxa" w:w="1134"/>
          </w:tcPr>
          <w:p>
            <w:pPr>
              <w:spacing w:after="0"/>
            </w:pPr>
            <w:r>
              <w:rPr>
                <w:sz w:val="14"/>
              </w:rPr>
              <w:t>EPC engineering manager</w:t>
            </w:r>
          </w:p>
        </w:tc>
      </w:tr>
    </w:tbl>
    <w:p>
      <w:pPr>
        <w:spacing w:after="40"/>
      </w:pPr>
    </w:p>
    <w:p>
      <w:pPr>
        <w:pStyle w:val="Heading1"/>
        <w:keepNext/>
      </w:pPr>
      <w:r>
        <w:t>1. Purpose and scope</w:t>
      </w:r>
    </w:p>
    <w:p>
      <w:r>
        <w:t>This report presents the topographic survey of the site, the control network and benchmarks for setting out, the check of the Owner's levelled platform and the levels of the temporary construction area TP-A1, and fixes the setting-out rules for the works. Survey by Land survey subcontractor (role-play), point listing ALP-SUR-TOP-001 Rev 0 received 2026-11-13 (SRC-EPCE-0011): 291 points - 4 control pillars, 3 benchmarks, 271 spot heights, 13 existing features.</w:t>
      </w:r>
    </w:p>
    <w:p>
      <w:pPr>
        <w:pStyle w:val="Heading1"/>
        <w:keepNext/>
      </w:pPr>
      <w:r>
        <w:t>2. Reference systems</w:t>
      </w:r>
    </w:p>
    <w:tbl>
      <w:tblPr>
        <w:tblStyle w:val="TableGrid"/>
        <w:tblW w:type="auto" w:w="0"/>
        <w:tblLayout w:type="fixed"/>
        <w:tblLook w:firstColumn="1" w:firstRow="1" w:lastColumn="0" w:lastRow="0" w:noHBand="0" w:noVBand="1" w:val="04A0"/>
      </w:tblPr>
      <w:tblGrid>
        <w:gridCol w:w="3118"/>
        <w:gridCol w:w="3118"/>
        <w:gridCol w:w="3175"/>
      </w:tblGrid>
      <w:tr>
        <w:trPr>
          <w:tblHeader w:val="true"/>
        </w:trPr>
        <w:tc>
          <w:tcPr>
            <w:tcW w:type="dxa" w:w="3118"/>
            <w:shd w:val="clear" w:color="auto" w:fill="1F3864"/>
          </w:tcPr>
          <w:p>
            <w:r>
              <w:rPr>
                <w:b/>
                <w:color w:val="FFFFFF"/>
                <w:sz w:val="14"/>
              </w:rPr>
              <w:t>Item</w:t>
            </w:r>
          </w:p>
        </w:tc>
        <w:tc>
          <w:tcPr>
            <w:tcW w:type="dxa" w:w="3118"/>
            <w:shd w:val="clear" w:color="auto" w:fill="1F3864"/>
          </w:tcPr>
          <w:p>
            <w:r>
              <w:rPr>
                <w:b/>
                <w:color w:val="FFFFFF"/>
                <w:sz w:val="14"/>
              </w:rPr>
              <w:t>Value</w:t>
            </w:r>
          </w:p>
        </w:tc>
        <w:tc>
          <w:tcPr>
            <w:tcW w:type="dxa" w:w="3175"/>
            <w:shd w:val="clear" w:color="auto" w:fill="1F3864"/>
          </w:tcPr>
          <w:p>
            <w:r>
              <w:rPr>
                <w:b/>
                <w:color w:val="FFFFFF"/>
                <w:sz w:val="14"/>
              </w:rPr>
              <w:t>Remarks</w:t>
            </w:r>
          </w:p>
        </w:tc>
      </w:tr>
      <w:tr>
        <w:trPr>
          <w:cantSplit w:val="true"/>
        </w:trPr>
        <w:tc>
          <w:tcPr>
            <w:tcW w:type="dxa" w:w="3118"/>
          </w:tcPr>
          <w:p>
            <w:pPr>
              <w:spacing w:after="0"/>
            </w:pPr>
            <w:r>
              <w:rPr>
                <w:sz w:val="14"/>
              </w:rPr>
              <w:t>Plant grid origin in UTM zone 35N (E 0 / N 0)</w:t>
            </w:r>
          </w:p>
        </w:tc>
        <w:tc>
          <w:tcPr>
            <w:tcW w:type="dxa" w:w="3118"/>
          </w:tcPr>
          <w:p>
            <w:pPr>
              <w:spacing w:after="0"/>
            </w:pPr>
            <w:r>
              <w:rPr>
                <w:sz w:val="14"/>
              </w:rPr>
              <w:t>E 541,250.000 m / N 4,532,480.000 m m</w:t>
            </w:r>
          </w:p>
        </w:tc>
        <w:tc>
          <w:tcPr>
            <w:tcW w:type="dxa" w:w="3175"/>
          </w:tcPr>
          <w:p>
            <w:pPr>
              <w:spacing w:after="0"/>
            </w:pPr>
            <w:r>
              <w:rPr>
                <w:sz w:val="14"/>
              </w:rPr>
              <w:t>TUREF (ITRF96), south-west plot corner</w:t>
            </w:r>
          </w:p>
        </w:tc>
      </w:tr>
      <w:tr>
        <w:trPr>
          <w:cantSplit w:val="true"/>
        </w:trPr>
        <w:tc>
          <w:tcPr>
            <w:tcW w:type="dxa" w:w="3118"/>
          </w:tcPr>
          <w:p>
            <w:pPr>
              <w:spacing w:after="0"/>
            </w:pPr>
            <w:r>
              <w:rPr>
                <w:sz w:val="14"/>
              </w:rPr>
              <w:t>Rotation plant grid to UTM grid</w:t>
            </w:r>
          </w:p>
        </w:tc>
        <w:tc>
          <w:tcPr>
            <w:tcW w:type="dxa" w:w="3118"/>
          </w:tcPr>
          <w:p>
            <w:pPr>
              <w:spacing w:after="0"/>
            </w:pPr>
            <w:r>
              <w:rPr>
                <w:sz w:val="14"/>
              </w:rPr>
              <w:t>-0.3281  deg</w:t>
            </w:r>
          </w:p>
        </w:tc>
        <w:tc>
          <w:tcPr>
            <w:tcW w:type="dxa" w:w="3175"/>
          </w:tcPr>
          <w:p>
            <w:pPr>
              <w:spacing w:after="0"/>
            </w:pPr>
            <w:r>
              <w:rPr>
                <w:sz w:val="14"/>
              </w:rPr>
              <w:t>plant north = true north; grid convergence at site</w:t>
            </w:r>
          </w:p>
        </w:tc>
      </w:tr>
      <w:tr>
        <w:trPr>
          <w:cantSplit w:val="true"/>
        </w:trPr>
        <w:tc>
          <w:tcPr>
            <w:tcW w:type="dxa" w:w="3118"/>
          </w:tcPr>
          <w:p>
            <w:pPr>
              <w:spacing w:after="0"/>
            </w:pPr>
            <w:r>
              <w:rPr>
                <w:sz w:val="14"/>
              </w:rPr>
              <w:t>Scale factor plant grid to UTM</w:t>
            </w:r>
          </w:p>
        </w:tc>
        <w:tc>
          <w:tcPr>
            <w:tcW w:type="dxa" w:w="3118"/>
          </w:tcPr>
          <w:p>
            <w:pPr>
              <w:spacing w:after="0"/>
            </w:pPr>
            <w:r>
              <w:rPr>
                <w:sz w:val="14"/>
              </w:rPr>
              <w:t xml:space="preserve">0.999612 </w:t>
            </w:r>
          </w:p>
        </w:tc>
        <w:tc>
          <w:tcPr>
            <w:tcW w:type="dxa" w:w="3175"/>
          </w:tcPr>
          <w:p>
            <w:pPr>
              <w:spacing w:after="0"/>
            </w:pPr>
            <w:r>
              <w:rPr>
                <w:sz w:val="14"/>
              </w:rPr>
              <w:t>combined UTM point scale and height factor</w:t>
            </w:r>
          </w:p>
        </w:tc>
      </w:tr>
      <w:tr>
        <w:trPr>
          <w:cantSplit w:val="true"/>
        </w:trPr>
        <w:tc>
          <w:tcPr>
            <w:tcW w:type="dxa" w:w="3118"/>
          </w:tcPr>
          <w:p>
            <w:pPr>
              <w:spacing w:after="0"/>
            </w:pPr>
            <w:r>
              <w:rPr>
                <w:sz w:val="14"/>
              </w:rPr>
              <w:t>Height datum</w:t>
            </w:r>
          </w:p>
        </w:tc>
        <w:tc>
          <w:tcPr>
            <w:tcW w:type="dxa" w:w="3118"/>
          </w:tcPr>
          <w:p>
            <w:pPr>
              <w:spacing w:after="0"/>
            </w:pPr>
            <w:r>
              <w:rPr>
                <w:sz w:val="14"/>
              </w:rPr>
              <w:t>TUDKA-99 orthometric heights (m a.s.l.)</w:t>
            </w:r>
          </w:p>
        </w:tc>
        <w:tc>
          <w:tcPr>
            <w:tcW w:type="dxa" w:w="3175"/>
          </w:tcPr>
          <w:p>
            <w:pPr>
              <w:spacing w:after="0"/>
            </w:pPr>
            <w:r>
              <w:rPr>
                <w:sz w:val="14"/>
              </w:rPr>
            </w:r>
          </w:p>
        </w:tc>
      </w:tr>
      <w:tr>
        <w:trPr>
          <w:cantSplit w:val="true"/>
        </w:trPr>
        <w:tc>
          <w:tcPr>
            <w:tcW w:type="dxa" w:w="3118"/>
          </w:tcPr>
          <w:p>
            <w:pPr>
              <w:spacing w:after="0"/>
            </w:pPr>
            <w:r>
              <w:rPr>
                <w:sz w:val="14"/>
              </w:rPr>
              <w:t>Site grade level</w:t>
            </w:r>
          </w:p>
        </w:tc>
        <w:tc>
          <w:tcPr>
            <w:tcW w:type="dxa" w:w="3118"/>
          </w:tcPr>
          <w:p>
            <w:pPr>
              <w:spacing w:after="0"/>
            </w:pPr>
            <w:r>
              <w:rPr>
                <w:sz w:val="14"/>
              </w:rPr>
              <w:t>15  m a.s.l.</w:t>
            </w:r>
          </w:p>
        </w:tc>
        <w:tc>
          <w:tcPr>
            <w:tcW w:type="dxa" w:w="3175"/>
          </w:tcPr>
          <w:p>
            <w:pPr>
              <w:spacing w:after="0"/>
            </w:pPr>
            <w:r>
              <w:rPr>
                <w:sz w:val="14"/>
              </w:rPr>
            </w:r>
          </w:p>
        </w:tc>
      </w:tr>
    </w:tbl>
    <w:p>
      <w:pPr>
        <w:spacing w:after="40"/>
      </w:pPr>
    </w:p>
    <w:p>
      <w:r>
        <w:t>Plant grid (E, N) in metres, origin at the south-west plot corner, plant north = true north (ALP-OWN-GEN-001). UTM = origin + k x R(rotation) x (E, N). All design drawings use plant grid coordinates; UTM coordinates are used for the authority submissions and the external connections.</w:t>
      </w:r>
    </w:p>
    <w:p>
      <w:pPr>
        <w:pStyle w:val="Heading1"/>
        <w:keepNext/>
      </w:pPr>
      <w:r>
        <w:t>3. Control network and benchmarks</w:t>
      </w:r>
    </w:p>
    <w:p>
      <w:r>
        <w:t>Primary control pillars (GNSS static observations) with the residual of the transformation from plant grid to UTM against the measured coordinates:</w:t>
      </w:r>
    </w:p>
    <w:tbl>
      <w:tblPr>
        <w:tblStyle w:val="TableGrid"/>
        <w:tblW w:type="auto" w:w="0"/>
        <w:tblLayout w:type="fixed"/>
        <w:tblLook w:firstColumn="1" w:firstRow="1" w:lastColumn="0" w:lastRow="0" w:noHBand="0" w:noVBand="1" w:val="04A0"/>
      </w:tblPr>
      <w:tblGrid>
        <w:gridCol w:w="907"/>
        <w:gridCol w:w="1134"/>
        <w:gridCol w:w="1134"/>
        <w:gridCol w:w="1701"/>
        <w:gridCol w:w="1814"/>
        <w:gridCol w:w="1020"/>
        <w:gridCol w:w="1134"/>
      </w:tblGrid>
      <w:tr>
        <w:trPr>
          <w:tblHeader w:val="true"/>
        </w:trPr>
        <w:tc>
          <w:tcPr>
            <w:tcW w:type="dxa" w:w="907"/>
            <w:shd w:val="clear" w:color="auto" w:fill="1F3864"/>
          </w:tcPr>
          <w:p>
            <w:r>
              <w:rPr>
                <w:b/>
                <w:color w:val="FFFFFF"/>
                <w:sz w:val="14"/>
              </w:rPr>
              <w:t>Point</w:t>
            </w:r>
          </w:p>
        </w:tc>
        <w:tc>
          <w:tcPr>
            <w:tcW w:type="dxa" w:w="1134"/>
            <w:shd w:val="clear" w:color="auto" w:fill="1F3864"/>
          </w:tcPr>
          <w:p>
            <w:r>
              <w:rPr>
                <w:b/>
                <w:color w:val="FFFFFF"/>
                <w:sz w:val="14"/>
              </w:rPr>
              <w:t>E plant</w:t>
            </w:r>
          </w:p>
        </w:tc>
        <w:tc>
          <w:tcPr>
            <w:tcW w:type="dxa" w:w="1134"/>
            <w:shd w:val="clear" w:color="auto" w:fill="1F3864"/>
          </w:tcPr>
          <w:p>
            <w:r>
              <w:rPr>
                <w:b/>
                <w:color w:val="FFFFFF"/>
                <w:sz w:val="14"/>
              </w:rPr>
              <w:t>N plant</w:t>
            </w:r>
          </w:p>
        </w:tc>
        <w:tc>
          <w:tcPr>
            <w:tcW w:type="dxa" w:w="1701"/>
            <w:shd w:val="clear" w:color="auto" w:fill="1F3864"/>
          </w:tcPr>
          <w:p>
            <w:r>
              <w:rPr>
                <w:b/>
                <w:color w:val="FFFFFF"/>
                <w:sz w:val="14"/>
              </w:rPr>
              <w:t>E UTM 35N</w:t>
            </w:r>
          </w:p>
        </w:tc>
        <w:tc>
          <w:tcPr>
            <w:tcW w:type="dxa" w:w="1814"/>
            <w:shd w:val="clear" w:color="auto" w:fill="1F3864"/>
          </w:tcPr>
          <w:p>
            <w:r>
              <w:rPr>
                <w:b/>
                <w:color w:val="FFFFFF"/>
                <w:sz w:val="14"/>
              </w:rPr>
              <w:t>N UTM 35N</w:t>
            </w:r>
          </w:p>
        </w:tc>
        <w:tc>
          <w:tcPr>
            <w:tcW w:type="dxa" w:w="1020"/>
            <w:shd w:val="clear" w:color="auto" w:fill="1F3864"/>
          </w:tcPr>
          <w:p>
            <w:r>
              <w:rPr>
                <w:b/>
                <w:color w:val="FFFFFF"/>
                <w:sz w:val="14"/>
              </w:rPr>
              <w:t>Height</w:t>
            </w:r>
          </w:p>
        </w:tc>
        <w:tc>
          <w:tcPr>
            <w:tcW w:type="dxa" w:w="1134"/>
            <w:shd w:val="clear" w:color="auto" w:fill="1F3864"/>
          </w:tcPr>
          <w:p>
            <w:r>
              <w:rPr>
                <w:b/>
                <w:color w:val="FFFFFF"/>
                <w:sz w:val="14"/>
              </w:rPr>
              <w:t>Residual mm</w:t>
            </w:r>
          </w:p>
        </w:tc>
      </w:tr>
      <w:tr>
        <w:trPr>
          <w:cantSplit w:val="true"/>
        </w:trPr>
        <w:tc>
          <w:tcPr>
            <w:tcW w:type="dxa" w:w="907"/>
          </w:tcPr>
          <w:p>
            <w:pPr>
              <w:spacing w:after="0"/>
            </w:pPr>
            <w:r>
              <w:rPr>
                <w:sz w:val="14"/>
              </w:rPr>
              <w:t>CP-01</w:t>
            </w:r>
          </w:p>
        </w:tc>
        <w:tc>
          <w:tcPr>
            <w:tcW w:type="dxa" w:w="1134"/>
          </w:tcPr>
          <w:p>
            <w:pPr>
              <w:spacing w:after="0"/>
            </w:pPr>
            <w:r>
              <w:rPr>
                <w:sz w:val="14"/>
              </w:rPr>
              <w:t>15.000</w:t>
            </w:r>
          </w:p>
        </w:tc>
        <w:tc>
          <w:tcPr>
            <w:tcW w:type="dxa" w:w="1134"/>
          </w:tcPr>
          <w:p>
            <w:pPr>
              <w:spacing w:after="0"/>
            </w:pPr>
            <w:r>
              <w:rPr>
                <w:sz w:val="14"/>
              </w:rPr>
              <w:t>12.000</w:t>
            </w:r>
          </w:p>
        </w:tc>
        <w:tc>
          <w:tcPr>
            <w:tcW w:type="dxa" w:w="1701"/>
          </w:tcPr>
          <w:p>
            <w:pPr>
              <w:spacing w:after="0"/>
            </w:pPr>
            <w:r>
              <w:rPr>
                <w:sz w:val="14"/>
              </w:rPr>
              <w:t>541265.052</w:t>
            </w:r>
          </w:p>
        </w:tc>
        <w:tc>
          <w:tcPr>
            <w:tcW w:type="dxa" w:w="1814"/>
          </w:tcPr>
          <w:p>
            <w:pPr>
              <w:spacing w:after="0"/>
            </w:pPr>
            <w:r>
              <w:rPr>
                <w:sz w:val="14"/>
              </w:rPr>
              <w:t>4532491.905</w:t>
            </w:r>
          </w:p>
        </w:tc>
        <w:tc>
          <w:tcPr>
            <w:tcW w:type="dxa" w:w="1020"/>
          </w:tcPr>
          <w:p>
            <w:pPr>
              <w:spacing w:after="0"/>
            </w:pPr>
            <w:r>
              <w:rPr>
                <w:sz w:val="14"/>
              </w:rPr>
              <w:t>15.046</w:t>
            </w:r>
          </w:p>
        </w:tc>
        <w:tc>
          <w:tcPr>
            <w:tcW w:type="dxa" w:w="1134"/>
          </w:tcPr>
          <w:p>
            <w:pPr>
              <w:spacing w:after="0"/>
            </w:pPr>
            <w:r>
              <w:rPr>
                <w:sz w:val="14"/>
              </w:rPr>
              <w:t>11</w:t>
            </w:r>
          </w:p>
        </w:tc>
      </w:tr>
      <w:tr>
        <w:trPr>
          <w:cantSplit w:val="true"/>
        </w:trPr>
        <w:tc>
          <w:tcPr>
            <w:tcW w:type="dxa" w:w="907"/>
          </w:tcPr>
          <w:p>
            <w:pPr>
              <w:spacing w:after="0"/>
            </w:pPr>
            <w:r>
              <w:rPr>
                <w:sz w:val="14"/>
              </w:rPr>
              <w:t>CP-02</w:t>
            </w:r>
          </w:p>
        </w:tc>
        <w:tc>
          <w:tcPr>
            <w:tcW w:type="dxa" w:w="1134"/>
          </w:tcPr>
          <w:p>
            <w:pPr>
              <w:spacing w:after="0"/>
            </w:pPr>
            <w:r>
              <w:rPr>
                <w:sz w:val="14"/>
              </w:rPr>
              <w:t>392.000</w:t>
            </w:r>
          </w:p>
        </w:tc>
        <w:tc>
          <w:tcPr>
            <w:tcW w:type="dxa" w:w="1134"/>
          </w:tcPr>
          <w:p>
            <w:pPr>
              <w:spacing w:after="0"/>
            </w:pPr>
            <w:r>
              <w:rPr>
                <w:sz w:val="14"/>
              </w:rPr>
              <w:t>12.000</w:t>
            </w:r>
          </w:p>
        </w:tc>
        <w:tc>
          <w:tcPr>
            <w:tcW w:type="dxa" w:w="1701"/>
          </w:tcPr>
          <w:p>
            <w:pPr>
              <w:spacing w:after="0"/>
            </w:pPr>
            <w:r>
              <w:rPr>
                <w:sz w:val="14"/>
              </w:rPr>
              <w:t>541641.906</w:t>
            </w:r>
          </w:p>
        </w:tc>
        <w:tc>
          <w:tcPr>
            <w:tcW w:type="dxa" w:w="1814"/>
          </w:tcPr>
          <w:p>
            <w:pPr>
              <w:spacing w:after="0"/>
            </w:pPr>
            <w:r>
              <w:rPr>
                <w:sz w:val="14"/>
              </w:rPr>
              <w:t>4532489.755</w:t>
            </w:r>
          </w:p>
        </w:tc>
        <w:tc>
          <w:tcPr>
            <w:tcW w:type="dxa" w:w="1020"/>
          </w:tcPr>
          <w:p>
            <w:pPr>
              <w:spacing w:after="0"/>
            </w:pPr>
            <w:r>
              <w:rPr>
                <w:sz w:val="14"/>
              </w:rPr>
              <w:t>15.018</w:t>
            </w:r>
          </w:p>
        </w:tc>
        <w:tc>
          <w:tcPr>
            <w:tcW w:type="dxa" w:w="1134"/>
          </w:tcPr>
          <w:p>
            <w:pPr>
              <w:spacing w:after="0"/>
            </w:pPr>
            <w:r>
              <w:rPr>
                <w:sz w:val="14"/>
              </w:rPr>
              <w:t>6</w:t>
            </w:r>
          </w:p>
        </w:tc>
      </w:tr>
      <w:tr>
        <w:trPr>
          <w:cantSplit w:val="true"/>
        </w:trPr>
        <w:tc>
          <w:tcPr>
            <w:tcW w:type="dxa" w:w="907"/>
          </w:tcPr>
          <w:p>
            <w:pPr>
              <w:spacing w:after="0"/>
            </w:pPr>
            <w:r>
              <w:rPr>
                <w:sz w:val="14"/>
              </w:rPr>
              <w:t>CP-03</w:t>
            </w:r>
          </w:p>
        </w:tc>
        <w:tc>
          <w:tcPr>
            <w:tcW w:type="dxa" w:w="1134"/>
          </w:tcPr>
          <w:p>
            <w:pPr>
              <w:spacing w:after="0"/>
            </w:pPr>
            <w:r>
              <w:rPr>
                <w:sz w:val="14"/>
              </w:rPr>
              <w:t>392.000</w:t>
            </w:r>
          </w:p>
        </w:tc>
        <w:tc>
          <w:tcPr>
            <w:tcW w:type="dxa" w:w="1134"/>
          </w:tcPr>
          <w:p>
            <w:pPr>
              <w:spacing w:after="0"/>
            </w:pPr>
            <w:r>
              <w:rPr>
                <w:sz w:val="14"/>
              </w:rPr>
              <w:t>293.000</w:t>
            </w:r>
          </w:p>
        </w:tc>
        <w:tc>
          <w:tcPr>
            <w:tcW w:type="dxa" w:w="1701"/>
          </w:tcPr>
          <w:p>
            <w:pPr>
              <w:spacing w:after="0"/>
            </w:pPr>
            <w:r>
              <w:rPr>
                <w:sz w:val="14"/>
              </w:rPr>
              <w:t>541643.520</w:t>
            </w:r>
          </w:p>
        </w:tc>
        <w:tc>
          <w:tcPr>
            <w:tcW w:type="dxa" w:w="1814"/>
          </w:tcPr>
          <w:p>
            <w:pPr>
              <w:spacing w:after="0"/>
            </w:pPr>
            <w:r>
              <w:rPr>
                <w:sz w:val="14"/>
              </w:rPr>
              <w:t>4532770.638</w:t>
            </w:r>
          </w:p>
        </w:tc>
        <w:tc>
          <w:tcPr>
            <w:tcW w:type="dxa" w:w="1020"/>
          </w:tcPr>
          <w:p>
            <w:pPr>
              <w:spacing w:after="0"/>
            </w:pPr>
            <w:r>
              <w:rPr>
                <w:sz w:val="14"/>
              </w:rPr>
              <w:t>15.071</w:t>
            </w:r>
          </w:p>
        </w:tc>
        <w:tc>
          <w:tcPr>
            <w:tcW w:type="dxa" w:w="1134"/>
          </w:tcPr>
          <w:p>
            <w:pPr>
              <w:spacing w:after="0"/>
            </w:pPr>
            <w:r>
              <w:rPr>
                <w:sz w:val="14"/>
              </w:rPr>
              <w:t>1</w:t>
            </w:r>
          </w:p>
        </w:tc>
      </w:tr>
      <w:tr>
        <w:trPr>
          <w:cantSplit w:val="true"/>
        </w:trPr>
        <w:tc>
          <w:tcPr>
            <w:tcW w:type="dxa" w:w="907"/>
          </w:tcPr>
          <w:p>
            <w:pPr>
              <w:spacing w:after="0"/>
            </w:pPr>
            <w:r>
              <w:rPr>
                <w:sz w:val="14"/>
              </w:rPr>
              <w:t>CP-04</w:t>
            </w:r>
          </w:p>
        </w:tc>
        <w:tc>
          <w:tcPr>
            <w:tcW w:type="dxa" w:w="1134"/>
          </w:tcPr>
          <w:p>
            <w:pPr>
              <w:spacing w:after="0"/>
            </w:pPr>
            <w:r>
              <w:rPr>
                <w:sz w:val="14"/>
              </w:rPr>
              <w:t>15.000</w:t>
            </w:r>
          </w:p>
        </w:tc>
        <w:tc>
          <w:tcPr>
            <w:tcW w:type="dxa" w:w="1134"/>
          </w:tcPr>
          <w:p>
            <w:pPr>
              <w:spacing w:after="0"/>
            </w:pPr>
            <w:r>
              <w:rPr>
                <w:sz w:val="14"/>
              </w:rPr>
              <w:t>293.000</w:t>
            </w:r>
          </w:p>
        </w:tc>
        <w:tc>
          <w:tcPr>
            <w:tcW w:type="dxa" w:w="1701"/>
          </w:tcPr>
          <w:p>
            <w:pPr>
              <w:spacing w:after="0"/>
            </w:pPr>
            <w:r>
              <w:rPr>
                <w:sz w:val="14"/>
              </w:rPr>
              <w:t>541266.673</w:t>
            </w:r>
          </w:p>
        </w:tc>
        <w:tc>
          <w:tcPr>
            <w:tcW w:type="dxa" w:w="1814"/>
          </w:tcPr>
          <w:p>
            <w:pPr>
              <w:spacing w:after="0"/>
            </w:pPr>
            <w:r>
              <w:rPr>
                <w:sz w:val="14"/>
              </w:rPr>
              <w:t>4532772.793</w:t>
            </w:r>
          </w:p>
        </w:tc>
        <w:tc>
          <w:tcPr>
            <w:tcW w:type="dxa" w:w="1020"/>
          </w:tcPr>
          <w:p>
            <w:pPr>
              <w:spacing w:after="0"/>
            </w:pPr>
            <w:r>
              <w:rPr>
                <w:sz w:val="14"/>
              </w:rPr>
              <w:t>15.083</w:t>
            </w:r>
          </w:p>
        </w:tc>
        <w:tc>
          <w:tcPr>
            <w:tcW w:type="dxa" w:w="1134"/>
          </w:tcPr>
          <w:p>
            <w:pPr>
              <w:spacing w:after="0"/>
            </w:pPr>
            <w:r>
              <w:rPr>
                <w:sz w:val="14"/>
              </w:rPr>
              <w:t>3</w:t>
            </w:r>
          </w:p>
        </w:tc>
      </w:tr>
    </w:tbl>
    <w:p>
      <w:pPr>
        <w:spacing w:after="40"/>
      </w:pPr>
    </w:p>
    <w:tbl>
      <w:tblPr>
        <w:tblStyle w:val="TableGrid"/>
        <w:tblW w:type="auto" w:w="0"/>
        <w:tblLayout w:type="fixed"/>
        <w:tblLook w:firstColumn="1" w:firstRow="1" w:lastColumn="0" w:lastRow="0" w:noHBand="0" w:noVBand="1" w:val="04A0"/>
      </w:tblPr>
      <w:tblGrid>
        <w:gridCol w:w="1020"/>
        <w:gridCol w:w="963"/>
        <w:gridCol w:w="963"/>
        <w:gridCol w:w="1020"/>
        <w:gridCol w:w="5443"/>
      </w:tblGrid>
      <w:tr>
        <w:trPr>
          <w:tblHeader w:val="true"/>
        </w:trPr>
        <w:tc>
          <w:tcPr>
            <w:tcW w:type="dxa" w:w="1020"/>
            <w:shd w:val="clear" w:color="auto" w:fill="1F3864"/>
          </w:tcPr>
          <w:p>
            <w:r>
              <w:rPr>
                <w:b/>
                <w:color w:val="FFFFFF"/>
                <w:sz w:val="14"/>
              </w:rPr>
              <w:t>Benchmark</w:t>
            </w:r>
          </w:p>
        </w:tc>
        <w:tc>
          <w:tcPr>
            <w:tcW w:type="dxa" w:w="964"/>
            <w:shd w:val="clear" w:color="auto" w:fill="1F3864"/>
          </w:tcPr>
          <w:p>
            <w:r>
              <w:rPr>
                <w:b/>
                <w:color w:val="FFFFFF"/>
                <w:sz w:val="14"/>
              </w:rPr>
              <w:t>E plant</w:t>
            </w:r>
          </w:p>
        </w:tc>
        <w:tc>
          <w:tcPr>
            <w:tcW w:type="dxa" w:w="964"/>
            <w:shd w:val="clear" w:color="auto" w:fill="1F3864"/>
          </w:tcPr>
          <w:p>
            <w:r>
              <w:rPr>
                <w:b/>
                <w:color w:val="FFFFFF"/>
                <w:sz w:val="14"/>
              </w:rPr>
              <w:t>N plant</w:t>
            </w:r>
          </w:p>
        </w:tc>
        <w:tc>
          <w:tcPr>
            <w:tcW w:type="dxa" w:w="1020"/>
            <w:shd w:val="clear" w:color="auto" w:fill="1F3864"/>
          </w:tcPr>
          <w:p>
            <w:r>
              <w:rPr>
                <w:b/>
                <w:color w:val="FFFFFF"/>
                <w:sz w:val="14"/>
              </w:rPr>
              <w:t>Height m</w:t>
            </w:r>
          </w:p>
        </w:tc>
        <w:tc>
          <w:tcPr>
            <w:tcW w:type="dxa" w:w="5443"/>
            <w:shd w:val="clear" w:color="auto" w:fill="1F3864"/>
          </w:tcPr>
          <w:p>
            <w:r>
              <w:rPr>
                <w:b/>
                <w:color w:val="FFFFFF"/>
                <w:sz w:val="14"/>
              </w:rPr>
              <w:t>Description</w:t>
            </w:r>
          </w:p>
        </w:tc>
      </w:tr>
      <w:tr>
        <w:trPr>
          <w:cantSplit w:val="true"/>
        </w:trPr>
        <w:tc>
          <w:tcPr>
            <w:tcW w:type="dxa" w:w="1020"/>
          </w:tcPr>
          <w:p>
            <w:pPr>
              <w:spacing w:after="0"/>
            </w:pPr>
            <w:r>
              <w:rPr>
                <w:sz w:val="14"/>
              </w:rPr>
              <w:t>BM-01</w:t>
            </w:r>
          </w:p>
        </w:tc>
        <w:tc>
          <w:tcPr>
            <w:tcW w:type="dxa" w:w="964"/>
          </w:tcPr>
          <w:p>
            <w:pPr>
              <w:spacing w:after="0"/>
            </w:pPr>
            <w:r>
              <w:rPr>
                <w:sz w:val="14"/>
              </w:rPr>
              <w:t>30.0</w:t>
            </w:r>
          </w:p>
        </w:tc>
        <w:tc>
          <w:tcPr>
            <w:tcW w:type="dxa" w:w="964"/>
          </w:tcPr>
          <w:p>
            <w:pPr>
              <w:spacing w:after="0"/>
            </w:pPr>
            <w:r>
              <w:rPr>
                <w:sz w:val="14"/>
              </w:rPr>
              <w:t>296.0</w:t>
            </w:r>
          </w:p>
        </w:tc>
        <w:tc>
          <w:tcPr>
            <w:tcW w:type="dxa" w:w="1020"/>
          </w:tcPr>
          <w:p>
            <w:pPr>
              <w:spacing w:after="0"/>
            </w:pPr>
            <w:r>
              <w:rPr>
                <w:sz w:val="14"/>
              </w:rPr>
              <w:t>15.312</w:t>
            </w:r>
          </w:p>
        </w:tc>
        <w:tc>
          <w:tcPr>
            <w:tcW w:type="dxa" w:w="5443"/>
          </w:tcPr>
          <w:p>
            <w:pPr>
              <w:spacing w:after="0"/>
            </w:pPr>
            <w:r>
              <w:rPr>
                <w:sz w:val="14"/>
              </w:rPr>
              <w:t>Site benchmark, brass bolt in concrete block; levelled from national benchmark NB-35-1147 (+18.412 m TUDKA-99), closure 3 mm</w:t>
            </w:r>
          </w:p>
        </w:tc>
      </w:tr>
      <w:tr>
        <w:trPr>
          <w:cantSplit w:val="true"/>
        </w:trPr>
        <w:tc>
          <w:tcPr>
            <w:tcW w:type="dxa" w:w="1020"/>
          </w:tcPr>
          <w:p>
            <w:pPr>
              <w:spacing w:after="0"/>
            </w:pPr>
            <w:r>
              <w:rPr>
                <w:sz w:val="14"/>
              </w:rPr>
              <w:t>BM-02</w:t>
            </w:r>
          </w:p>
        </w:tc>
        <w:tc>
          <w:tcPr>
            <w:tcW w:type="dxa" w:w="964"/>
          </w:tcPr>
          <w:p>
            <w:pPr>
              <w:spacing w:after="0"/>
            </w:pPr>
            <w:r>
              <w:rPr>
                <w:sz w:val="14"/>
              </w:rPr>
              <w:t>381.0</w:t>
            </w:r>
          </w:p>
        </w:tc>
        <w:tc>
          <w:tcPr>
            <w:tcW w:type="dxa" w:w="964"/>
          </w:tcPr>
          <w:p>
            <w:pPr>
              <w:spacing w:after="0"/>
            </w:pPr>
            <w:r>
              <w:rPr>
                <w:sz w:val="14"/>
              </w:rPr>
              <w:t>15.0</w:t>
            </w:r>
          </w:p>
        </w:tc>
        <w:tc>
          <w:tcPr>
            <w:tcW w:type="dxa" w:w="1020"/>
          </w:tcPr>
          <w:p>
            <w:pPr>
              <w:spacing w:after="0"/>
            </w:pPr>
            <w:r>
              <w:rPr>
                <w:sz w:val="14"/>
              </w:rPr>
              <w:t>15.108</w:t>
            </w:r>
          </w:p>
        </w:tc>
        <w:tc>
          <w:tcPr>
            <w:tcW w:type="dxa" w:w="5443"/>
          </w:tcPr>
          <w:p>
            <w:pPr>
              <w:spacing w:after="0"/>
            </w:pPr>
            <w:r>
              <w:rPr>
                <w:sz w:val="14"/>
              </w:rPr>
              <w:t>Site benchmark, brass bolt in concrete block; levelled loop BM-01 - BM-02, closure 2 mm</w:t>
            </w:r>
          </w:p>
        </w:tc>
      </w:tr>
      <w:tr>
        <w:trPr>
          <w:cantSplit w:val="true"/>
        </w:trPr>
        <w:tc>
          <w:tcPr>
            <w:tcW w:type="dxa" w:w="1020"/>
          </w:tcPr>
          <w:p>
            <w:pPr>
              <w:spacing w:after="0"/>
            </w:pPr>
            <w:r>
              <w:rPr>
                <w:sz w:val="14"/>
              </w:rPr>
              <w:t>BM-03</w:t>
            </w:r>
          </w:p>
        </w:tc>
        <w:tc>
          <w:tcPr>
            <w:tcW w:type="dxa" w:w="964"/>
          </w:tcPr>
          <w:p>
            <w:pPr>
              <w:spacing w:after="0"/>
            </w:pPr>
            <w:r>
              <w:rPr>
                <w:sz w:val="14"/>
              </w:rPr>
              <w:t>90.0</w:t>
            </w:r>
          </w:p>
        </w:tc>
        <w:tc>
          <w:tcPr>
            <w:tcW w:type="dxa" w:w="964"/>
          </w:tcPr>
          <w:p>
            <w:pPr>
              <w:spacing w:after="0"/>
            </w:pPr>
            <w:r>
              <w:rPr>
                <w:sz w:val="14"/>
              </w:rPr>
              <w:t>590.0</w:t>
            </w:r>
          </w:p>
        </w:tc>
        <w:tc>
          <w:tcPr>
            <w:tcW w:type="dxa" w:w="1020"/>
          </w:tcPr>
          <w:p>
            <w:pPr>
              <w:spacing w:after="0"/>
            </w:pPr>
            <w:r>
              <w:rPr>
                <w:sz w:val="14"/>
              </w:rPr>
              <w:t>15.466</w:t>
            </w:r>
          </w:p>
        </w:tc>
        <w:tc>
          <w:tcPr>
            <w:tcW w:type="dxa" w:w="5443"/>
          </w:tcPr>
          <w:p>
            <w:pPr>
              <w:spacing w:after="0"/>
            </w:pPr>
            <w:r>
              <w:rPr>
                <w:sz w:val="14"/>
              </w:rPr>
              <w:t>Temporary area benchmark, steel pin in concrete; from BM-01, closure 4 mm</w:t>
            </w:r>
          </w:p>
        </w:tc>
      </w:tr>
    </w:tbl>
    <w:p>
      <w:pPr>
        <w:spacing w:after="40"/>
      </w:pPr>
    </w:p>
    <w:p>
      <w:pPr>
        <w:pStyle w:val="Heading1"/>
        <w:keepNext/>
      </w:pPr>
      <w:r>
        <w:t>4. Platform levels</w:t>
      </w:r>
    </w:p>
    <w:p>
      <w:r>
        <w:t>Plot (208 spot heights on a 25 m grid, stream channel strip excluded): levels 14.70 to 15.17 m, mean deviation from the platform level +15.00 m -66 mm, standard deviation 76 mm; 186 of 208 points (89%) within +-0.15 m (acceptance tolerance). Trimming to +15.00 m: cut 747 m3, fill 9,324 m3 (grid cell method, 25 x 25 m cells).</w:t>
      </w:r>
    </w:p>
    <w:tbl>
      <w:tblPr>
        <w:tblStyle w:val="TableGrid"/>
        <w:tblW w:type="auto" w:w="0"/>
        <w:tblLayout w:type="fixed"/>
        <w:tblLook w:firstColumn="1" w:firstRow="1" w:lastColumn="0" w:lastRow="0" w:noHBand="0" w:noVBand="1" w:val="04A0"/>
      </w:tblPr>
      <w:tblGrid>
        <w:gridCol w:w="1020"/>
        <w:gridCol w:w="850"/>
        <w:gridCol w:w="850"/>
        <w:gridCol w:w="1134"/>
        <w:gridCol w:w="1247"/>
        <w:gridCol w:w="4309"/>
      </w:tblGrid>
      <w:tr>
        <w:trPr>
          <w:tblHeader w:val="true"/>
        </w:trPr>
        <w:tc>
          <w:tcPr>
            <w:tcW w:type="dxa" w:w="1020"/>
            <w:shd w:val="clear" w:color="auto" w:fill="1F3864"/>
          </w:tcPr>
          <w:p>
            <w:r>
              <w:rPr>
                <w:b/>
                <w:color w:val="FFFFFF"/>
                <w:sz w:val="14"/>
              </w:rPr>
              <w:t>Point</w:t>
            </w:r>
          </w:p>
        </w:tc>
        <w:tc>
          <w:tcPr>
            <w:tcW w:type="dxa" w:w="850"/>
            <w:shd w:val="clear" w:color="auto" w:fill="1F3864"/>
          </w:tcPr>
          <w:p>
            <w:r>
              <w:rPr>
                <w:b/>
                <w:color w:val="FFFFFF"/>
                <w:sz w:val="14"/>
              </w:rPr>
              <w:t>E</w:t>
            </w:r>
          </w:p>
        </w:tc>
        <w:tc>
          <w:tcPr>
            <w:tcW w:type="dxa" w:w="850"/>
            <w:shd w:val="clear" w:color="auto" w:fill="1F3864"/>
          </w:tcPr>
          <w:p>
            <w:r>
              <w:rPr>
                <w:b/>
                <w:color w:val="FFFFFF"/>
                <w:sz w:val="14"/>
              </w:rPr>
              <w:t>N</w:t>
            </w:r>
          </w:p>
        </w:tc>
        <w:tc>
          <w:tcPr>
            <w:tcW w:type="dxa" w:w="1134"/>
            <w:shd w:val="clear" w:color="auto" w:fill="1F3864"/>
          </w:tcPr>
          <w:p>
            <w:r>
              <w:rPr>
                <w:b/>
                <w:color w:val="FFFFFF"/>
                <w:sz w:val="14"/>
              </w:rPr>
              <w:t>Level m</w:t>
            </w:r>
          </w:p>
        </w:tc>
        <w:tc>
          <w:tcPr>
            <w:tcW w:type="dxa" w:w="1247"/>
            <w:shd w:val="clear" w:color="auto" w:fill="1F3864"/>
          </w:tcPr>
          <w:p>
            <w:r>
              <w:rPr>
                <w:b/>
                <w:color w:val="FFFFFF"/>
                <w:sz w:val="14"/>
              </w:rPr>
              <w:t>Deviation mm</w:t>
            </w:r>
          </w:p>
        </w:tc>
        <w:tc>
          <w:tcPr>
            <w:tcW w:type="dxa" w:w="4309"/>
            <w:shd w:val="clear" w:color="auto" w:fill="1F3864"/>
          </w:tcPr>
          <w:p>
            <w:r>
              <w:rPr>
                <w:b/>
                <w:color w:val="FFFFFF"/>
                <w:sz w:val="14"/>
              </w:rPr>
              <w:t>Area</w:t>
            </w:r>
          </w:p>
        </w:tc>
      </w:tr>
      <w:tr>
        <w:trPr>
          <w:cantSplit w:val="true"/>
        </w:trPr>
        <w:tc>
          <w:tcPr>
            <w:tcW w:type="dxa" w:w="1020"/>
          </w:tcPr>
          <w:p>
            <w:pPr>
              <w:spacing w:after="0"/>
            </w:pPr>
            <w:r>
              <w:rPr>
                <w:sz w:val="14"/>
              </w:rPr>
              <w:t>SP-0001</w:t>
            </w:r>
          </w:p>
        </w:tc>
        <w:tc>
          <w:tcPr>
            <w:tcW w:type="dxa" w:w="850"/>
          </w:tcPr>
          <w:p>
            <w:pPr>
              <w:spacing w:after="0"/>
            </w:pPr>
            <w:r>
              <w:rPr>
                <w:sz w:val="14"/>
              </w:rPr>
              <w:t>25</w:t>
            </w:r>
          </w:p>
        </w:tc>
        <w:tc>
          <w:tcPr>
            <w:tcW w:type="dxa" w:w="850"/>
          </w:tcPr>
          <w:p>
            <w:pPr>
              <w:spacing w:after="0"/>
            </w:pPr>
            <w:r>
              <w:rPr>
                <w:sz w:val="14"/>
              </w:rPr>
              <w:t>0</w:t>
            </w:r>
          </w:p>
        </w:tc>
        <w:tc>
          <w:tcPr>
            <w:tcW w:type="dxa" w:w="1134"/>
          </w:tcPr>
          <w:p>
            <w:pPr>
              <w:spacing w:after="0"/>
            </w:pPr>
            <w:r>
              <w:rPr>
                <w:sz w:val="14"/>
              </w:rPr>
              <w:t>14.716</w:t>
            </w:r>
          </w:p>
        </w:tc>
        <w:tc>
          <w:tcPr>
            <w:tcW w:type="dxa" w:w="1247"/>
          </w:tcPr>
          <w:p>
            <w:pPr>
              <w:spacing w:after="0"/>
            </w:pPr>
            <w:r>
              <w:rPr>
                <w:sz w:val="14"/>
              </w:rPr>
              <w:t>-284</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SP-0003</w:t>
            </w:r>
          </w:p>
        </w:tc>
        <w:tc>
          <w:tcPr>
            <w:tcW w:type="dxa" w:w="850"/>
          </w:tcPr>
          <w:p>
            <w:pPr>
              <w:spacing w:after="0"/>
            </w:pPr>
            <w:r>
              <w:rPr>
                <w:sz w:val="14"/>
              </w:rPr>
              <w:t>25</w:t>
            </w:r>
          </w:p>
        </w:tc>
        <w:tc>
          <w:tcPr>
            <w:tcW w:type="dxa" w:w="850"/>
          </w:tcPr>
          <w:p>
            <w:pPr>
              <w:spacing w:after="0"/>
            </w:pPr>
            <w:r>
              <w:rPr>
                <w:sz w:val="14"/>
              </w:rPr>
              <w:t>50</w:t>
            </w:r>
          </w:p>
        </w:tc>
        <w:tc>
          <w:tcPr>
            <w:tcW w:type="dxa" w:w="1134"/>
          </w:tcPr>
          <w:p>
            <w:pPr>
              <w:spacing w:after="0"/>
            </w:pPr>
            <w:r>
              <w:rPr>
                <w:sz w:val="14"/>
              </w:rPr>
              <w:t>14.848</w:t>
            </w:r>
          </w:p>
        </w:tc>
        <w:tc>
          <w:tcPr>
            <w:tcW w:type="dxa" w:w="1247"/>
          </w:tcPr>
          <w:p>
            <w:pPr>
              <w:spacing w:after="0"/>
            </w:pPr>
            <w:r>
              <w:rPr>
                <w:sz w:val="14"/>
              </w:rPr>
              <w:t>-152</w:t>
            </w:r>
          </w:p>
        </w:tc>
        <w:tc>
          <w:tcPr>
            <w:tcW w:type="dxa" w:w="4309"/>
          </w:tcPr>
          <w:p>
            <w:pPr>
              <w:spacing w:after="0"/>
            </w:pPr>
            <w:r>
              <w:rPr>
                <w:sz w:val="14"/>
              </w:rPr>
              <w:t>platform</w:t>
            </w:r>
          </w:p>
        </w:tc>
      </w:tr>
      <w:tr>
        <w:trPr>
          <w:cantSplit w:val="true"/>
        </w:trPr>
        <w:tc>
          <w:tcPr>
            <w:tcW w:type="dxa" w:w="1020"/>
          </w:tcPr>
          <w:p>
            <w:pPr>
              <w:spacing w:after="0"/>
            </w:pPr>
            <w:r>
              <w:rPr>
                <w:sz w:val="14"/>
              </w:rPr>
              <w:t>SP-0007</w:t>
            </w:r>
          </w:p>
        </w:tc>
        <w:tc>
          <w:tcPr>
            <w:tcW w:type="dxa" w:w="850"/>
          </w:tcPr>
          <w:p>
            <w:pPr>
              <w:spacing w:after="0"/>
            </w:pPr>
            <w:r>
              <w:rPr>
                <w:sz w:val="14"/>
              </w:rPr>
              <w:t>25</w:t>
            </w:r>
          </w:p>
        </w:tc>
        <w:tc>
          <w:tcPr>
            <w:tcW w:type="dxa" w:w="850"/>
          </w:tcPr>
          <w:p>
            <w:pPr>
              <w:spacing w:after="0"/>
            </w:pPr>
            <w:r>
              <w:rPr>
                <w:sz w:val="14"/>
              </w:rPr>
              <w:t>150</w:t>
            </w:r>
          </w:p>
        </w:tc>
        <w:tc>
          <w:tcPr>
            <w:tcW w:type="dxa" w:w="1134"/>
          </w:tcPr>
          <w:p>
            <w:pPr>
              <w:spacing w:after="0"/>
            </w:pPr>
            <w:r>
              <w:rPr>
                <w:sz w:val="14"/>
              </w:rPr>
              <w:t>14.826</w:t>
            </w:r>
          </w:p>
        </w:tc>
        <w:tc>
          <w:tcPr>
            <w:tcW w:type="dxa" w:w="1247"/>
          </w:tcPr>
          <w:p>
            <w:pPr>
              <w:spacing w:after="0"/>
            </w:pPr>
            <w:r>
              <w:rPr>
                <w:sz w:val="14"/>
              </w:rPr>
              <w:t>-174</w:t>
            </w:r>
          </w:p>
        </w:tc>
        <w:tc>
          <w:tcPr>
            <w:tcW w:type="dxa" w:w="4309"/>
          </w:tcPr>
          <w:p>
            <w:pPr>
              <w:spacing w:after="0"/>
            </w:pPr>
            <w:r>
              <w:rPr>
                <w:sz w:val="14"/>
              </w:rPr>
              <w:t>platform</w:t>
            </w:r>
          </w:p>
        </w:tc>
      </w:tr>
      <w:tr>
        <w:trPr>
          <w:cantSplit w:val="true"/>
        </w:trPr>
        <w:tc>
          <w:tcPr>
            <w:tcW w:type="dxa" w:w="1020"/>
          </w:tcPr>
          <w:p>
            <w:pPr>
              <w:spacing w:after="0"/>
            </w:pPr>
            <w:r>
              <w:rPr>
                <w:sz w:val="14"/>
              </w:rPr>
              <w:t>SP-0014</w:t>
            </w:r>
          </w:p>
        </w:tc>
        <w:tc>
          <w:tcPr>
            <w:tcW w:type="dxa" w:w="850"/>
          </w:tcPr>
          <w:p>
            <w:pPr>
              <w:spacing w:after="0"/>
            </w:pPr>
            <w:r>
              <w:rPr>
                <w:sz w:val="14"/>
              </w:rPr>
              <w:t>50</w:t>
            </w:r>
          </w:p>
        </w:tc>
        <w:tc>
          <w:tcPr>
            <w:tcW w:type="dxa" w:w="850"/>
          </w:tcPr>
          <w:p>
            <w:pPr>
              <w:spacing w:after="0"/>
            </w:pPr>
            <w:r>
              <w:rPr>
                <w:sz w:val="14"/>
              </w:rPr>
              <w:t>0</w:t>
            </w:r>
          </w:p>
        </w:tc>
        <w:tc>
          <w:tcPr>
            <w:tcW w:type="dxa" w:w="1134"/>
          </w:tcPr>
          <w:p>
            <w:pPr>
              <w:spacing w:after="0"/>
            </w:pPr>
            <w:r>
              <w:rPr>
                <w:sz w:val="14"/>
              </w:rPr>
              <w:t>14.717</w:t>
            </w:r>
          </w:p>
        </w:tc>
        <w:tc>
          <w:tcPr>
            <w:tcW w:type="dxa" w:w="1247"/>
          </w:tcPr>
          <w:p>
            <w:pPr>
              <w:spacing w:after="0"/>
            </w:pPr>
            <w:r>
              <w:rPr>
                <w:sz w:val="14"/>
              </w:rPr>
              <w:t>-283</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SP-0027</w:t>
            </w:r>
          </w:p>
        </w:tc>
        <w:tc>
          <w:tcPr>
            <w:tcW w:type="dxa" w:w="850"/>
          </w:tcPr>
          <w:p>
            <w:pPr>
              <w:spacing w:after="0"/>
            </w:pPr>
            <w:r>
              <w:rPr>
                <w:sz w:val="14"/>
              </w:rPr>
              <w:t>75</w:t>
            </w:r>
          </w:p>
        </w:tc>
        <w:tc>
          <w:tcPr>
            <w:tcW w:type="dxa" w:w="850"/>
          </w:tcPr>
          <w:p>
            <w:pPr>
              <w:spacing w:after="0"/>
            </w:pPr>
            <w:r>
              <w:rPr>
                <w:sz w:val="14"/>
              </w:rPr>
              <w:t>0</w:t>
            </w:r>
          </w:p>
        </w:tc>
        <w:tc>
          <w:tcPr>
            <w:tcW w:type="dxa" w:w="1134"/>
          </w:tcPr>
          <w:p>
            <w:pPr>
              <w:spacing w:after="0"/>
            </w:pPr>
            <w:r>
              <w:rPr>
                <w:sz w:val="14"/>
              </w:rPr>
              <w:t>14.819</w:t>
            </w:r>
          </w:p>
        </w:tc>
        <w:tc>
          <w:tcPr>
            <w:tcW w:type="dxa" w:w="1247"/>
          </w:tcPr>
          <w:p>
            <w:pPr>
              <w:spacing w:after="0"/>
            </w:pPr>
            <w:r>
              <w:rPr>
                <w:sz w:val="14"/>
              </w:rPr>
              <w:t>-181</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SP-0040</w:t>
            </w:r>
          </w:p>
        </w:tc>
        <w:tc>
          <w:tcPr>
            <w:tcW w:type="dxa" w:w="850"/>
          </w:tcPr>
          <w:p>
            <w:pPr>
              <w:spacing w:after="0"/>
            </w:pPr>
            <w:r>
              <w:rPr>
                <w:sz w:val="14"/>
              </w:rPr>
              <w:t>100</w:t>
            </w:r>
          </w:p>
        </w:tc>
        <w:tc>
          <w:tcPr>
            <w:tcW w:type="dxa" w:w="850"/>
          </w:tcPr>
          <w:p>
            <w:pPr>
              <w:spacing w:after="0"/>
            </w:pPr>
            <w:r>
              <w:rPr>
                <w:sz w:val="14"/>
              </w:rPr>
              <w:t>0</w:t>
            </w:r>
          </w:p>
        </w:tc>
        <w:tc>
          <w:tcPr>
            <w:tcW w:type="dxa" w:w="1134"/>
          </w:tcPr>
          <w:p>
            <w:pPr>
              <w:spacing w:after="0"/>
            </w:pPr>
            <w:r>
              <w:rPr>
                <w:sz w:val="14"/>
              </w:rPr>
              <w:t>14.766</w:t>
            </w:r>
          </w:p>
        </w:tc>
        <w:tc>
          <w:tcPr>
            <w:tcW w:type="dxa" w:w="1247"/>
          </w:tcPr>
          <w:p>
            <w:pPr>
              <w:spacing w:after="0"/>
            </w:pPr>
            <w:r>
              <w:rPr>
                <w:sz w:val="14"/>
              </w:rPr>
              <w:t>-234</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SP-0053</w:t>
            </w:r>
          </w:p>
        </w:tc>
        <w:tc>
          <w:tcPr>
            <w:tcW w:type="dxa" w:w="850"/>
          </w:tcPr>
          <w:p>
            <w:pPr>
              <w:spacing w:after="0"/>
            </w:pPr>
            <w:r>
              <w:rPr>
                <w:sz w:val="14"/>
              </w:rPr>
              <w:t>125</w:t>
            </w:r>
          </w:p>
        </w:tc>
        <w:tc>
          <w:tcPr>
            <w:tcW w:type="dxa" w:w="850"/>
          </w:tcPr>
          <w:p>
            <w:pPr>
              <w:spacing w:after="0"/>
            </w:pPr>
            <w:r>
              <w:rPr>
                <w:sz w:val="14"/>
              </w:rPr>
              <w:t>0</w:t>
            </w:r>
          </w:p>
        </w:tc>
        <w:tc>
          <w:tcPr>
            <w:tcW w:type="dxa" w:w="1134"/>
          </w:tcPr>
          <w:p>
            <w:pPr>
              <w:spacing w:after="0"/>
            </w:pPr>
            <w:r>
              <w:rPr>
                <w:sz w:val="14"/>
              </w:rPr>
              <w:t>14.756</w:t>
            </w:r>
          </w:p>
        </w:tc>
        <w:tc>
          <w:tcPr>
            <w:tcW w:type="dxa" w:w="1247"/>
          </w:tcPr>
          <w:p>
            <w:pPr>
              <w:spacing w:after="0"/>
            </w:pPr>
            <w:r>
              <w:rPr>
                <w:sz w:val="14"/>
              </w:rPr>
              <w:t>-244</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SP-0066</w:t>
            </w:r>
          </w:p>
        </w:tc>
        <w:tc>
          <w:tcPr>
            <w:tcW w:type="dxa" w:w="850"/>
          </w:tcPr>
          <w:p>
            <w:pPr>
              <w:spacing w:after="0"/>
            </w:pPr>
            <w:r>
              <w:rPr>
                <w:sz w:val="14"/>
              </w:rPr>
              <w:t>150</w:t>
            </w:r>
          </w:p>
        </w:tc>
        <w:tc>
          <w:tcPr>
            <w:tcW w:type="dxa" w:w="850"/>
          </w:tcPr>
          <w:p>
            <w:pPr>
              <w:spacing w:after="0"/>
            </w:pPr>
            <w:r>
              <w:rPr>
                <w:sz w:val="14"/>
              </w:rPr>
              <w:t>0</w:t>
            </w:r>
          </w:p>
        </w:tc>
        <w:tc>
          <w:tcPr>
            <w:tcW w:type="dxa" w:w="1134"/>
          </w:tcPr>
          <w:p>
            <w:pPr>
              <w:spacing w:after="0"/>
            </w:pPr>
            <w:r>
              <w:rPr>
                <w:sz w:val="14"/>
              </w:rPr>
              <w:t>14.738</w:t>
            </w:r>
          </w:p>
        </w:tc>
        <w:tc>
          <w:tcPr>
            <w:tcW w:type="dxa" w:w="1247"/>
          </w:tcPr>
          <w:p>
            <w:pPr>
              <w:spacing w:after="0"/>
            </w:pPr>
            <w:r>
              <w:rPr>
                <w:sz w:val="14"/>
              </w:rPr>
              <w:t>-262</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SP-0079</w:t>
            </w:r>
          </w:p>
        </w:tc>
        <w:tc>
          <w:tcPr>
            <w:tcW w:type="dxa" w:w="850"/>
          </w:tcPr>
          <w:p>
            <w:pPr>
              <w:spacing w:after="0"/>
            </w:pPr>
            <w:r>
              <w:rPr>
                <w:sz w:val="14"/>
              </w:rPr>
              <w:t>175</w:t>
            </w:r>
          </w:p>
        </w:tc>
        <w:tc>
          <w:tcPr>
            <w:tcW w:type="dxa" w:w="850"/>
          </w:tcPr>
          <w:p>
            <w:pPr>
              <w:spacing w:after="0"/>
            </w:pPr>
            <w:r>
              <w:rPr>
                <w:sz w:val="14"/>
              </w:rPr>
              <w:t>0</w:t>
            </w:r>
          </w:p>
        </w:tc>
        <w:tc>
          <w:tcPr>
            <w:tcW w:type="dxa" w:w="1134"/>
          </w:tcPr>
          <w:p>
            <w:pPr>
              <w:spacing w:after="0"/>
            </w:pPr>
            <w:r>
              <w:rPr>
                <w:sz w:val="14"/>
              </w:rPr>
              <w:t>14.721</w:t>
            </w:r>
          </w:p>
        </w:tc>
        <w:tc>
          <w:tcPr>
            <w:tcW w:type="dxa" w:w="1247"/>
          </w:tcPr>
          <w:p>
            <w:pPr>
              <w:spacing w:after="0"/>
            </w:pPr>
            <w:r>
              <w:rPr>
                <w:sz w:val="14"/>
              </w:rPr>
              <w:t>-279</w:t>
            </w:r>
          </w:p>
        </w:tc>
        <w:tc>
          <w:tcPr>
            <w:tcW w:type="dxa" w:w="4309"/>
          </w:tcPr>
          <w:p>
            <w:pPr>
              <w:spacing w:after="0"/>
            </w:pPr>
            <w:r>
              <w:rPr>
                <w:sz w:val="14"/>
              </w:rPr>
              <w:t>south edge (setback fence)</w:t>
            </w:r>
          </w:p>
        </w:tc>
      </w:tr>
      <w:tr>
        <w:trPr>
          <w:cantSplit w:val="true"/>
        </w:trPr>
        <w:tc>
          <w:tcPr>
            <w:tcW w:type="dxa" w:w="1020"/>
          </w:tcPr>
          <w:p>
            <w:pPr>
              <w:spacing w:after="0"/>
            </w:pPr>
            <w:r>
              <w:rPr>
                <w:sz w:val="14"/>
              </w:rPr>
              <w:t>SP-0092</w:t>
            </w:r>
          </w:p>
        </w:tc>
        <w:tc>
          <w:tcPr>
            <w:tcW w:type="dxa" w:w="850"/>
          </w:tcPr>
          <w:p>
            <w:pPr>
              <w:spacing w:after="0"/>
            </w:pPr>
            <w:r>
              <w:rPr>
                <w:sz w:val="14"/>
              </w:rPr>
              <w:t>200</w:t>
            </w:r>
          </w:p>
        </w:tc>
        <w:tc>
          <w:tcPr>
            <w:tcW w:type="dxa" w:w="850"/>
          </w:tcPr>
          <w:p>
            <w:pPr>
              <w:spacing w:after="0"/>
            </w:pPr>
            <w:r>
              <w:rPr>
                <w:sz w:val="14"/>
              </w:rPr>
              <w:t>0</w:t>
            </w:r>
          </w:p>
        </w:tc>
        <w:tc>
          <w:tcPr>
            <w:tcW w:type="dxa" w:w="1134"/>
          </w:tcPr>
          <w:p>
            <w:pPr>
              <w:spacing w:after="0"/>
            </w:pPr>
            <w:r>
              <w:rPr>
                <w:sz w:val="14"/>
              </w:rPr>
              <w:t>14.790</w:t>
            </w:r>
          </w:p>
        </w:tc>
        <w:tc>
          <w:tcPr>
            <w:tcW w:type="dxa" w:w="1247"/>
          </w:tcPr>
          <w:p>
            <w:pPr>
              <w:spacing w:after="0"/>
            </w:pPr>
            <w:r>
              <w:rPr>
                <w:sz w:val="14"/>
              </w:rPr>
              <w:t>-210</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SP-0105</w:t>
            </w:r>
          </w:p>
        </w:tc>
        <w:tc>
          <w:tcPr>
            <w:tcW w:type="dxa" w:w="850"/>
          </w:tcPr>
          <w:p>
            <w:pPr>
              <w:spacing w:after="0"/>
            </w:pPr>
            <w:r>
              <w:rPr>
                <w:sz w:val="14"/>
              </w:rPr>
              <w:t>225</w:t>
            </w:r>
          </w:p>
        </w:tc>
        <w:tc>
          <w:tcPr>
            <w:tcW w:type="dxa" w:w="850"/>
          </w:tcPr>
          <w:p>
            <w:pPr>
              <w:spacing w:after="0"/>
            </w:pPr>
            <w:r>
              <w:rPr>
                <w:sz w:val="14"/>
              </w:rPr>
              <w:t>0</w:t>
            </w:r>
          </w:p>
        </w:tc>
        <w:tc>
          <w:tcPr>
            <w:tcW w:type="dxa" w:w="1134"/>
          </w:tcPr>
          <w:p>
            <w:pPr>
              <w:spacing w:after="0"/>
            </w:pPr>
            <w:r>
              <w:rPr>
                <w:sz w:val="14"/>
              </w:rPr>
              <w:t>14.715</w:t>
            </w:r>
          </w:p>
        </w:tc>
        <w:tc>
          <w:tcPr>
            <w:tcW w:type="dxa" w:w="1247"/>
          </w:tcPr>
          <w:p>
            <w:pPr>
              <w:spacing w:after="0"/>
            </w:pPr>
            <w:r>
              <w:rPr>
                <w:sz w:val="14"/>
              </w:rPr>
              <w:t>-285</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SP-0118</w:t>
            </w:r>
          </w:p>
        </w:tc>
        <w:tc>
          <w:tcPr>
            <w:tcW w:type="dxa" w:w="850"/>
          </w:tcPr>
          <w:p>
            <w:pPr>
              <w:spacing w:after="0"/>
            </w:pPr>
            <w:r>
              <w:rPr>
                <w:sz w:val="14"/>
              </w:rPr>
              <w:t>250</w:t>
            </w:r>
          </w:p>
        </w:tc>
        <w:tc>
          <w:tcPr>
            <w:tcW w:type="dxa" w:w="850"/>
          </w:tcPr>
          <w:p>
            <w:pPr>
              <w:spacing w:after="0"/>
            </w:pPr>
            <w:r>
              <w:rPr>
                <w:sz w:val="14"/>
              </w:rPr>
              <w:t>0</w:t>
            </w:r>
          </w:p>
        </w:tc>
        <w:tc>
          <w:tcPr>
            <w:tcW w:type="dxa" w:w="1134"/>
          </w:tcPr>
          <w:p>
            <w:pPr>
              <w:spacing w:after="0"/>
            </w:pPr>
            <w:r>
              <w:rPr>
                <w:sz w:val="14"/>
              </w:rPr>
              <w:t>14.782</w:t>
            </w:r>
          </w:p>
        </w:tc>
        <w:tc>
          <w:tcPr>
            <w:tcW w:type="dxa" w:w="1247"/>
          </w:tcPr>
          <w:p>
            <w:pPr>
              <w:spacing w:after="0"/>
            </w:pPr>
            <w:r>
              <w:rPr>
                <w:sz w:val="14"/>
              </w:rPr>
              <w:t>-218</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SP-0131</w:t>
            </w:r>
          </w:p>
        </w:tc>
        <w:tc>
          <w:tcPr>
            <w:tcW w:type="dxa" w:w="850"/>
          </w:tcPr>
          <w:p>
            <w:pPr>
              <w:spacing w:after="0"/>
            </w:pPr>
            <w:r>
              <w:rPr>
                <w:sz w:val="14"/>
              </w:rPr>
              <w:t>275</w:t>
            </w:r>
          </w:p>
        </w:tc>
        <w:tc>
          <w:tcPr>
            <w:tcW w:type="dxa" w:w="850"/>
          </w:tcPr>
          <w:p>
            <w:pPr>
              <w:spacing w:after="0"/>
            </w:pPr>
            <w:r>
              <w:rPr>
                <w:sz w:val="14"/>
              </w:rPr>
              <w:t>0</w:t>
            </w:r>
          </w:p>
        </w:tc>
        <w:tc>
          <w:tcPr>
            <w:tcW w:type="dxa" w:w="1134"/>
          </w:tcPr>
          <w:p>
            <w:pPr>
              <w:spacing w:after="0"/>
            </w:pPr>
            <w:r>
              <w:rPr>
                <w:sz w:val="14"/>
              </w:rPr>
              <w:t>14.750</w:t>
            </w:r>
          </w:p>
        </w:tc>
        <w:tc>
          <w:tcPr>
            <w:tcW w:type="dxa" w:w="1247"/>
          </w:tcPr>
          <w:p>
            <w:pPr>
              <w:spacing w:after="0"/>
            </w:pPr>
            <w:r>
              <w:rPr>
                <w:sz w:val="14"/>
              </w:rPr>
              <w:t>-250</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SP-0132</w:t>
            </w:r>
          </w:p>
        </w:tc>
        <w:tc>
          <w:tcPr>
            <w:tcW w:type="dxa" w:w="850"/>
          </w:tcPr>
          <w:p>
            <w:pPr>
              <w:spacing w:after="0"/>
            </w:pPr>
            <w:r>
              <w:rPr>
                <w:sz w:val="14"/>
              </w:rPr>
              <w:t>275</w:t>
            </w:r>
          </w:p>
        </w:tc>
        <w:tc>
          <w:tcPr>
            <w:tcW w:type="dxa" w:w="850"/>
          </w:tcPr>
          <w:p>
            <w:pPr>
              <w:spacing w:after="0"/>
            </w:pPr>
            <w:r>
              <w:rPr>
                <w:sz w:val="14"/>
              </w:rPr>
              <w:t>25</w:t>
            </w:r>
          </w:p>
        </w:tc>
        <w:tc>
          <w:tcPr>
            <w:tcW w:type="dxa" w:w="1134"/>
          </w:tcPr>
          <w:p>
            <w:pPr>
              <w:spacing w:after="0"/>
            </w:pPr>
            <w:r>
              <w:rPr>
                <w:sz w:val="14"/>
              </w:rPr>
              <w:t>14.840</w:t>
            </w:r>
          </w:p>
        </w:tc>
        <w:tc>
          <w:tcPr>
            <w:tcW w:type="dxa" w:w="1247"/>
          </w:tcPr>
          <w:p>
            <w:pPr>
              <w:spacing w:after="0"/>
            </w:pPr>
            <w:r>
              <w:rPr>
                <w:sz w:val="14"/>
              </w:rPr>
              <w:t>-160</w:t>
            </w:r>
          </w:p>
        </w:tc>
        <w:tc>
          <w:tcPr>
            <w:tcW w:type="dxa" w:w="4309"/>
          </w:tcPr>
          <w:p>
            <w:pPr>
              <w:spacing w:after="0"/>
            </w:pPr>
            <w:r>
              <w:rPr>
                <w:sz w:val="14"/>
              </w:rPr>
              <w:t>platform</w:t>
            </w:r>
          </w:p>
        </w:tc>
      </w:tr>
      <w:tr>
        <w:trPr>
          <w:cantSplit w:val="true"/>
        </w:trPr>
        <w:tc>
          <w:tcPr>
            <w:tcW w:type="dxa" w:w="1020"/>
          </w:tcPr>
          <w:p>
            <w:pPr>
              <w:spacing w:after="0"/>
            </w:pPr>
            <w:r>
              <w:rPr>
                <w:sz w:val="14"/>
              </w:rPr>
              <w:t>SP-0144</w:t>
            </w:r>
          </w:p>
        </w:tc>
        <w:tc>
          <w:tcPr>
            <w:tcW w:type="dxa" w:w="850"/>
          </w:tcPr>
          <w:p>
            <w:pPr>
              <w:spacing w:after="0"/>
            </w:pPr>
            <w:r>
              <w:rPr>
                <w:sz w:val="14"/>
              </w:rPr>
              <w:t>300</w:t>
            </w:r>
          </w:p>
        </w:tc>
        <w:tc>
          <w:tcPr>
            <w:tcW w:type="dxa" w:w="850"/>
          </w:tcPr>
          <w:p>
            <w:pPr>
              <w:spacing w:after="0"/>
            </w:pPr>
            <w:r>
              <w:rPr>
                <w:sz w:val="14"/>
              </w:rPr>
              <w:t>0</w:t>
            </w:r>
          </w:p>
        </w:tc>
        <w:tc>
          <w:tcPr>
            <w:tcW w:type="dxa" w:w="1134"/>
          </w:tcPr>
          <w:p>
            <w:pPr>
              <w:spacing w:after="0"/>
            </w:pPr>
            <w:r>
              <w:rPr>
                <w:sz w:val="14"/>
              </w:rPr>
              <w:t>14.753</w:t>
            </w:r>
          </w:p>
        </w:tc>
        <w:tc>
          <w:tcPr>
            <w:tcW w:type="dxa" w:w="1247"/>
          </w:tcPr>
          <w:p>
            <w:pPr>
              <w:spacing w:after="0"/>
            </w:pPr>
            <w:r>
              <w:rPr>
                <w:sz w:val="14"/>
              </w:rPr>
              <w:t>-247</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SP-0146</w:t>
            </w:r>
          </w:p>
        </w:tc>
        <w:tc>
          <w:tcPr>
            <w:tcW w:type="dxa" w:w="850"/>
          </w:tcPr>
          <w:p>
            <w:pPr>
              <w:spacing w:after="0"/>
            </w:pPr>
            <w:r>
              <w:rPr>
                <w:sz w:val="14"/>
              </w:rPr>
              <w:t>300</w:t>
            </w:r>
          </w:p>
        </w:tc>
        <w:tc>
          <w:tcPr>
            <w:tcW w:type="dxa" w:w="850"/>
          </w:tcPr>
          <w:p>
            <w:pPr>
              <w:spacing w:after="0"/>
            </w:pPr>
            <w:r>
              <w:rPr>
                <w:sz w:val="14"/>
              </w:rPr>
              <w:t>50</w:t>
            </w:r>
          </w:p>
        </w:tc>
        <w:tc>
          <w:tcPr>
            <w:tcW w:type="dxa" w:w="1134"/>
          </w:tcPr>
          <w:p>
            <w:pPr>
              <w:spacing w:after="0"/>
            </w:pPr>
            <w:r>
              <w:rPr>
                <w:sz w:val="14"/>
              </w:rPr>
              <w:t>15.168</w:t>
            </w:r>
          </w:p>
        </w:tc>
        <w:tc>
          <w:tcPr>
            <w:tcW w:type="dxa" w:w="1247"/>
          </w:tcPr>
          <w:p>
            <w:pPr>
              <w:spacing w:after="0"/>
            </w:pPr>
            <w:r>
              <w:rPr>
                <w:sz w:val="14"/>
              </w:rPr>
              <w:t>+168</w:t>
            </w:r>
          </w:p>
        </w:tc>
        <w:tc>
          <w:tcPr>
            <w:tcW w:type="dxa" w:w="4309"/>
          </w:tcPr>
          <w:p>
            <w:pPr>
              <w:spacing w:after="0"/>
            </w:pPr>
            <w:r>
              <w:rPr>
                <w:sz w:val="14"/>
              </w:rPr>
              <w:t>old warehouse foundations</w:t>
            </w:r>
          </w:p>
        </w:tc>
      </w:tr>
      <w:tr>
        <w:trPr>
          <w:cantSplit w:val="true"/>
        </w:trPr>
        <w:tc>
          <w:tcPr>
            <w:tcW w:type="dxa" w:w="1020"/>
          </w:tcPr>
          <w:p>
            <w:pPr>
              <w:spacing w:after="0"/>
            </w:pPr>
            <w:r>
              <w:rPr>
                <w:sz w:val="14"/>
              </w:rPr>
              <w:t>SP-0157</w:t>
            </w:r>
          </w:p>
        </w:tc>
        <w:tc>
          <w:tcPr>
            <w:tcW w:type="dxa" w:w="850"/>
          </w:tcPr>
          <w:p>
            <w:pPr>
              <w:spacing w:after="0"/>
            </w:pPr>
            <w:r>
              <w:rPr>
                <w:sz w:val="14"/>
              </w:rPr>
              <w:t>325</w:t>
            </w:r>
          </w:p>
        </w:tc>
        <w:tc>
          <w:tcPr>
            <w:tcW w:type="dxa" w:w="850"/>
          </w:tcPr>
          <w:p>
            <w:pPr>
              <w:spacing w:after="0"/>
            </w:pPr>
            <w:r>
              <w:rPr>
                <w:sz w:val="14"/>
              </w:rPr>
              <w:t>0</w:t>
            </w:r>
          </w:p>
        </w:tc>
        <w:tc>
          <w:tcPr>
            <w:tcW w:type="dxa" w:w="1134"/>
          </w:tcPr>
          <w:p>
            <w:pPr>
              <w:spacing w:after="0"/>
            </w:pPr>
            <w:r>
              <w:rPr>
                <w:sz w:val="14"/>
              </w:rPr>
              <w:t>14.748</w:t>
            </w:r>
          </w:p>
        </w:tc>
        <w:tc>
          <w:tcPr>
            <w:tcW w:type="dxa" w:w="1247"/>
          </w:tcPr>
          <w:p>
            <w:pPr>
              <w:spacing w:after="0"/>
            </w:pPr>
            <w:r>
              <w:rPr>
                <w:sz w:val="14"/>
              </w:rPr>
              <w:t>-252</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SP-0170</w:t>
            </w:r>
          </w:p>
        </w:tc>
        <w:tc>
          <w:tcPr>
            <w:tcW w:type="dxa" w:w="850"/>
          </w:tcPr>
          <w:p>
            <w:pPr>
              <w:spacing w:after="0"/>
            </w:pPr>
            <w:r>
              <w:rPr>
                <w:sz w:val="14"/>
              </w:rPr>
              <w:t>350</w:t>
            </w:r>
          </w:p>
        </w:tc>
        <w:tc>
          <w:tcPr>
            <w:tcW w:type="dxa" w:w="850"/>
          </w:tcPr>
          <w:p>
            <w:pPr>
              <w:spacing w:after="0"/>
            </w:pPr>
            <w:r>
              <w:rPr>
                <w:sz w:val="14"/>
              </w:rPr>
              <w:t>0</w:t>
            </w:r>
          </w:p>
        </w:tc>
        <w:tc>
          <w:tcPr>
            <w:tcW w:type="dxa" w:w="1134"/>
          </w:tcPr>
          <w:p>
            <w:pPr>
              <w:spacing w:after="0"/>
            </w:pPr>
            <w:r>
              <w:rPr>
                <w:sz w:val="14"/>
              </w:rPr>
              <w:t>14.703</w:t>
            </w:r>
          </w:p>
        </w:tc>
        <w:tc>
          <w:tcPr>
            <w:tcW w:type="dxa" w:w="1247"/>
          </w:tcPr>
          <w:p>
            <w:pPr>
              <w:spacing w:after="0"/>
            </w:pPr>
            <w:r>
              <w:rPr>
                <w:sz w:val="14"/>
              </w:rPr>
              <w:t>-297</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SP-0172</w:t>
            </w:r>
          </w:p>
        </w:tc>
        <w:tc>
          <w:tcPr>
            <w:tcW w:type="dxa" w:w="850"/>
          </w:tcPr>
          <w:p>
            <w:pPr>
              <w:spacing w:after="0"/>
            </w:pPr>
            <w:r>
              <w:rPr>
                <w:sz w:val="14"/>
              </w:rPr>
              <w:t>350</w:t>
            </w:r>
          </w:p>
        </w:tc>
        <w:tc>
          <w:tcPr>
            <w:tcW w:type="dxa" w:w="850"/>
          </w:tcPr>
          <w:p>
            <w:pPr>
              <w:spacing w:after="0"/>
            </w:pPr>
            <w:r>
              <w:rPr>
                <w:sz w:val="14"/>
              </w:rPr>
              <w:t>50</w:t>
            </w:r>
          </w:p>
        </w:tc>
        <w:tc>
          <w:tcPr>
            <w:tcW w:type="dxa" w:w="1134"/>
          </w:tcPr>
          <w:p>
            <w:pPr>
              <w:spacing w:after="0"/>
            </w:pPr>
            <w:r>
              <w:rPr>
                <w:sz w:val="14"/>
              </w:rPr>
              <w:t>15.163</w:t>
            </w:r>
          </w:p>
        </w:tc>
        <w:tc>
          <w:tcPr>
            <w:tcW w:type="dxa" w:w="1247"/>
          </w:tcPr>
          <w:p>
            <w:pPr>
              <w:spacing w:after="0"/>
            </w:pPr>
            <w:r>
              <w:rPr>
                <w:sz w:val="14"/>
              </w:rPr>
              <w:t>+163</w:t>
            </w:r>
          </w:p>
        </w:tc>
        <w:tc>
          <w:tcPr>
            <w:tcW w:type="dxa" w:w="4309"/>
          </w:tcPr>
          <w:p>
            <w:pPr>
              <w:spacing w:after="0"/>
            </w:pPr>
            <w:r>
              <w:rPr>
                <w:sz w:val="14"/>
              </w:rPr>
              <w:t>old warehouse foundations</w:t>
            </w:r>
          </w:p>
        </w:tc>
      </w:tr>
      <w:tr>
        <w:trPr>
          <w:cantSplit w:val="true"/>
        </w:trPr>
        <w:tc>
          <w:tcPr>
            <w:tcW w:type="dxa" w:w="1020"/>
          </w:tcPr>
          <w:p>
            <w:pPr>
              <w:spacing w:after="0"/>
            </w:pPr>
            <w:r>
              <w:rPr>
                <w:sz w:val="14"/>
              </w:rPr>
              <w:t>SP-0183</w:t>
            </w:r>
          </w:p>
        </w:tc>
        <w:tc>
          <w:tcPr>
            <w:tcW w:type="dxa" w:w="850"/>
          </w:tcPr>
          <w:p>
            <w:pPr>
              <w:spacing w:after="0"/>
            </w:pPr>
            <w:r>
              <w:rPr>
                <w:sz w:val="14"/>
              </w:rPr>
              <w:t>375</w:t>
            </w:r>
          </w:p>
        </w:tc>
        <w:tc>
          <w:tcPr>
            <w:tcW w:type="dxa" w:w="850"/>
          </w:tcPr>
          <w:p>
            <w:pPr>
              <w:spacing w:after="0"/>
            </w:pPr>
            <w:r>
              <w:rPr>
                <w:sz w:val="14"/>
              </w:rPr>
              <w:t>0</w:t>
            </w:r>
          </w:p>
        </w:tc>
        <w:tc>
          <w:tcPr>
            <w:tcW w:type="dxa" w:w="1134"/>
          </w:tcPr>
          <w:p>
            <w:pPr>
              <w:spacing w:after="0"/>
            </w:pPr>
            <w:r>
              <w:rPr>
                <w:sz w:val="14"/>
              </w:rPr>
              <w:t>14.732</w:t>
            </w:r>
          </w:p>
        </w:tc>
        <w:tc>
          <w:tcPr>
            <w:tcW w:type="dxa" w:w="1247"/>
          </w:tcPr>
          <w:p>
            <w:pPr>
              <w:spacing w:after="0"/>
            </w:pPr>
            <w:r>
              <w:rPr>
                <w:sz w:val="14"/>
              </w:rPr>
              <w:t>-268</w:t>
            </w:r>
          </w:p>
        </w:tc>
        <w:tc>
          <w:tcPr>
            <w:tcW w:type="dxa" w:w="4309"/>
          </w:tcPr>
          <w:p>
            <w:pPr>
              <w:spacing w:after="0"/>
            </w:pPr>
            <w:r>
              <w:rPr>
                <w:sz w:val="14"/>
              </w:rPr>
              <w:t>south edge (setback fence)</w:t>
            </w:r>
          </w:p>
        </w:tc>
      </w:tr>
      <w:tr>
        <w:trPr>
          <w:cantSplit w:val="true"/>
        </w:trPr>
        <w:tc>
          <w:tcPr>
            <w:tcW w:type="dxa" w:w="1020"/>
          </w:tcPr>
          <w:p>
            <w:pPr>
              <w:spacing w:after="0"/>
            </w:pPr>
            <w:r>
              <w:rPr>
                <w:sz w:val="14"/>
              </w:rPr>
              <w:t>SP-0185</w:t>
            </w:r>
          </w:p>
        </w:tc>
        <w:tc>
          <w:tcPr>
            <w:tcW w:type="dxa" w:w="850"/>
          </w:tcPr>
          <w:p>
            <w:pPr>
              <w:spacing w:after="0"/>
            </w:pPr>
            <w:r>
              <w:rPr>
                <w:sz w:val="14"/>
              </w:rPr>
              <w:t>375</w:t>
            </w:r>
          </w:p>
        </w:tc>
        <w:tc>
          <w:tcPr>
            <w:tcW w:type="dxa" w:w="850"/>
          </w:tcPr>
          <w:p>
            <w:pPr>
              <w:spacing w:after="0"/>
            </w:pPr>
            <w:r>
              <w:rPr>
                <w:sz w:val="14"/>
              </w:rPr>
              <w:t>50</w:t>
            </w:r>
          </w:p>
        </w:tc>
        <w:tc>
          <w:tcPr>
            <w:tcW w:type="dxa" w:w="1134"/>
          </w:tcPr>
          <w:p>
            <w:pPr>
              <w:spacing w:after="0"/>
            </w:pPr>
            <w:r>
              <w:rPr>
                <w:sz w:val="14"/>
              </w:rPr>
              <w:t>14.849</w:t>
            </w:r>
          </w:p>
        </w:tc>
        <w:tc>
          <w:tcPr>
            <w:tcW w:type="dxa" w:w="1247"/>
          </w:tcPr>
          <w:p>
            <w:pPr>
              <w:spacing w:after="0"/>
            </w:pPr>
            <w:r>
              <w:rPr>
                <w:sz w:val="14"/>
              </w:rPr>
              <w:t>-151</w:t>
            </w:r>
          </w:p>
        </w:tc>
        <w:tc>
          <w:tcPr>
            <w:tcW w:type="dxa" w:w="4309"/>
          </w:tcPr>
          <w:p>
            <w:pPr>
              <w:spacing w:after="0"/>
            </w:pPr>
            <w:r>
              <w:rPr>
                <w:sz w:val="14"/>
              </w:rPr>
              <w:t>platform</w:t>
            </w:r>
          </w:p>
        </w:tc>
      </w:tr>
      <w:tr>
        <w:trPr>
          <w:cantSplit w:val="true"/>
        </w:trPr>
        <w:tc>
          <w:tcPr>
            <w:tcW w:type="dxa" w:w="1020"/>
          </w:tcPr>
          <w:p>
            <w:pPr>
              <w:spacing w:after="0"/>
            </w:pPr>
            <w:r>
              <w:rPr>
                <w:sz w:val="14"/>
              </w:rPr>
              <w:t>SP-0196</w:t>
            </w:r>
          </w:p>
        </w:tc>
        <w:tc>
          <w:tcPr>
            <w:tcW w:type="dxa" w:w="850"/>
          </w:tcPr>
          <w:p>
            <w:pPr>
              <w:spacing w:after="0"/>
            </w:pPr>
            <w:r>
              <w:rPr>
                <w:sz w:val="14"/>
              </w:rPr>
              <w:t>400</w:t>
            </w:r>
          </w:p>
        </w:tc>
        <w:tc>
          <w:tcPr>
            <w:tcW w:type="dxa" w:w="850"/>
          </w:tcPr>
          <w:p>
            <w:pPr>
              <w:spacing w:after="0"/>
            </w:pPr>
            <w:r>
              <w:rPr>
                <w:sz w:val="14"/>
              </w:rPr>
              <w:t>0</w:t>
            </w:r>
          </w:p>
        </w:tc>
        <w:tc>
          <w:tcPr>
            <w:tcW w:type="dxa" w:w="1134"/>
          </w:tcPr>
          <w:p>
            <w:pPr>
              <w:spacing w:after="0"/>
            </w:pPr>
            <w:r>
              <w:rPr>
                <w:sz w:val="14"/>
              </w:rPr>
              <w:t>14.775</w:t>
            </w:r>
          </w:p>
        </w:tc>
        <w:tc>
          <w:tcPr>
            <w:tcW w:type="dxa" w:w="1247"/>
          </w:tcPr>
          <w:p>
            <w:pPr>
              <w:spacing w:after="0"/>
            </w:pPr>
            <w:r>
              <w:rPr>
                <w:sz w:val="14"/>
              </w:rPr>
              <w:t>-225</w:t>
            </w:r>
          </w:p>
        </w:tc>
        <w:tc>
          <w:tcPr>
            <w:tcW w:type="dxa" w:w="4309"/>
          </w:tcPr>
          <w:p>
            <w:pPr>
              <w:spacing w:after="0"/>
            </w:pPr>
            <w:r>
              <w:rPr>
                <w:sz w:val="14"/>
              </w:rPr>
              <w:t>south edge (setback fence)</w:t>
            </w:r>
          </w:p>
        </w:tc>
      </w:tr>
    </w:tbl>
    <w:p>
      <w:pPr>
        <w:spacing w:after="40"/>
      </w:pPr>
    </w:p>
    <w:p>
      <w:r>
        <w:t>Temporary construction area TP-A1 (63 spot heights, 30 x 35 m grid): levels 13.75 to 15.76 m, rising to the north. Balanced platform level +14.79 m (cut = fill 14,320 m3); the laydown and fabrication areas are levelled to +14.79 m with a 1 % fall to the south-west drainage ditch and restored after Taking-Over (TQ-012).</w:t>
      </w:r>
    </w:p>
    <w:p>
      <w:pPr>
        <w:pStyle w:val="Heading1"/>
        <w:keepNext/>
      </w:pPr>
      <w:r>
        <w:t>5. Existing features</w:t>
      </w:r>
    </w:p>
    <w:tbl>
      <w:tblPr>
        <w:tblStyle w:val="TableGrid"/>
        <w:tblW w:type="auto" w:w="0"/>
        <w:tblLayout w:type="fixed"/>
        <w:tblLook w:firstColumn="1" w:firstRow="1" w:lastColumn="0" w:lastRow="0" w:noHBand="0" w:noVBand="1" w:val="04A0"/>
      </w:tblPr>
      <w:tblGrid>
        <w:gridCol w:w="907"/>
        <w:gridCol w:w="793"/>
        <w:gridCol w:w="793"/>
        <w:gridCol w:w="1020"/>
        <w:gridCol w:w="5896"/>
      </w:tblGrid>
      <w:tr>
        <w:trPr>
          <w:tblHeader w:val="true"/>
        </w:trPr>
        <w:tc>
          <w:tcPr>
            <w:tcW w:type="dxa" w:w="907"/>
            <w:shd w:val="clear" w:color="auto" w:fill="1F3864"/>
          </w:tcPr>
          <w:p>
            <w:r>
              <w:rPr>
                <w:b/>
                <w:color w:val="FFFFFF"/>
                <w:sz w:val="14"/>
              </w:rPr>
              <w:t>Point</w:t>
            </w:r>
          </w:p>
        </w:tc>
        <w:tc>
          <w:tcPr>
            <w:tcW w:type="dxa" w:w="794"/>
            <w:shd w:val="clear" w:color="auto" w:fill="1F3864"/>
          </w:tcPr>
          <w:p>
            <w:r>
              <w:rPr>
                <w:b/>
                <w:color w:val="FFFFFF"/>
                <w:sz w:val="14"/>
              </w:rPr>
              <w:t>E</w:t>
            </w:r>
          </w:p>
        </w:tc>
        <w:tc>
          <w:tcPr>
            <w:tcW w:type="dxa" w:w="794"/>
            <w:shd w:val="clear" w:color="auto" w:fill="1F3864"/>
          </w:tcPr>
          <w:p>
            <w:r>
              <w:rPr>
                <w:b/>
                <w:color w:val="FFFFFF"/>
                <w:sz w:val="14"/>
              </w:rPr>
              <w:t>N</w:t>
            </w:r>
          </w:p>
        </w:tc>
        <w:tc>
          <w:tcPr>
            <w:tcW w:type="dxa" w:w="1020"/>
            <w:shd w:val="clear" w:color="auto" w:fill="1F3864"/>
          </w:tcPr>
          <w:p>
            <w:r>
              <w:rPr>
                <w:b/>
                <w:color w:val="FFFFFF"/>
                <w:sz w:val="14"/>
              </w:rPr>
              <w:t>Level m</w:t>
            </w:r>
          </w:p>
        </w:tc>
        <w:tc>
          <w:tcPr>
            <w:tcW w:type="dxa" w:w="5896"/>
            <w:shd w:val="clear" w:color="auto" w:fill="1F3864"/>
          </w:tcPr>
          <w:p>
            <w:r>
              <w:rPr>
                <w:b/>
                <w:color w:val="FFFFFF"/>
                <w:sz w:val="14"/>
              </w:rPr>
              <w:t>Feature</w:t>
            </w:r>
          </w:p>
        </w:tc>
      </w:tr>
      <w:tr>
        <w:trPr>
          <w:cantSplit w:val="true"/>
        </w:trPr>
        <w:tc>
          <w:tcPr>
            <w:tcW w:type="dxa" w:w="907"/>
          </w:tcPr>
          <w:p>
            <w:pPr>
              <w:spacing w:after="0"/>
            </w:pPr>
            <w:r>
              <w:rPr>
                <w:sz w:val="14"/>
              </w:rPr>
              <w:t>FT-01</w:t>
            </w:r>
          </w:p>
        </w:tc>
        <w:tc>
          <w:tcPr>
            <w:tcW w:type="dxa" w:w="794"/>
          </w:tcPr>
          <w:p>
            <w:pPr>
              <w:spacing w:after="0"/>
            </w:pPr>
            <w:r>
              <w:rPr>
                <w:sz w:val="14"/>
              </w:rPr>
              <w:t>2</w:t>
            </w:r>
          </w:p>
        </w:tc>
        <w:tc>
          <w:tcPr>
            <w:tcW w:type="dxa" w:w="794"/>
          </w:tcPr>
          <w:p>
            <w:pPr>
              <w:spacing w:after="0"/>
            </w:pPr>
            <w:r>
              <w:rPr>
                <w:sz w:val="14"/>
              </w:rPr>
              <w:t>0</w:t>
            </w:r>
          </w:p>
        </w:tc>
        <w:tc>
          <w:tcPr>
            <w:tcW w:type="dxa" w:w="1020"/>
          </w:tcPr>
          <w:p>
            <w:pPr>
              <w:spacing w:after="0"/>
            </w:pPr>
            <w:r>
              <w:rPr>
                <w:sz w:val="14"/>
              </w:rPr>
              <w:t>13.02</w:t>
            </w:r>
          </w:p>
        </w:tc>
        <w:tc>
          <w:tcPr>
            <w:tcW w:type="dxa" w:w="5896"/>
          </w:tcPr>
          <w:p>
            <w:pPr>
              <w:spacing w:after="0"/>
            </w:pPr>
            <w:r>
              <w:rPr>
                <w:sz w:val="14"/>
              </w:rPr>
              <w:t>stream channel bed at south end</w:t>
            </w:r>
          </w:p>
        </w:tc>
      </w:tr>
      <w:tr>
        <w:trPr>
          <w:cantSplit w:val="true"/>
        </w:trPr>
        <w:tc>
          <w:tcPr>
            <w:tcW w:type="dxa" w:w="907"/>
          </w:tcPr>
          <w:p>
            <w:pPr>
              <w:spacing w:after="0"/>
            </w:pPr>
            <w:r>
              <w:rPr>
                <w:sz w:val="14"/>
              </w:rPr>
              <w:t>FT-02</w:t>
            </w:r>
          </w:p>
        </w:tc>
        <w:tc>
          <w:tcPr>
            <w:tcW w:type="dxa" w:w="794"/>
          </w:tcPr>
          <w:p>
            <w:pPr>
              <w:spacing w:after="0"/>
            </w:pPr>
            <w:r>
              <w:rPr>
                <w:sz w:val="14"/>
              </w:rPr>
              <w:t>2</w:t>
            </w:r>
          </w:p>
        </w:tc>
        <w:tc>
          <w:tcPr>
            <w:tcW w:type="dxa" w:w="794"/>
          </w:tcPr>
          <w:p>
            <w:pPr>
              <w:spacing w:after="0"/>
            </w:pPr>
            <w:r>
              <w:rPr>
                <w:sz w:val="14"/>
              </w:rPr>
              <w:t>300</w:t>
            </w:r>
          </w:p>
        </w:tc>
        <w:tc>
          <w:tcPr>
            <w:tcW w:type="dxa" w:w="1020"/>
          </w:tcPr>
          <w:p>
            <w:pPr>
              <w:spacing w:after="0"/>
            </w:pPr>
            <w:r>
              <w:rPr>
                <w:sz w:val="14"/>
              </w:rPr>
              <w:t>13.41</w:t>
            </w:r>
          </w:p>
        </w:tc>
        <w:tc>
          <w:tcPr>
            <w:tcW w:type="dxa" w:w="5896"/>
          </w:tcPr>
          <w:p>
            <w:pPr>
              <w:spacing w:after="0"/>
            </w:pPr>
            <w:r>
              <w:rPr>
                <w:sz w:val="14"/>
              </w:rPr>
              <w:t>stream channel bed at north end</w:t>
            </w:r>
          </w:p>
        </w:tc>
      </w:tr>
      <w:tr>
        <w:trPr>
          <w:cantSplit w:val="true"/>
        </w:trPr>
        <w:tc>
          <w:tcPr>
            <w:tcW w:type="dxa" w:w="907"/>
          </w:tcPr>
          <w:p>
            <w:pPr>
              <w:spacing w:after="0"/>
            </w:pPr>
            <w:r>
              <w:rPr>
                <w:sz w:val="14"/>
              </w:rPr>
              <w:t>FT-03</w:t>
            </w:r>
          </w:p>
        </w:tc>
        <w:tc>
          <w:tcPr>
            <w:tcW w:type="dxa" w:w="794"/>
          </w:tcPr>
          <w:p>
            <w:pPr>
              <w:spacing w:after="0"/>
            </w:pPr>
            <w:r>
              <w:rPr>
                <w:sz w:val="14"/>
              </w:rPr>
              <w:t>5</w:t>
            </w:r>
          </w:p>
        </w:tc>
        <w:tc>
          <w:tcPr>
            <w:tcW w:type="dxa" w:w="794"/>
          </w:tcPr>
          <w:p>
            <w:pPr>
              <w:spacing w:after="0"/>
            </w:pPr>
            <w:r>
              <w:rPr>
                <w:sz w:val="14"/>
              </w:rPr>
              <w:t>150</w:t>
            </w:r>
          </w:p>
        </w:tc>
        <w:tc>
          <w:tcPr>
            <w:tcW w:type="dxa" w:w="1020"/>
          </w:tcPr>
          <w:p>
            <w:pPr>
              <w:spacing w:after="0"/>
            </w:pPr>
            <w:r>
              <w:rPr>
                <w:sz w:val="14"/>
              </w:rPr>
              <w:t>15.02</w:t>
            </w:r>
          </w:p>
        </w:tc>
        <w:tc>
          <w:tcPr>
            <w:tcW w:type="dxa" w:w="5896"/>
          </w:tcPr>
          <w:p>
            <w:pPr>
              <w:spacing w:after="0"/>
            </w:pPr>
            <w:r>
              <w:rPr>
                <w:sz w:val="14"/>
              </w:rPr>
              <w:t>stream channel top of wall</w:t>
            </w:r>
          </w:p>
        </w:tc>
      </w:tr>
      <w:tr>
        <w:trPr>
          <w:cantSplit w:val="true"/>
        </w:trPr>
        <w:tc>
          <w:tcPr>
            <w:tcW w:type="dxa" w:w="907"/>
          </w:tcPr>
          <w:p>
            <w:pPr>
              <w:spacing w:after="0"/>
            </w:pPr>
            <w:r>
              <w:rPr>
                <w:sz w:val="14"/>
              </w:rPr>
              <w:t>FT-04</w:t>
            </w:r>
          </w:p>
        </w:tc>
        <w:tc>
          <w:tcPr>
            <w:tcW w:type="dxa" w:w="794"/>
          </w:tcPr>
          <w:p>
            <w:pPr>
              <w:spacing w:after="0"/>
            </w:pPr>
            <w:r>
              <w:rPr>
                <w:sz w:val="14"/>
              </w:rPr>
              <w:t>390</w:t>
            </w:r>
          </w:p>
        </w:tc>
        <w:tc>
          <w:tcPr>
            <w:tcW w:type="dxa" w:w="794"/>
          </w:tcPr>
          <w:p>
            <w:pPr>
              <w:spacing w:after="0"/>
            </w:pPr>
            <w:r>
              <w:rPr>
                <w:sz w:val="14"/>
              </w:rPr>
              <w:t>0</w:t>
            </w:r>
          </w:p>
        </w:tc>
        <w:tc>
          <w:tcPr>
            <w:tcW w:type="dxa" w:w="1020"/>
          </w:tcPr>
          <w:p>
            <w:pPr>
              <w:spacing w:after="0"/>
            </w:pPr>
            <w:r>
              <w:rPr>
                <w:sz w:val="14"/>
              </w:rPr>
              <w:t>14.95</w:t>
            </w:r>
          </w:p>
        </w:tc>
        <w:tc>
          <w:tcPr>
            <w:tcW w:type="dxa" w:w="5896"/>
          </w:tcPr>
          <w:p>
            <w:pPr>
              <w:spacing w:after="0"/>
            </w:pPr>
            <w:r>
              <w:rPr>
                <w:sz w:val="14"/>
              </w:rPr>
              <w:t>11 kV cable marker, south (depth 1.0 m per utility)</w:t>
            </w:r>
          </w:p>
        </w:tc>
      </w:tr>
      <w:tr>
        <w:trPr>
          <w:cantSplit w:val="true"/>
        </w:trPr>
        <w:tc>
          <w:tcPr>
            <w:tcW w:type="dxa" w:w="907"/>
          </w:tcPr>
          <w:p>
            <w:pPr>
              <w:spacing w:after="0"/>
            </w:pPr>
            <w:r>
              <w:rPr>
                <w:sz w:val="14"/>
              </w:rPr>
              <w:t>FT-05</w:t>
            </w:r>
          </w:p>
        </w:tc>
        <w:tc>
          <w:tcPr>
            <w:tcW w:type="dxa" w:w="794"/>
          </w:tcPr>
          <w:p>
            <w:pPr>
              <w:spacing w:after="0"/>
            </w:pPr>
            <w:r>
              <w:rPr>
                <w:sz w:val="14"/>
              </w:rPr>
              <w:t>390</w:t>
            </w:r>
          </w:p>
        </w:tc>
        <w:tc>
          <w:tcPr>
            <w:tcW w:type="dxa" w:w="794"/>
          </w:tcPr>
          <w:p>
            <w:pPr>
              <w:spacing w:after="0"/>
            </w:pPr>
            <w:r>
              <w:rPr>
                <w:sz w:val="14"/>
              </w:rPr>
              <w:t>300</w:t>
            </w:r>
          </w:p>
        </w:tc>
        <w:tc>
          <w:tcPr>
            <w:tcW w:type="dxa" w:w="1020"/>
          </w:tcPr>
          <w:p>
            <w:pPr>
              <w:spacing w:after="0"/>
            </w:pPr>
            <w:r>
              <w:rPr>
                <w:sz w:val="14"/>
              </w:rPr>
              <w:t>15.03</w:t>
            </w:r>
          </w:p>
        </w:tc>
        <w:tc>
          <w:tcPr>
            <w:tcW w:type="dxa" w:w="5896"/>
          </w:tcPr>
          <w:p>
            <w:pPr>
              <w:spacing w:after="0"/>
            </w:pPr>
            <w:r>
              <w:rPr>
                <w:sz w:val="14"/>
              </w:rPr>
              <w:t>11 kV cable marker, north</w:t>
            </w:r>
          </w:p>
        </w:tc>
      </w:tr>
      <w:tr>
        <w:trPr>
          <w:cantSplit w:val="true"/>
        </w:trPr>
        <w:tc>
          <w:tcPr>
            <w:tcW w:type="dxa" w:w="907"/>
          </w:tcPr>
          <w:p>
            <w:pPr>
              <w:spacing w:after="0"/>
            </w:pPr>
            <w:r>
              <w:rPr>
                <w:sz w:val="14"/>
              </w:rPr>
              <w:t>FT-06</w:t>
            </w:r>
          </w:p>
        </w:tc>
        <w:tc>
          <w:tcPr>
            <w:tcW w:type="dxa" w:w="794"/>
          </w:tcPr>
          <w:p>
            <w:pPr>
              <w:spacing w:after="0"/>
            </w:pPr>
            <w:r>
              <w:rPr>
                <w:sz w:val="14"/>
              </w:rPr>
              <w:t>300</w:t>
            </w:r>
          </w:p>
        </w:tc>
        <w:tc>
          <w:tcPr>
            <w:tcW w:type="dxa" w:w="794"/>
          </w:tcPr>
          <w:p>
            <w:pPr>
              <w:spacing w:after="0"/>
            </w:pPr>
            <w:r>
              <w:rPr>
                <w:sz w:val="14"/>
              </w:rPr>
              <w:t>20</w:t>
            </w:r>
          </w:p>
        </w:tc>
        <w:tc>
          <w:tcPr>
            <w:tcW w:type="dxa" w:w="1020"/>
          </w:tcPr>
          <w:p>
            <w:pPr>
              <w:spacing w:after="0"/>
            </w:pPr>
            <w:r>
              <w:rPr>
                <w:sz w:val="14"/>
              </w:rPr>
              <w:t>15.24</w:t>
            </w:r>
          </w:p>
        </w:tc>
        <w:tc>
          <w:tcPr>
            <w:tcW w:type="dxa" w:w="5896"/>
          </w:tcPr>
          <w:p>
            <w:pPr>
              <w:spacing w:after="0"/>
            </w:pPr>
            <w:r>
              <w:rPr>
                <w:sz w:val="14"/>
              </w:rPr>
              <w:t>old foundation corner SW</w:t>
            </w:r>
          </w:p>
        </w:tc>
      </w:tr>
      <w:tr>
        <w:trPr>
          <w:cantSplit w:val="true"/>
        </w:trPr>
        <w:tc>
          <w:tcPr>
            <w:tcW w:type="dxa" w:w="907"/>
          </w:tcPr>
          <w:p>
            <w:pPr>
              <w:spacing w:after="0"/>
            </w:pPr>
            <w:r>
              <w:rPr>
                <w:sz w:val="14"/>
              </w:rPr>
              <w:t>FT-07</w:t>
            </w:r>
          </w:p>
        </w:tc>
        <w:tc>
          <w:tcPr>
            <w:tcW w:type="dxa" w:w="794"/>
          </w:tcPr>
          <w:p>
            <w:pPr>
              <w:spacing w:after="0"/>
            </w:pPr>
            <w:r>
              <w:rPr>
                <w:sz w:val="14"/>
              </w:rPr>
              <w:t>360</w:t>
            </w:r>
          </w:p>
        </w:tc>
        <w:tc>
          <w:tcPr>
            <w:tcW w:type="dxa" w:w="794"/>
          </w:tcPr>
          <w:p>
            <w:pPr>
              <w:spacing w:after="0"/>
            </w:pPr>
            <w:r>
              <w:rPr>
                <w:sz w:val="14"/>
              </w:rPr>
              <w:t>60</w:t>
            </w:r>
          </w:p>
        </w:tc>
        <w:tc>
          <w:tcPr>
            <w:tcW w:type="dxa" w:w="1020"/>
          </w:tcPr>
          <w:p>
            <w:pPr>
              <w:spacing w:after="0"/>
            </w:pPr>
            <w:r>
              <w:rPr>
                <w:sz w:val="14"/>
              </w:rPr>
              <w:t>15.27</w:t>
            </w:r>
          </w:p>
        </w:tc>
        <w:tc>
          <w:tcPr>
            <w:tcW w:type="dxa" w:w="5896"/>
          </w:tcPr>
          <w:p>
            <w:pPr>
              <w:spacing w:after="0"/>
            </w:pPr>
            <w:r>
              <w:rPr>
                <w:sz w:val="14"/>
              </w:rPr>
              <w:t>old foundation corner NE</w:t>
            </w:r>
          </w:p>
        </w:tc>
      </w:tr>
      <w:tr>
        <w:trPr>
          <w:cantSplit w:val="true"/>
        </w:trPr>
        <w:tc>
          <w:tcPr>
            <w:tcW w:type="dxa" w:w="907"/>
          </w:tcPr>
          <w:p>
            <w:pPr>
              <w:spacing w:after="0"/>
            </w:pPr>
            <w:r>
              <w:rPr>
                <w:sz w:val="14"/>
              </w:rPr>
              <w:t>FT-08</w:t>
            </w:r>
          </w:p>
        </w:tc>
        <w:tc>
          <w:tcPr>
            <w:tcW w:type="dxa" w:w="794"/>
          </w:tcPr>
          <w:p>
            <w:pPr>
              <w:spacing w:after="0"/>
            </w:pPr>
            <w:r>
              <w:rPr>
                <w:sz w:val="14"/>
              </w:rPr>
              <w:t>20</w:t>
            </w:r>
          </w:p>
        </w:tc>
        <w:tc>
          <w:tcPr>
            <w:tcW w:type="dxa" w:w="794"/>
          </w:tcPr>
          <w:p>
            <w:pPr>
              <w:spacing w:after="0"/>
            </w:pPr>
            <w:r>
              <w:rPr>
                <w:sz w:val="14"/>
              </w:rPr>
              <w:t>280</w:t>
            </w:r>
          </w:p>
        </w:tc>
        <w:tc>
          <w:tcPr>
            <w:tcW w:type="dxa" w:w="1020"/>
          </w:tcPr>
          <w:p>
            <w:pPr>
              <w:spacing w:after="0"/>
            </w:pPr>
            <w:r>
              <w:rPr>
                <w:sz w:val="14"/>
              </w:rPr>
              <w:t>15.06</w:t>
            </w:r>
          </w:p>
        </w:tc>
        <w:tc>
          <w:tcPr>
            <w:tcW w:type="dxa" w:w="5896"/>
          </w:tcPr>
          <w:p>
            <w:pPr>
              <w:spacing w:after="0"/>
            </w:pPr>
            <w:r>
              <w:rPr>
                <w:sz w:val="14"/>
              </w:rPr>
              <w:t>meteorological mast base</w:t>
            </w:r>
          </w:p>
        </w:tc>
      </w:tr>
      <w:tr>
        <w:trPr>
          <w:cantSplit w:val="true"/>
        </w:trPr>
        <w:tc>
          <w:tcPr>
            <w:tcW w:type="dxa" w:w="907"/>
          </w:tcPr>
          <w:p>
            <w:pPr>
              <w:spacing w:after="0"/>
            </w:pPr>
            <w:r>
              <w:rPr>
                <w:sz w:val="14"/>
              </w:rPr>
              <w:t>FT-09</w:t>
            </w:r>
          </w:p>
        </w:tc>
        <w:tc>
          <w:tcPr>
            <w:tcW w:type="dxa" w:w="794"/>
          </w:tcPr>
          <w:p>
            <w:pPr>
              <w:spacing w:after="0"/>
            </w:pPr>
            <w:r>
              <w:rPr>
                <w:sz w:val="14"/>
              </w:rPr>
              <w:t>120</w:t>
            </w:r>
          </w:p>
        </w:tc>
        <w:tc>
          <w:tcPr>
            <w:tcW w:type="dxa" w:w="794"/>
          </w:tcPr>
          <w:p>
            <w:pPr>
              <w:spacing w:after="0"/>
            </w:pPr>
            <w:r>
              <w:rPr>
                <w:sz w:val="14"/>
              </w:rPr>
              <w:t>250</w:t>
            </w:r>
          </w:p>
        </w:tc>
        <w:tc>
          <w:tcPr>
            <w:tcW w:type="dxa" w:w="1020"/>
          </w:tcPr>
          <w:p>
            <w:pPr>
              <w:spacing w:after="0"/>
            </w:pPr>
            <w:r>
              <w:rPr>
                <w:sz w:val="14"/>
              </w:rPr>
              <w:t>15.01</w:t>
            </w:r>
          </w:p>
        </w:tc>
        <w:tc>
          <w:tcPr>
            <w:tcW w:type="dxa" w:w="5896"/>
          </w:tcPr>
          <w:p>
            <w:pPr>
              <w:spacing w:after="0"/>
            </w:pPr>
            <w:r>
              <w:rPr>
                <w:sz w:val="14"/>
              </w:rPr>
              <w:t>groundwater well GW-1, top of casing 15.52</w:t>
            </w:r>
          </w:p>
        </w:tc>
      </w:tr>
      <w:tr>
        <w:trPr>
          <w:cantSplit w:val="true"/>
        </w:trPr>
        <w:tc>
          <w:tcPr>
            <w:tcW w:type="dxa" w:w="907"/>
          </w:tcPr>
          <w:p>
            <w:pPr>
              <w:spacing w:after="0"/>
            </w:pPr>
            <w:r>
              <w:rPr>
                <w:sz w:val="14"/>
              </w:rPr>
              <w:t>FT-10</w:t>
            </w:r>
          </w:p>
        </w:tc>
        <w:tc>
          <w:tcPr>
            <w:tcW w:type="dxa" w:w="794"/>
          </w:tcPr>
          <w:p>
            <w:pPr>
              <w:spacing w:after="0"/>
            </w:pPr>
            <w:r>
              <w:rPr>
                <w:sz w:val="14"/>
              </w:rPr>
              <w:t>250</w:t>
            </w:r>
          </w:p>
        </w:tc>
        <w:tc>
          <w:tcPr>
            <w:tcW w:type="dxa" w:w="794"/>
          </w:tcPr>
          <w:p>
            <w:pPr>
              <w:spacing w:after="0"/>
            </w:pPr>
            <w:r>
              <w:rPr>
                <w:sz w:val="14"/>
              </w:rPr>
              <w:t>150</w:t>
            </w:r>
          </w:p>
        </w:tc>
        <w:tc>
          <w:tcPr>
            <w:tcW w:type="dxa" w:w="1020"/>
          </w:tcPr>
          <w:p>
            <w:pPr>
              <w:spacing w:after="0"/>
            </w:pPr>
            <w:r>
              <w:rPr>
                <w:sz w:val="14"/>
              </w:rPr>
              <w:t>15.00</w:t>
            </w:r>
          </w:p>
        </w:tc>
        <w:tc>
          <w:tcPr>
            <w:tcW w:type="dxa" w:w="5896"/>
          </w:tcPr>
          <w:p>
            <w:pPr>
              <w:spacing w:after="0"/>
            </w:pPr>
            <w:r>
              <w:rPr>
                <w:sz w:val="14"/>
              </w:rPr>
              <w:t>groundwater well GW-2, top of casing 15.49</w:t>
            </w:r>
          </w:p>
        </w:tc>
      </w:tr>
      <w:tr>
        <w:trPr>
          <w:cantSplit w:val="true"/>
        </w:trPr>
        <w:tc>
          <w:tcPr>
            <w:tcW w:type="dxa" w:w="907"/>
          </w:tcPr>
          <w:p>
            <w:pPr>
              <w:spacing w:after="0"/>
            </w:pPr>
            <w:r>
              <w:rPr>
                <w:sz w:val="14"/>
              </w:rPr>
              <w:t>FT-11</w:t>
            </w:r>
          </w:p>
        </w:tc>
        <w:tc>
          <w:tcPr>
            <w:tcW w:type="dxa" w:w="794"/>
          </w:tcPr>
          <w:p>
            <w:pPr>
              <w:spacing w:after="0"/>
            </w:pPr>
            <w:r>
              <w:rPr>
                <w:sz w:val="14"/>
              </w:rPr>
              <w:t>340</w:t>
            </w:r>
          </w:p>
        </w:tc>
        <w:tc>
          <w:tcPr>
            <w:tcW w:type="dxa" w:w="794"/>
          </w:tcPr>
          <w:p>
            <w:pPr>
              <w:spacing w:after="0"/>
            </w:pPr>
            <w:r>
              <w:rPr>
                <w:sz w:val="14"/>
              </w:rPr>
              <w:t>40</w:t>
            </w:r>
          </w:p>
        </w:tc>
        <w:tc>
          <w:tcPr>
            <w:tcW w:type="dxa" w:w="1020"/>
          </w:tcPr>
          <w:p>
            <w:pPr>
              <w:spacing w:after="0"/>
            </w:pPr>
            <w:r>
              <w:rPr>
                <w:sz w:val="14"/>
              </w:rPr>
              <w:t>15.22</w:t>
            </w:r>
          </w:p>
        </w:tc>
        <w:tc>
          <w:tcPr>
            <w:tcW w:type="dxa" w:w="5896"/>
          </w:tcPr>
          <w:p>
            <w:pPr>
              <w:spacing w:after="0"/>
            </w:pPr>
            <w:r>
              <w:rPr>
                <w:sz w:val="14"/>
              </w:rPr>
              <w:t>groundwater well GW-3, top of casing 15.71</w:t>
            </w:r>
          </w:p>
        </w:tc>
      </w:tr>
      <w:tr>
        <w:trPr>
          <w:cantSplit w:val="true"/>
        </w:trPr>
        <w:tc>
          <w:tcPr>
            <w:tcW w:type="dxa" w:w="907"/>
          </w:tcPr>
          <w:p>
            <w:pPr>
              <w:spacing w:after="0"/>
            </w:pPr>
            <w:r>
              <w:rPr>
                <w:sz w:val="14"/>
              </w:rPr>
              <w:t>FT-12</w:t>
            </w:r>
          </w:p>
        </w:tc>
        <w:tc>
          <w:tcPr>
            <w:tcW w:type="dxa" w:w="794"/>
          </w:tcPr>
          <w:p>
            <w:pPr>
              <w:spacing w:after="0"/>
            </w:pPr>
            <w:r>
              <w:rPr>
                <w:sz w:val="14"/>
              </w:rPr>
              <w:t>200</w:t>
            </w:r>
          </w:p>
        </w:tc>
        <w:tc>
          <w:tcPr>
            <w:tcW w:type="dxa" w:w="794"/>
          </w:tcPr>
          <w:p>
            <w:pPr>
              <w:spacing w:after="0"/>
            </w:pPr>
            <w:r>
              <w:rPr>
                <w:sz w:val="14"/>
              </w:rPr>
              <w:t>-60</w:t>
            </w:r>
          </w:p>
        </w:tc>
        <w:tc>
          <w:tcPr>
            <w:tcW w:type="dxa" w:w="1020"/>
          </w:tcPr>
          <w:p>
            <w:pPr>
              <w:spacing w:after="0"/>
            </w:pPr>
            <w:r>
              <w:rPr>
                <w:sz w:val="14"/>
              </w:rPr>
              <w:t>1.10</w:t>
            </w:r>
          </w:p>
        </w:tc>
        <w:tc>
          <w:tcPr>
            <w:tcW w:type="dxa" w:w="5896"/>
          </w:tcPr>
          <w:p>
            <w:pPr>
              <w:spacing w:after="0"/>
            </w:pPr>
            <w:r>
              <w:rPr>
                <w:sz w:val="14"/>
              </w:rPr>
              <w:t>shoreline (mean sea level datum +0.0, 2026-10 survey)</w:t>
            </w:r>
          </w:p>
        </w:tc>
      </w:tr>
      <w:tr>
        <w:trPr>
          <w:cantSplit w:val="true"/>
        </w:trPr>
        <w:tc>
          <w:tcPr>
            <w:tcW w:type="dxa" w:w="907"/>
          </w:tcPr>
          <w:p>
            <w:pPr>
              <w:spacing w:after="0"/>
            </w:pPr>
            <w:r>
              <w:rPr>
                <w:sz w:val="14"/>
              </w:rPr>
              <w:t>FT-13</w:t>
            </w:r>
          </w:p>
        </w:tc>
        <w:tc>
          <w:tcPr>
            <w:tcW w:type="dxa" w:w="794"/>
          </w:tcPr>
          <w:p>
            <w:pPr>
              <w:spacing w:after="0"/>
            </w:pPr>
            <w:r>
              <w:rPr>
                <w:sz w:val="14"/>
              </w:rPr>
              <w:t>405</w:t>
            </w:r>
          </w:p>
        </w:tc>
        <w:tc>
          <w:tcPr>
            <w:tcW w:type="dxa" w:w="794"/>
          </w:tcPr>
          <w:p>
            <w:pPr>
              <w:spacing w:after="0"/>
            </w:pPr>
            <w:r>
              <w:rPr>
                <w:sz w:val="14"/>
              </w:rPr>
              <w:t>150</w:t>
            </w:r>
          </w:p>
        </w:tc>
        <w:tc>
          <w:tcPr>
            <w:tcW w:type="dxa" w:w="1020"/>
          </w:tcPr>
          <w:p>
            <w:pPr>
              <w:spacing w:after="0"/>
            </w:pPr>
            <w:r>
              <w:rPr>
                <w:sz w:val="14"/>
              </w:rPr>
              <w:t>15.12</w:t>
            </w:r>
          </w:p>
        </w:tc>
        <w:tc>
          <w:tcPr>
            <w:tcW w:type="dxa" w:w="5896"/>
          </w:tcPr>
          <w:p>
            <w:pPr>
              <w:spacing w:after="0"/>
            </w:pPr>
            <w:r>
              <w:rPr>
                <w:sz w:val="14"/>
              </w:rPr>
              <w:t>access road edge at plant gate</w:t>
            </w:r>
          </w:p>
        </w:tc>
      </w:tr>
    </w:tbl>
    <w:p>
      <w:pPr>
        <w:spacing w:after="40"/>
      </w:pPr>
    </w:p>
    <w:p>
      <w:pPr>
        <w:pStyle w:val="ListBullet"/>
      </w:pPr>
      <w:r>
        <w:t>Stream channel on the west boundary: the 10 m water authority buffer (E 0-20) stays free of permanent structures; the channel bed falls from +13.41 m (north) to +13.02 m (south).</w:t>
      </w:r>
    </w:p>
    <w:p>
      <w:pPr>
        <w:pStyle w:val="ListBullet"/>
      </w:pPr>
      <w:r>
        <w:t>11 kV utility cable along the east boundary (E 390): no excavation within 2 m until its relocation by the Owner (due 2027-06-30); hand digging to locate before any crossing.</w:t>
      </w:r>
    </w:p>
    <w:p>
      <w:pPr>
        <w:pStyle w:val="ListBullet"/>
      </w:pPr>
      <w:r>
        <w:t>Abandoned warehouse foundations (E 300-360, N 20-60) stand up to 0.25 m above the platform: demolition and removal by the Contractor before the platform trimming in that area.</w:t>
      </w:r>
    </w:p>
    <w:p>
      <w:pPr>
        <w:pStyle w:val="ListBullet"/>
      </w:pPr>
      <w:r>
        <w:t>Meteorological mast (E 20, N 280) and groundwater wells GW-1 to GW-3 are kept; wells in conflict with foundations are replaced by the Contractor.</w:t>
      </w:r>
    </w:p>
    <w:p>
      <w:pPr>
        <w:pStyle w:val="Heading1"/>
        <w:keepNext/>
      </w:pPr>
      <w:r>
        <w:t>6. Setting-out rules</w:t>
      </w:r>
    </w:p>
    <w:p>
      <w:pPr>
        <w:pStyle w:val="ListBullet"/>
      </w:pPr>
      <w:r>
        <w:t>All setting out from the control pillars CP-01, CP-02, CP-03, CP-04 and the benchmarks; pillars are checked against each other before each major setting-out and at least monthly (tolerance 10 mm plan, 5 mm height).</w:t>
      </w:r>
    </w:p>
    <w:p>
      <w:pPr>
        <w:pStyle w:val="ListBullet"/>
      </w:pPr>
      <w:r>
        <w:t>Setting-out tolerances per ISO 4463-1: main grid lines +-10 mm, foundation axes +-5 mm, anchor bolt groups +-3 mm (template), levels +-5 mm.</w:t>
      </w:r>
    </w:p>
    <w:p>
      <w:pPr>
        <w:pStyle w:val="ListBullet"/>
      </w:pPr>
      <w:r>
        <w:t>Every structure is set out from the plant grid; coordinates are taken from the IFC plot plan and the 3D model (never scaled from drawings).</w:t>
      </w:r>
    </w:p>
    <w:p>
      <w:pPr>
        <w:pStyle w:val="ListBullet"/>
      </w:pPr>
      <w:r>
        <w:t>Construction benchmarks inside each CWA are levelled from BM-01 / BM-02 with loop closure &lt;= 3 mm.</w:t>
      </w:r>
    </w:p>
    <w:p>
      <w:pPr>
        <w:pStyle w:val="Heading1"/>
        <w:keepNext/>
      </w:pPr>
      <w:r>
        <w:t>7. Findings</w:t>
      </w:r>
    </w:p>
    <w:p>
      <w:pPr>
        <w:pStyle w:val="ListBullet"/>
      </w:pPr>
      <w:r>
        <w:t>Control network: transformation residuals 11 mm maximum (limit 20 mm) - the plant grid is fixed and can be used for setting out.</w:t>
      </w:r>
    </w:p>
    <w:p>
      <w:pPr>
        <w:pStyle w:val="ListBullet"/>
      </w:pPr>
      <w:r>
        <w:t>Owner's platform: mean -66 mm against +15.00 m, 22 of 208 points outside +-0.15 m, with a systematic fall towards the south and the old warehouse foundations above the platform. Final trimming to +15.00 m needs about 9,324 m3 of structural fill and 747 m3 of cut; fill below the tolerance band (-0.15 m): 1,035 m3.</w:t>
      </w:r>
    </w:p>
    <w:p>
      <w:pPr>
        <w:pStyle w:val="ListBullet"/>
      </w:pPr>
      <w:r>
        <w:t>TQ-039 (closed): Owner platform levels below +15.00 m (survey ALP-SUR-TOP-001) - answer: (b) with a limit. The Owner's earthworks contract levelled the platform to +15.00 m +- 0.15 m; the survey shows the platform within that tolerance except the south edge strip (N 0-25 m, 17 points), the old warehouse foundations (2 points; demolition is Contractor scope anyway) and three isolated points 1-3 cm beyond the band. The Contractor sets finished floor and road levels on the as-surveyed platform with local trimming only; structural fill needed below +14.85 m is paid by the Owner at the unit rate of the Price Schedule against a joint survey.</w:t>
      </w:r>
    </w:p>
    <w:p>
      <w:pPr>
        <w:pStyle w:val="Heading1"/>
        <w:keepNext/>
      </w:pPr>
      <w:r>
        <w:t>8. Site plan</w:t>
      </w:r>
    </w:p>
    <w:p>
      <w:r>
        <w:drawing>
          <wp:inline xmlns:a="http://schemas.openxmlformats.org/drawingml/2006/main" xmlns:pic="http://schemas.openxmlformats.org/drawingml/2006/picture">
            <wp:extent cx="6120000" cy="6579000"/>
            <wp:docPr id="1" name="Picture 1"/>
            <wp:cNvGraphicFramePr>
              <a:graphicFrameLocks noChangeAspect="1"/>
            </wp:cNvGraphicFramePr>
            <a:graphic>
              <a:graphicData uri="http://schemas.openxmlformats.org/drawingml/2006/picture">
                <pic:pic>
                  <pic:nvPicPr>
                    <pic:cNvPr id="0" name="_survey_plan.png"/>
                    <pic:cNvPicPr/>
                  </pic:nvPicPr>
                  <pic:blipFill>
                    <a:blip r:embed="rId11"/>
                    <a:stretch>
                      <a:fillRect/>
                    </a:stretch>
                  </pic:blipFill>
                  <pic:spPr>
                    <a:xfrm>
                      <a:off x="0" y="0"/>
                      <a:ext cx="6120000" cy="6579000"/>
                    </a:xfrm>
                    <a:prstGeom prst="rect"/>
                  </pic:spPr>
                </pic:pic>
              </a:graphicData>
            </a:graphic>
          </wp:inline>
        </w:drawing>
      </w:r>
    </w:p>
    <w:p>
      <w:r>
        <w:rPr>
          <w:i/>
        </w:rPr>
        <w:t>Figure 1 - Survey points and platform levels (plant grid, m); contours of the spot heights at 0.1 m (plot) and 0.25 m (TP-A1)</w:t>
      </w: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site_survey v1.1.0 | data 299742afe8d9363d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ALP-EPC-00000-CV-RPT-0003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