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after the 60 m public coastal strip, the 10 m stream-channel buffer on the west boundary and the 5 m landscaping strip is about 10.6 ha. A further 5 ha temporary construction area north of the plot is provided by the Owner (tie-in TP-A1). Details and existing features per ALP-OWN-GEN-001.</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Field north of the plot, across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2027-03-01</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360-410 kV; SCL 12-40 kA</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45-70 barg normal/minimum, 40 barg exceptional (72 h/year); 5-25 degC; 115,000 Sm3/h firm</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r>
          </w:p>
        </w:tc>
        <w:tc>
          <w:tcPr>
            <w:tcW w:type="dxa" w:w="2268"/>
          </w:tcPr>
          <w:p>
            <w:r>
              <w:rPr>
                <w:sz w:val="16"/>
              </w:rPr>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3 barg, 20 m3/h</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sources/owner/ALP-OWN-ELE-001_grid_connection_data.md</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sources/owner/ALP-OWN-ENV-001_EIA_conditions.md</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sources/owner/ALP-OWN-FUL-001_fuel_gas_quality.md</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sources/owner/ALP-OWN-FUL-002_liquid_fuel_LDO.md</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0</w:t>
            </w:r>
          </w:p>
        </w:tc>
        <w:tc>
          <w:tcPr>
            <w:tcW w:type="dxa" w:w="1417"/>
          </w:tcPr>
          <w:p>
            <w:r>
              <w:rPr>
                <w:sz w:val="16"/>
              </w:rPr>
              <w:t>2026-09-14</w:t>
            </w:r>
          </w:p>
        </w:tc>
        <w:tc>
          <w:tcPr>
            <w:tcW w:type="dxa" w:w="5669"/>
          </w:tcPr>
          <w:p>
            <w:r>
              <w:rPr>
                <w:sz w:val="16"/>
              </w:rPr>
              <w:t>sources/owner/ALP-OWN-GEN-001_site_infrastructure_tie_ins.md</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sources/owner/ALP-OWN-GEO-001_geotechnical_baseline.md</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sources/owner/ALP-OWN-MAR-001_seawater_marine_data.md</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sources/owner/ALP-OWN-MET-001_meteorological_data.md</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v1.1.0 | data fcfff778765e4f67 | generated 2026-09-27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