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workflow, interfaces, timeline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Revision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draft - not yet issued (next issue: IFR rev A)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Istanbul EPC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Planned issue (workflow timeline)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IFR 2027-05-11, IFA 2027-06-08, IFC 2027-06-15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29,886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2027-09-16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7,910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2029-04-25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16,498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6,112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3,924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2027-10-19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4,850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2027-07-14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28,472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2029-03-12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655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195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13,390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74,788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2028-07-06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17,989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2027-08-02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2027-04-28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8,282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2027-07-28</w:t>
            </w:r>
          </w:p>
        </w:tc>
      </w:tr>
    </w:tbl>
    <w:p>
      <w:pPr>
        <w:spacing w:after="40"/>
      </w:pPr>
    </w:p>
    <w:p>
      <w:r>
        <w:t>Total 2237 documents, 212,261 hours: EPC document preparation incl. checking and the plant 3D model; for supplier documents the EPC review. Site support, expediting and management are budgeted separately.</w:t>
      </w:r>
    </w:p>
    <w:p>
      <w:pPr>
        <w:pStyle w:val="Heading2"/>
        <w:keepNext/>
      </w:pPr>
      <w:r>
        <w:t>3.1 How the MDL is derived</w:t>
      </w:r>
    </w:p>
    <w:p>
      <w:r>
        <w:t>80 MDL rules (records mdl_rule) define the documents per plant, system, structure, construction area, procurement package and equipment group: type, quantity basis (sheets per P&amp;ID sheet, instrument, loop, line, isometric, consumer, structure ...), hours, inputs, EWP / MR links and, for supplier documents, the timing after the purchase order. Quantities are system estimates (basis DEC-EPCE-0008) until the equipment, instrument and line registers are larger; python -m engine mdl sync keeps the documents in line with the rules and registers. Single deliverables (studies, plans, permit dossiers, test reports) are individual records citing their requirement, permit or clause.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 scope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cwa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eqgroup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mr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plant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structure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system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Completeness against indicative benchmarks</w:t>
      </w:r>
    </w:p>
    <w:p>
      <w:r>
        <w:t>Indicative ranges for a comparable 1x1 H-class CCGT (engineering judgement, not contractual): below the minimum = scope probably missing (WARN), above the maximum = review for duplication (INFO).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2381"/>
        <w:gridCol w:w="1134"/>
        <w:gridCol w:w="1474"/>
        <w:gridCol w:w="2268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Benchmark</w:t>
            </w:r>
          </w:p>
        </w:tc>
        <w:tc>
          <w:tcPr>
            <w:tcW w:type="dxa" w:w="238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Scope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Measure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MDL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Indicative range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13,412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8,000 - 20,000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hours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201,774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150,000 - 320,000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BM-ALL-SUP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SUPPLIER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7,909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3,000 - 10,000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commissioning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civil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500 - 1,500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electrical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1,876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1,200 - 3,000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BM-GE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general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50 - 200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hse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30 - 120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hvac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156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100 - 400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BM-IC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i_and_c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5,259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4,000 - 9,000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BM-ME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mechanical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469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250 - 800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piping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4,073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3,500 - 7,000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process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200 - 500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structural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150 - 600</w:t>
            </w:r>
          </w:p>
        </w:tc>
      </w:tr>
    </w:tbl>
    <w:p>
      <w:pPr>
        <w:spacing w:after="40"/>
      </w:pPr>
    </w:p>
    <w:p>
      <w:r>
        <w:t>Coverage is checked at every engine run: every design discipline has its design criteria,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design, and the requisitions of long-lead packages per the procurement decision) are issued at NTP. Supplier documents with committed dates keep them (IEC, TQ-IEC-023); the others are timed from their MR: weeks after the PO for design data, weeks before delivery for FAT, erection and O&amp;M documents. Issued revisions replace the planned dates.</w:t>
      </w:r>
    </w:p>
    <w:p>
      <w:pPr>
        <w:pStyle w:val="ListBullet"/>
      </w:pPr>
      <w:r>
        <w:t>Construction documents belong to the EWP of their CWP. An EWP is needed ewp_lead_days before its CWP starts for the first IWPs; documents of progressive types (isometrics, supports, schematics, loop diagrams, reinforcement, equipment foundations ...) are released to later IWPs at CWP start - lead + share x CWP duration (share per document type, section 4 of ALP-EPC-00000-GE-PRC-0002). EPC documents that need certified vendor data (e.g. equipment foundations) take the supplier documents as inputs.</w:t>
      </w:r>
    </w:p>
    <w:p>
      <w:pPr>
        <w:pStyle w:val="ListBullet"/>
      </w:pPr>
      <w:r>
        <w:t>Requisitions start the PWP (MR) cycle: PO = MRQ IFC + bid + award; delivery on site = PO + manufacture + transport; needed at the first CWP start (+ need lag for materials installed late in the CWP).</w:t>
      </w:r>
    </w:p>
    <w:p>
      <w:pPr>
        <w:pStyle w:val="ListBullet"/>
      </w:pPr>
      <w:r>
        <w:t>Engineering capacity per discipline (eng_resource) with a mobilisation ramp from 30 % at NTP; documents are scheduled in need-date priority within the capacity (levelled timeline).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IOL,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DBR, HMB, LST, PID, RPT, SDS,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CEM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Cause and effect matrix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CNR, PID, PLN,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foundation drawings (vendor-certified loads)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CVL, ELY, FND, LAY, PPL,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DBR,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Operator display (HMI graphics)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Instrument hook-up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HAZ, 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IOL, RPT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PID, PRC, RPT,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MDB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Manufacturing record book / conformity certificates / turnover dossier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ITP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MOS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Method statement / construction execution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CVL, PLN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PLN, PRC, RPT,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RBR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Reinforcement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support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ISO, STR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TRP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report / test record / certificate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SPC, TST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procedure (FAT, SAT, site and performance tests)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ITP, RPT,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WIR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Schematic and wiring diagrams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251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491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611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425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271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98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78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</w:tbl>
    <w:p>
      <w:pPr>
        <w:spacing w:after="40"/>
      </w:pPr>
    </w:p>
    <w:p>
      <w:r>
        <w:t>Document preparation capacity at full mobilisation (eng_resource, levelled timeline): CV 30 FTE, CM 3 FTE, EL 8 FTE, GE 5 FTE, HS 3 FTE, HV 7 FTE, IC 14 FTE, ME 12 FTE, PI 32 FTE, PR 12 FTE, PC 1 FTE, SS 18 FTE - total 145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180 tender-stage documents (10,667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6,320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3,186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2,977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13,367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4,340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1,157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1,952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1,729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4,658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1,737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18,020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4,485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1,188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934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19,603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2,409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5,520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2,042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21,802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4,948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762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2,672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20,635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4,137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1,854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17,863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127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12,874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10,551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5,254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10,096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9,462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8,750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6,629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5,708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3,609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3,964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1,728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773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1,082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930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391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r>
        <w:t>Peak 2027-03: 21,802 h (about 145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55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Supplier documents (VDRL)</w:t>
      </w:r>
    </w:p>
    <w:p>
      <w:r>
        <w:t>750 supplier documents in 66 packages. Per package: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907"/>
        <w:gridCol w:w="1020"/>
        <w:gridCol w:w="1360"/>
        <w:gridCol w:w="1360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Originator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Docs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Sheets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First IFR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Last final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H01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2028-05-11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1584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290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</w:tr>
    </w:tbl>
    <w:p>
      <w:pPr>
        <w:spacing w:after="40"/>
      </w:pPr>
    </w:p>
    <w:p>
      <w:r>
        <w:t>Power island (IEC) documents: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- Terminal Points and Interface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and Balance of Plant - Division of Responsibility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-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Instrument List and Datasheets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Instrument List and Datasheets,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Instrument List and Datasheets,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Electrical Schematics and Wiring Diagrams,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Electrical Schematics and Wiring Diagrams,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Instrument List and Datasheets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1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2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3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4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5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6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2027-08-30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(the document with the smallest float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ALP-EPC-00UCA-HV-GAD-0002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EWP-06-CV-01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CWP-06-CV-01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ALP-EPC-00UPA-EL-ELY-0001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ALP-EPC-00SGA-PI-ISO-0001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ALP-EPC-00UZA-PI-LAY-0001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ALP-EPC-00UBF-CV-RBR-0001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ALP-EPC-20LCA-PI-SUP-0001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2028-04-27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ALP-EPC-00UGA-CV-EFD-0001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ALP-EPC-00GHA-PI-SUP-0001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2028-03-13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ALP-EPC-10LAF-PI-SUP-0001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EWP-10-CV-01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CWP-10-CV-01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ALP-EPC-00UEG-CV-RBR-0001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Construction power supply (RMU, temporary distribution)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2026-12-24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Chemical dosing skid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2027-01-29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decision:DEC-EPCE-0010); a change of staffing changes the dates at the next run.</w:t>
      </w:r>
    </w:p>
    <w:p>
      <w:pPr>
        <w:pStyle w:val="ListBullet"/>
      </w:pPr>
      <w:r>
        <w:t>Document quantities are estimates per system until the P&amp;IDs and the 3D model produce the instrument, line and valve registers; the rules then use the register counts (section 3.1).</w:t>
      </w:r>
    </w:p>
    <w:p>
      <w:pPr>
        <w:pStyle w:val="ListBullet"/>
      </w:pPr>
      <w:r>
        <w:t>Benchmarks are indicative ranges (engineering judgement), to be replaced by company historical data.</w:t>
      </w:r>
    </w:p>
    <w:p>
      <w:pPr>
        <w:pStyle w:val="ListBullet"/>
      </w:pPr>
      <w:r>
        <w:t>Supplier document quantities follow the package rules; the supplier's own VDRL replaces them after the PO.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29 OK, 35 INFO, 0 WARN (checks: MDL rules, benchmark, coverage MR, coverage equipment, coverage requirement, coverage scope, coverage system, design criteria,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MDL rules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80 rules: 0 required document(s) missing, 0 to update, 0 orphan(s)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ALP-EPC-00000-CM-OMM-0002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'PID'] of a OMM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ALP-EPC-00000-PI-M3D-0004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['ISO', 'LAY', 'PLT', 'PPL'] of a M3D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ALP-EPC-00GQA-CM-MDB-0001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ALP-EPC-00UPA-CV-RBR-0001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ALP-EPC-00UZC-CV-RBR-0001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ALP-EPC-00UZE-CV-RBR-0001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ALP-EPC-10HNA-CM-MDB-0001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ALP-EPC-10HSA-CM-MDB-0001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ALP-EPC-10MBL-CM-MDB-0001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ALP-EPC-10MBN-CM-MDB-0001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ALP-EPC-10MBP-CM-MDB-0001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ALP-EPC-10MBU-CM-MDB-0001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ALP-EPC-20MAB-CM-MDB-0001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ALP-EPC-20MAJ-CM-MDB-0001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ALP-EPC-20MAW-CM-MDB-0001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ALP-EPC-20MAX-CM-MDB-0001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v1.4.0 | data 13dbdbeca1a87ab1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