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r>
        <w:tc>
          <w:tcPr>
            <w:tcW w:type="dxa" w:w="794"/>
          </w:tcPr>
          <w:p>
            <w:r>
              <w:rPr>
                <w:sz w:val="16"/>
              </w:rPr>
              <w:t>TQ-036</w:t>
            </w:r>
          </w:p>
        </w:tc>
        <w:tc>
          <w:tcPr>
            <w:tcW w:type="dxa" w:w="624"/>
          </w:tcPr>
          <w:p>
            <w:r>
              <w:rPr>
                <w:sz w:val="16"/>
              </w:rPr>
              <w:t>8</w:t>
            </w:r>
          </w:p>
        </w:tc>
        <w:tc>
          <w:tcPr>
            <w:tcW w:type="dxa" w:w="1701"/>
          </w:tcPr>
          <w:p>
            <w:r>
              <w:rPr>
                <w:sz w:val="16"/>
              </w:rPr>
              <w:t>MDL Rev B baseline: document quantities, new document types, structures and packages</w:t>
            </w:r>
          </w:p>
        </w:tc>
        <w:tc>
          <w:tcPr>
            <w:tcW w:type="dxa" w:w="3855"/>
          </w:tcPr>
          <w:p>
            <w:r>
              <w:rPr>
                <w:sz w:val="16"/>
              </w:rPr>
              <w:t>The consortium re-issues the MDL as Rev B: 2205 documents (1455 EPC, 120 IEC, 630 other suppliers), 21,362 sheets. Rev A (623 documents) missed the per-tag deliverables, the supplier documents of the BOP packages, factory and site tests, system-based commissioning and O&amp;M documents and several permit dossiers. Document quantities now follow rules per system / structure / area / package with estimated quantities until the registers exist. Please accept (1) the MDL Rev B as the document baseline, (2) the new document types TST, TRP, WIR, HUP, SUP, RBR, EFD, MOS, MDB, CEM, HMI with their review classes, (3) the structure keys UZD (pipe racks), UZE (cable trenches), UZF (temporary barge landing), (4) the 14 added procurement packages, (5) the review of supplier documents: EPC reviews all; transmitted to the Owner for approval: supplier P&amp;IDs, ITPs and FAT procedures; for review: GA, datasheets, calculations, schematics, manuals; for information: manufacturing record books.</w:t>
            </w:r>
          </w:p>
        </w:tc>
        <w:tc>
          <w:tcPr>
            <w:tcW w:type="dxa" w:w="3628"/>
          </w:tcPr>
          <w:p>
            <w:r>
              <w:rPr>
                <w:sz w:val="16"/>
              </w:rPr>
              <w:t>(1)-(5) accepted with one change and one condition. Change: fire fighting, escape route and safety signage drawings are submitted to the fire brigade (occupancy permit PMT-020) and are for Owner approval. Condition: the Owner's Engineer review load must be planned; the consortium issues a monthly document issue forecast (from the engineering plan) and transmits in batches of at most 150 documents per week. The new structure keys are approved for engineering (verification with the KKS key list).</w:t>
            </w:r>
          </w:p>
        </w:tc>
        <w:tc>
          <w:tcPr>
            <w:tcW w:type="dxa" w:w="1134"/>
          </w:tcPr>
          <w:p>
            <w:r>
              <w:rPr>
                <w:sz w:val="16"/>
              </w:rPr>
              <w:t>requirement changed</w:t>
            </w:r>
          </w:p>
        </w:tc>
        <w:tc>
          <w:tcPr>
            <w:tcW w:type="dxa" w:w="1134"/>
          </w:tcPr>
          <w:p>
            <w:r>
              <w:rPr>
                <w:sz w:val="16"/>
              </w:rPr>
              <w:t>-</w:t>
            </w:r>
          </w:p>
        </w:tc>
        <w:tc>
          <w:tcPr>
            <w:tcW w:type="dxa" w:w="1757"/>
          </w:tcPr>
          <w:p>
            <w:r>
              <w:rPr>
                <w:sz w:val="16"/>
              </w:rPr>
              <w:t>mdl_rule/DL-HS-ESC</w:t>
            </w:r>
          </w:p>
        </w:tc>
      </w:tr>
      <w:tr>
        <w:tc>
          <w:tcPr>
            <w:tcW w:type="dxa" w:w="794"/>
          </w:tcPr>
          <w:p>
            <w:r>
              <w:rPr>
                <w:sz w:val="16"/>
              </w:rPr>
              <w:t>TQ-037</w:t>
            </w:r>
          </w:p>
        </w:tc>
        <w:tc>
          <w:tcPr>
            <w:tcW w:type="dxa" w:w="624"/>
          </w:tcPr>
          <w:p>
            <w:r>
              <w:rPr>
                <w:sz w:val="16"/>
              </w:rPr>
              <w:t>8</w:t>
            </w:r>
          </w:p>
        </w:tc>
        <w:tc>
          <w:tcPr>
            <w:tcW w:type="dxa" w:w="1701"/>
          </w:tcPr>
          <w:p>
            <w:r>
              <w:rPr>
                <w:sz w:val="16"/>
              </w:rPr>
              <w:t>AWP release rule: progressive EWP release to the IWPs of a CWP</w:t>
            </w:r>
          </w:p>
        </w:tc>
        <w:tc>
          <w:tcPr>
            <w:tcW w:type="dxa" w:w="3855"/>
          </w:tcPr>
          <w:p>
            <w:r>
              <w:rPr>
                <w:sz w:val="16"/>
              </w:rPr>
              <w:t>TQ-035 requires a CWP to be released only when its EWP is complete (all documents IFC). With the Rev B MDL a piping CWP carries up to 2,800 isometric sheets and a civil CWP the reinforcement of every pour; requiring all of them IFC before the first IWP would delay construction by 3-9 months or require engineering staff far above a realistic peak. The consortium proposes: (a) a CWP is released when the documents of its first IWPs are IFC (layouts, GA, foundations, plans: 100 % at release) and its materials for those IWPs are on site or confirmed; (b) progressive documents (isometrics, supports, schematics, loop diagrams, reinforcement, equipment foundations) are released per IWP, planned at CWP start - lead + share x CWP duration per document type; (c) no IWP is issued to the field unless all its documents are IFC and its constraints removed; (d) the EWP completeness per CWP is reported monthly.</w:t>
            </w:r>
          </w:p>
        </w:tc>
        <w:tc>
          <w:tcPr>
            <w:tcW w:type="dxa" w:w="3628"/>
          </w:tcPr>
          <w:p>
            <w:r>
              <w:rPr>
                <w:sz w:val="16"/>
              </w:rPr>
              <w:t>Accepted as proposed, with the condition that the monthly report shows per CWP the IFC status of the documents needed for the next 8 weeks of IWPs, and that a CWP whose first-IWP documents are not IFC is not started. TQ-035 item (4) is amended accordingly.</w:t>
            </w:r>
          </w:p>
        </w:tc>
        <w:tc>
          <w:tcPr>
            <w:tcW w:type="dxa" w:w="1134"/>
          </w:tcPr>
          <w:p>
            <w:r>
              <w:rPr>
                <w:sz w:val="16"/>
              </w:rPr>
              <w:t>contractor proposal accepted</w:t>
            </w:r>
          </w:p>
        </w:tc>
        <w:tc>
          <w:tcPr>
            <w:tcW w:type="dxa" w:w="1134"/>
          </w:tcPr>
          <w:p>
            <w:r>
              <w:rPr>
                <w:sz w:val="16"/>
              </w:rPr>
              <w:t>-</w:t>
            </w:r>
          </w:p>
        </w:tc>
        <w:tc>
          <w:tcPr>
            <w:tcW w:type="dxa" w:w="1757"/>
          </w:tcPr>
          <w:p>
            <w:r>
              <w:rPr>
                <w:sz w:val="16"/>
              </w:rPr>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851473163827e6c4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