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47.48 MJ/kg (ISO 6976, combustion reference 25 degC, from the reference composition; 34.78 MJ/Sm3 at 15 degC).</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 Intervals are counted in equivalent operating hours with the OEM start and trip factors (TQ-IEC-010); no calendar interval applies.</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(24.5 %) storage in 2 tanks, each for 7 days at base load on natural gas, together covering 72 h of LDO operation (2 x 30 m3), unloading from road tankers, vaporisation and dosing with leak detection and bunding (TQ-034).</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project numbering (consortium proposal adopted by the Owner in TQ-035: ALP-&lt;ORG&gt;-&lt;KKS&gt;-&lt;DISC&gt;-&lt;TYPE&gt;-&lt;NNNN&gt;)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65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 by IEC, integrated with the plant DCS: native graphics and alarms on the DCS operator stations, one KKS tag database, common time synchronisation, separate IEC 62443 zone (IF-40)</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(IEC-ALP-REQ-001 section 10): GT core engine 405 t (13.2 x 5.9 x 5.6 m, about 480 t gross on SPMT), GT generator stator 340 t, GT GSU 268 t; landing and haul road designed for 480 t gross SPMT loads.</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47.48</w:t>
            </w:r>
          </w:p>
        </w:tc>
        <w:tc>
          <w:tcPr>
            <w:tcW w:type="dxa" w:w="1361"/>
          </w:tcPr>
          <w:p>
            <w:r>
              <w:rPr>
                <w:sz w:val="16"/>
              </w:rPr>
              <w:t>MJ/kg</w:t>
            </w:r>
          </w:p>
        </w:tc>
        <w:tc>
          <w:tcPr>
            <w:tcW w:type="dxa" w:w="3969"/>
          </w:tcPr>
          <w:p>
            <w:r>
              <w:rPr>
                <w:sz w:val="16"/>
              </w:rPr>
              <w:t>reference composition, ISO 6976, combustion reference 25 degC</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Plant grid origin in UTM zone 35N (E 0 / N 0)</w:t>
            </w:r>
          </w:p>
        </w:tc>
        <w:tc>
          <w:tcPr>
            <w:tcW w:type="dxa" w:w="1701"/>
          </w:tcPr>
          <w:p>
            <w:r>
              <w:rPr>
                <w:sz w:val="16"/>
              </w:rPr>
              <w:t>E 541,250.000 m / N 4,532,480.000 m</w:t>
            </w:r>
          </w:p>
        </w:tc>
        <w:tc>
          <w:tcPr>
            <w:tcW w:type="dxa" w:w="1361"/>
          </w:tcPr>
          <w:p>
            <w:r>
              <w:rPr>
                <w:sz w:val="16"/>
              </w:rPr>
              <w:t>m</w:t>
            </w:r>
          </w:p>
        </w:tc>
        <w:tc>
          <w:tcPr>
            <w:tcW w:type="dxa" w:w="3969"/>
          </w:tcPr>
          <w:p>
            <w:r>
              <w:rPr>
                <w:sz w:val="16"/>
              </w:rPr>
              <w:t>TUREF (ITRF96), south-west plot corner</w:t>
            </w:r>
          </w:p>
        </w:tc>
        <w:tc>
          <w:tcPr>
            <w:tcW w:type="dxa" w:w="1701"/>
          </w:tcPr>
          <w:p>
            <w:r>
              <w:rPr>
                <w:sz w:val="16"/>
              </w:rPr>
              <w:t>SRC-EPCE-0011</w:t>
            </w:r>
          </w:p>
        </w:tc>
      </w:tr>
      <w:tr>
        <w:tc>
          <w:tcPr>
            <w:tcW w:type="dxa" w:w="1361"/>
          </w:tcPr>
          <w:p>
            <w:r>
              <w:rPr>
                <w:sz w:val="16"/>
              </w:rPr>
              <w:t>site</w:t>
            </w:r>
          </w:p>
        </w:tc>
        <w:tc>
          <w:tcPr>
            <w:tcW w:type="dxa" w:w="4252"/>
          </w:tcPr>
          <w:p>
            <w:r>
              <w:rPr>
                <w:sz w:val="16"/>
              </w:rPr>
              <w:t>Rotation plant grid to UTM grid</w:t>
            </w:r>
          </w:p>
        </w:tc>
        <w:tc>
          <w:tcPr>
            <w:tcW w:type="dxa" w:w="1701"/>
          </w:tcPr>
          <w:p>
            <w:r>
              <w:rPr>
                <w:sz w:val="16"/>
              </w:rPr>
              <w:t>-0.3281</w:t>
            </w:r>
          </w:p>
        </w:tc>
        <w:tc>
          <w:tcPr>
            <w:tcW w:type="dxa" w:w="1361"/>
          </w:tcPr>
          <w:p>
            <w:r>
              <w:rPr>
                <w:sz w:val="16"/>
              </w:rPr>
              <w:t>deg</w:t>
            </w:r>
          </w:p>
        </w:tc>
        <w:tc>
          <w:tcPr>
            <w:tcW w:type="dxa" w:w="3969"/>
          </w:tcPr>
          <w:p>
            <w:r>
              <w:rPr>
                <w:sz w:val="16"/>
              </w:rPr>
              <w:t>plant north = true north; grid convergence at site</w:t>
            </w:r>
          </w:p>
        </w:tc>
        <w:tc>
          <w:tcPr>
            <w:tcW w:type="dxa" w:w="1701"/>
          </w:tcPr>
          <w:p>
            <w:r>
              <w:rPr>
                <w:sz w:val="16"/>
              </w:rPr>
              <w:t>SRC-EPCE-0011</w:t>
            </w:r>
          </w:p>
        </w:tc>
      </w:tr>
      <w:tr>
        <w:tc>
          <w:tcPr>
            <w:tcW w:type="dxa" w:w="1361"/>
          </w:tcPr>
          <w:p>
            <w:r>
              <w:rPr>
                <w:sz w:val="16"/>
              </w:rPr>
              <w:t>site</w:t>
            </w:r>
          </w:p>
        </w:tc>
        <w:tc>
          <w:tcPr>
            <w:tcW w:type="dxa" w:w="4252"/>
          </w:tcPr>
          <w:p>
            <w:r>
              <w:rPr>
                <w:sz w:val="16"/>
              </w:rPr>
              <w:t>Scale factor plant grid to UTM</w:t>
            </w:r>
          </w:p>
        </w:tc>
        <w:tc>
          <w:tcPr>
            <w:tcW w:type="dxa" w:w="1701"/>
          </w:tcPr>
          <w:p>
            <w:r>
              <w:rPr>
                <w:sz w:val="16"/>
              </w:rPr>
              <w:t>0.999612</w:t>
            </w:r>
          </w:p>
        </w:tc>
        <w:tc>
          <w:tcPr>
            <w:tcW w:type="dxa" w:w="1361"/>
          </w:tcPr>
          <w:p>
            <w:r>
              <w:rPr>
                <w:sz w:val="16"/>
              </w:rPr>
              <w:t>-</w:t>
            </w:r>
          </w:p>
        </w:tc>
        <w:tc>
          <w:tcPr>
            <w:tcW w:type="dxa" w:w="3969"/>
          </w:tcPr>
          <w:p>
            <w:r>
              <w:rPr>
                <w:sz w:val="16"/>
              </w:rPr>
              <w:t>combined UTM point scale and height factor</w:t>
            </w:r>
          </w:p>
        </w:tc>
        <w:tc>
          <w:tcPr>
            <w:tcW w:type="dxa" w:w="1701"/>
          </w:tcPr>
          <w:p>
            <w:r>
              <w:rPr>
                <w:sz w:val="16"/>
              </w:rPr>
              <w:t>SRC-EPCE-0011</w:t>
            </w:r>
          </w:p>
        </w:tc>
      </w:tr>
      <w:tr>
        <w:tc>
          <w:tcPr>
            <w:tcW w:type="dxa" w:w="1361"/>
          </w:tcPr>
          <w:p>
            <w:r>
              <w:rPr>
                <w:sz w:val="16"/>
              </w:rPr>
              <w:t>site</w:t>
            </w:r>
          </w:p>
        </w:tc>
        <w:tc>
          <w:tcPr>
            <w:tcW w:type="dxa" w:w="4252"/>
          </w:tcPr>
          <w:p>
            <w:r>
              <w:rPr>
                <w:sz w:val="16"/>
              </w:rPr>
              <w:t>Height datum</w:t>
            </w:r>
          </w:p>
        </w:tc>
        <w:tc>
          <w:tcPr>
            <w:tcW w:type="dxa" w:w="1701"/>
          </w:tcPr>
          <w:p>
            <w:r>
              <w:rPr>
                <w:sz w:val="16"/>
              </w:rPr>
              <w:t>TUDKA-99 orthometric heights (m a.s.l.)</w:t>
            </w:r>
          </w:p>
        </w:tc>
        <w:tc>
          <w:tcPr>
            <w:tcW w:type="dxa" w:w="1361"/>
          </w:tcPr>
          <w:p>
            <w:r>
              <w:rPr>
                <w:sz w:val="16"/>
              </w:rPr>
            </w:r>
          </w:p>
        </w:tc>
        <w:tc>
          <w:tcPr>
            <w:tcW w:type="dxa" w:w="3969"/>
          </w:tcPr>
          <w:p>
            <w:r>
              <w:rPr>
                <w:sz w:val="16"/>
              </w:rPr>
            </w:r>
          </w:p>
        </w:tc>
        <w:tc>
          <w:tcPr>
            <w:tcW w:type="dxa" w:w="1701"/>
          </w:tcPr>
          <w:p>
            <w:r>
              <w:rPr>
                <w:sz w:val="16"/>
              </w:rPr>
              <w:t>SRC-EPCE-0011</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DISCO</w:t>
            </w:r>
          </w:p>
        </w:tc>
        <w:tc>
          <w:tcPr>
            <w:tcW w:type="dxa" w:w="3402"/>
          </w:tcPr>
          <w:p>
            <w:r>
              <w:rPr>
                <w:sz w:val="16"/>
              </w:rPr>
              <w:t>Regional electricity distribution company (construction power)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DSI</w:t>
            </w:r>
          </w:p>
        </w:tc>
        <w:tc>
          <w:tcPr>
            <w:tcW w:type="dxa" w:w="3402"/>
          </w:tcPr>
          <w:p>
            <w:r>
              <w:rPr>
                <w:sz w:val="16"/>
              </w:rPr>
              <w:t>General Directorate of State Hydraulic Works (surface and groundwater)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EMRA</w:t>
            </w:r>
          </w:p>
        </w:tc>
        <w:tc>
          <w:tcPr>
            <w:tcW w:type="dxa" w:w="3402"/>
          </w:tcPr>
          <w:p>
            <w:r>
              <w:rPr>
                <w:sz w:val="16"/>
              </w:rPr>
              <w:t>Energy Market Regulatory Authority (EPDK)</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GASNO</w:t>
            </w:r>
          </w:p>
        </w:tc>
        <w:tc>
          <w:tcPr>
            <w:tcW w:type="dxa" w:w="3402"/>
          </w:tcPr>
          <w:p>
            <w:r>
              <w:rPr>
                <w:sz w:val="16"/>
              </w:rPr>
              <w:t>Natural gas transmission network operator (connection and station approval)</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KGM</w:t>
            </w:r>
          </w:p>
        </w:tc>
        <w:tc>
          <w:tcPr>
            <w:tcW w:type="dxa" w:w="3402"/>
          </w:tcPr>
          <w:p>
            <w:r>
              <w:rPr>
                <w:sz w:val="16"/>
              </w:rPr>
              <w:t>General Directorate of Highways (abnormal load permits)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MENR</w:t>
            </w:r>
          </w:p>
        </w:tc>
        <w:tc>
          <w:tcPr>
            <w:tcW w:type="dxa" w:w="3402"/>
          </w:tcPr>
          <w:p>
            <w:r>
              <w:rPr>
                <w:sz w:val="16"/>
              </w:rPr>
              <w:t>Ministry of Energy and Natural Resources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MOCT</w:t>
            </w:r>
          </w:p>
        </w:tc>
        <w:tc>
          <w:tcPr>
            <w:tcW w:type="dxa" w:w="3402"/>
          </w:tcPr>
          <w:p>
            <w:r>
              <w:rPr>
                <w:sz w:val="16"/>
              </w:rPr>
              <w:t>Ministry of Culture and Tourism (regional museum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MOEUCC</w:t>
            </w:r>
          </w:p>
        </w:tc>
        <w:tc>
          <w:tcPr>
            <w:tcW w:type="dxa" w:w="3402"/>
          </w:tcPr>
          <w:p>
            <w:r>
              <w:rPr>
                <w:sz w:val="16"/>
              </w:rPr>
              <w:t>Ministry of Environment, Urbanisation and Climate Change (and its Provincial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MOIT</w:t>
            </w:r>
          </w:p>
        </w:tc>
        <w:tc>
          <w:tcPr>
            <w:tcW w:type="dxa" w:w="3402"/>
          </w:tcPr>
          <w:p>
            <w:r>
              <w:rPr>
                <w:sz w:val="16"/>
              </w:rPr>
              <w:t>Ministry of Industry and Technology (market surveillance of products)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MOLSS</w:t>
            </w:r>
          </w:p>
        </w:tc>
        <w:tc>
          <w:tcPr>
            <w:tcW w:type="dxa" w:w="3402"/>
          </w:tcPr>
          <w:p>
            <w:r>
              <w:rPr>
                <w:sz w:val="16"/>
              </w:rPr>
              <w:t>Ministry of Labour and Social Security (OHS inspection)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MOTI</w:t>
            </w:r>
          </w:p>
        </w:tc>
        <w:tc>
          <w:tcPr>
            <w:tcW w:type="dxa" w:w="3402"/>
          </w:tcPr>
          <w:p>
            <w:r>
              <w:rPr>
                <w:sz w:val="16"/>
              </w:rPr>
              <w:t>Ministry of Transport and Infrastructure (Harbour Master, coastal structures)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MUNI</w:t>
            </w:r>
          </w:p>
        </w:tc>
        <w:tc>
          <w:tcPr>
            <w:tcW w:type="dxa" w:w="3402"/>
          </w:tcPr>
          <w:p>
            <w:r>
              <w:rPr>
                <w:sz w:val="16"/>
              </w:rPr>
              <w:t>District municipality / provincial special administration (building, occupancy, fire approval, 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NDK</w:t>
            </w:r>
          </w:p>
        </w:tc>
        <w:tc>
          <w:tcPr>
            <w:tcW w:type="dxa" w:w="3402"/>
          </w:tcPr>
          <w:p>
            <w:r>
              <w:rPr>
                <w:sz w:val="16"/>
              </w:rPr>
              <w:t>Nuclear Regulatory Authority (radiation sources for NDT)</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SGK</w:t>
            </w:r>
          </w:p>
        </w:tc>
        <w:tc>
          <w:tcPr>
            <w:tcW w:type="dxa" w:w="3402"/>
          </w:tcPr>
          <w:p>
            <w:r>
              <w:rPr>
                <w:sz w:val="16"/>
              </w:rPr>
              <w:t>Social Security Institution (workplace registration)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SURV</w:t>
            </w:r>
          </w:p>
        </w:tc>
        <w:tc>
          <w:tcPr>
            <w:tcW w:type="dxa" w:w="3402"/>
          </w:tcPr>
          <w:p>
            <w:r>
              <w:rPr>
                <w:sz w:val="16"/>
              </w:rPr>
              <w:t>Land survey subcontractor (role-play)</w:t>
            </w:r>
          </w:p>
        </w:tc>
        <w:tc>
          <w:tcPr>
            <w:tcW w:type="dxa" w:w="1701"/>
          </w:tcPr>
          <w:p>
            <w:r>
              <w:rPr>
                <w:sz w:val="16"/>
              </w:rPr>
              <w:t>subcontractor</w:t>
            </w:r>
          </w:p>
        </w:tc>
        <w:tc>
          <w:tcPr>
            <w:tcW w:type="dxa" w:w="1134"/>
          </w:tcPr>
          <w:p>
            <w:r>
              <w:rPr>
                <w:sz w:val="16"/>
              </w:rPr>
              <w:t>Turkey</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Agreed. The 48.4 MJ/kg was a rounded network operator figure on another reference basis. ER-03.02 and DP-CASE-0018 are corrected to 47.48 MJ/kg (ISO 6976, 25 degC combustion reference); guarantees remain on heat input at the reference composition.</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design_parameter/DP-CASE-0018</w:t>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Accepted as compliant with SC-013 and ER-12.01 on condition that (1) all power island operation, alarms and trends are available on the DCS operator stations with the DCS look and feel (no separate operator HMI needed in normal operation), (2) alarm management follows the plant alarm philosophy (EEMUA 191 / IEC 62682), (3) all TCS signals are archived in the plant historian. SC-013 is reworded accordingly.</w:t>
            </w:r>
          </w:p>
        </w:tc>
        <w:tc>
          <w:tcPr>
            <w:tcW w:type="dxa" w:w="1134"/>
          </w:tcPr>
          <w:p>
            <w:r>
              <w:rPr>
                <w:sz w:val="16"/>
              </w:rPr>
              <w:t>contractor proposal accepted</w:t>
            </w:r>
          </w:p>
        </w:tc>
        <w:tc>
          <w:tcPr>
            <w:tcW w:type="dxa" w:w="1134"/>
          </w:tcPr>
          <w:p>
            <w:r>
              <w:rPr>
                <w:sz w:val="16"/>
              </w:rPr>
              <w:t>-</w:t>
            </w:r>
          </w:p>
        </w:tc>
        <w:tc>
          <w:tcPr>
            <w:tcW w:type="dxa" w:w="1757"/>
          </w:tcPr>
          <w:p>
            <w:r>
              <w:rPr>
                <w:sz w:val="16"/>
              </w:rPr>
              <w:t>scope_item/SC-013</w:t>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Confirmed: ER-05.07 is EOH-based with the OEM start factors (hot 10, warm 15, cold 20 EOH, trips per TQ-IEC-010). The Owner accepts about 2.3 calendar years at the ER-01.03 regime; ER-05.07 is clarified.</w:t>
            </w:r>
          </w:p>
        </w:tc>
        <w:tc>
          <w:tcPr>
            <w:tcW w:type="dxa" w:w="1134"/>
          </w:tcPr>
          <w:p>
            <w:r>
              <w:rPr>
                <w:sz w:val="16"/>
              </w:rPr>
              <w:t>confirmed as is</w:t>
            </w:r>
          </w:p>
        </w:tc>
        <w:tc>
          <w:tcPr>
            <w:tcW w:type="dxa" w:w="1134"/>
          </w:tcPr>
          <w:p>
            <w:r>
              <w:rPr>
                <w:sz w:val="16"/>
              </w:rPr>
              <w:t>-</w:t>
            </w:r>
          </w:p>
        </w:tc>
        <w:tc>
          <w:tcPr>
            <w:tcW w:type="dxa" w:w="1757"/>
          </w:tcPr>
          <w:p>
            <w:r>
              <w:rPr>
                <w:sz w:val="16"/>
              </w:rPr>
              <w:t>requirement/ER-05.07</w:t>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Confirmed: SC-011 corrected to a 65 m stack (TQ-007, ER-06.06).</w:t>
            </w:r>
          </w:p>
        </w:tc>
        <w:tc>
          <w:tcPr>
            <w:tcW w:type="dxa" w:w="1134"/>
          </w:tcPr>
          <w:p>
            <w:r>
              <w:rPr>
                <w:sz w:val="16"/>
              </w:rPr>
              <w:t>requirement changed</w:t>
            </w:r>
          </w:p>
        </w:tc>
        <w:tc>
          <w:tcPr>
            <w:tcW w:type="dxa" w:w="1134"/>
          </w:tcPr>
          <w:p>
            <w:r>
              <w:rPr>
                <w:sz w:val="16"/>
              </w:rPr>
              <w:t>-</w:t>
            </w:r>
          </w:p>
        </w:tc>
        <w:tc>
          <w:tcPr>
            <w:tcW w:type="dxa" w:w="1757"/>
          </w:tcPr>
          <w:p>
            <w:r>
              <w:rPr>
                <w:sz w:val="16"/>
              </w:rPr>
              <w:t>scope_item/SC-011</w:t>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TQ-033</w:t>
            </w:r>
          </w:p>
        </w:tc>
        <w:tc>
          <w:tcPr>
            <w:tcW w:type="dxa" w:w="624"/>
          </w:tcPr>
          <w:p>
            <w:r>
              <w:rPr>
                <w:sz w:val="16"/>
              </w:rPr>
              <w:t>5</w:t>
            </w:r>
          </w:p>
        </w:tc>
        <w:tc>
          <w:tcPr>
            <w:tcW w:type="dxa" w:w="1701"/>
          </w:tcPr>
          <w:p>
            <w:r>
              <w:rPr>
                <w:sz w:val="16"/>
              </w:rPr>
              <w:t>Appendix A.19 (codes and standards) and the permits register</w:t>
            </w:r>
          </w:p>
        </w:tc>
        <w:tc>
          <w:tcPr>
            <w:tcW w:type="dxa" w:w="3855"/>
          </w:tcPr>
          <w:p>
            <w:r>
              <w:rPr>
                <w:sz w:val="16"/>
              </w:rPr>
              <w:t>ER-01.07 sets the order of precedence and refers to 'the codes and standards listed in Appendix A.19', but the Contract has no Appendix A.19. The Consortium proposes the attached register (Turkish laws and regulations, Grid Code, codes and standards, each with edition, responsible party and the ER it serves) as Appendix A.19, and the permits register with applicant, supporting deliverables, lead times and need dates. Please confirm: (a) the register as Appendix A.19, editions at the Base Date; (b) the EIA limits (ER-14.02) govern over the Large Combustion Plants Regulation where stricter; (c) the permit split: the Owner applies for and holds the development, permanent-works and operating permits (SC-003), the Contractor for its construction permits; (d) permits PMT-005, PMT-007, PMT-014 have less than 14 days float between approval and need - earlier applications requested; (e) dates of PMT-001 and PMT-002.</w:t>
            </w:r>
          </w:p>
        </w:tc>
        <w:tc>
          <w:tcPr>
            <w:tcW w:type="dxa" w:w="3628"/>
          </w:tcPr>
          <w:p>
            <w:r>
              <w:rPr>
                <w:sz w:val="16"/>
              </w:rPr>
              <w:t>(a) Agreed: the register (with ISO 14001 added by the Owner) is Appendix A.19; editions at the Base Date. (b) Confirmed: the stricter EIA limits of ER-14.02 govern. (c) Confirmed. (d) The Owner applies for PMT-005 on 2026-11-16, PMT-007 on 2027-04-01 (Contractor's design by 2027-03-31) and PMT-014 on 2028-03-15; the Contractor advances its own applications likewise. (e) PMT-001 granted 2026-03-12, PMT-002 granted 2026-05-28.</w:t>
            </w:r>
          </w:p>
        </w:tc>
        <w:tc>
          <w:tcPr>
            <w:tcW w:type="dxa" w:w="1134"/>
          </w:tcPr>
          <w:p>
            <w:r>
              <w:rPr>
                <w:sz w:val="16"/>
              </w:rPr>
              <w:t>contractor proposal accepted</w:t>
            </w:r>
          </w:p>
        </w:tc>
        <w:tc>
          <w:tcPr>
            <w:tcW w:type="dxa" w:w="1134"/>
          </w:tcPr>
          <w:p>
            <w:r>
              <w:rPr>
                <w:sz w:val="16"/>
              </w:rPr>
              <w:t>-</w:t>
            </w:r>
          </w:p>
        </w:tc>
        <w:tc>
          <w:tcPr>
            <w:tcW w:type="dxa" w:w="1757"/>
          </w:tcPr>
          <w:p>
            <w:r>
              <w:rPr>
                <w:sz w:val="16"/>
              </w:rPr>
              <w:t>permit/PMT-001, permit/PMT-002, permit/PMT-005, permit/PMT-007, permit/PMT-014</w:t>
            </w:r>
          </w:p>
        </w:tc>
      </w:tr>
      <w:tr>
        <w:tc>
          <w:tcPr>
            <w:tcW w:type="dxa" w:w="794"/>
          </w:tcPr>
          <w:p>
            <w:r>
              <w:rPr>
                <w:sz w:val="16"/>
              </w:rPr>
              <w:t>TQ-034</w:t>
            </w:r>
          </w:p>
        </w:tc>
        <w:tc>
          <w:tcPr>
            <w:tcW w:type="dxa" w:w="624"/>
          </w:tcPr>
          <w:p>
            <w:r>
              <w:rPr>
                <w:sz w:val="16"/>
              </w:rPr>
              <w:t>6</w:t>
            </w:r>
          </w:p>
        </w:tc>
        <w:tc>
          <w:tcPr>
            <w:tcW w:type="dxa" w:w="1701"/>
          </w:tcPr>
          <w:p>
            <w:r>
              <w:rPr>
                <w:sz w:val="16"/>
              </w:rPr>
              <w:t>Aqueous ammonia storage basis (ER-06.04)</w:t>
            </w:r>
          </w:p>
        </w:tc>
        <w:tc>
          <w:tcPr>
            <w:tcW w:type="dxa" w:w="3855"/>
          </w:tcPr>
          <w:p>
            <w:r>
              <w:rPr>
                <w:sz w:val="16"/>
              </w:rPr>
              <w:t>ER-06.04 requires aqueous ammonia storage for 2 x 7 days at base load. SCR consumption is 125 kg/h on gas and 480 kg/h on LDO (TQ-IEC-018). 7 days on gas is 21 t per tank; 72 h on LDO (the LDO storage autonomy, ER-03.08) needs 34.6 t. Please confirm the basis: 2 x 7 days on gas, and the total also covering 72 h of LDO operation.</w:t>
            </w:r>
          </w:p>
        </w:tc>
        <w:tc>
          <w:tcPr>
            <w:tcW w:type="dxa" w:w="3628"/>
          </w:tcPr>
          <w:p>
            <w:r>
              <w:rPr>
                <w:sz w:val="16"/>
              </w:rPr>
              <w:t>Accepted: 2 x 30 m3 as proposed; ER-06.04 clarified. The ammonia inventory (about 54 t) is added to the major accident notification (PMT-015).</w:t>
            </w:r>
          </w:p>
        </w:tc>
        <w:tc>
          <w:tcPr>
            <w:tcW w:type="dxa" w:w="1134"/>
          </w:tcPr>
          <w:p>
            <w:r>
              <w:rPr>
                <w:sz w:val="16"/>
              </w:rPr>
              <w:t>contractor proposal accepted</w:t>
            </w:r>
          </w:p>
        </w:tc>
        <w:tc>
          <w:tcPr>
            <w:tcW w:type="dxa" w:w="1134"/>
          </w:tcPr>
          <w:p>
            <w:r>
              <w:rPr>
                <w:sz w:val="16"/>
              </w:rPr>
              <w:t>-</w:t>
            </w:r>
          </w:p>
        </w:tc>
        <w:tc>
          <w:tcPr>
            <w:tcW w:type="dxa" w:w="1757"/>
          </w:tcPr>
          <w:p>
            <w:r>
              <w:rPr>
                <w:sz w:val="16"/>
              </w:rPr>
              <w:t>requirement/ER-06.04</w:t>
            </w:r>
          </w:p>
        </w:tc>
      </w:tr>
      <w:tr>
        <w:tc>
          <w:tcPr>
            <w:tcW w:type="dxa" w:w="794"/>
          </w:tcPr>
          <w:p>
            <w:r>
              <w:rPr>
                <w:sz w:val="16"/>
              </w:rPr>
              <w:t>TQ-035</w:t>
            </w:r>
          </w:p>
        </w:tc>
        <w:tc>
          <w:tcPr>
            <w:tcW w:type="dxa" w:w="624"/>
          </w:tcPr>
          <w:p>
            <w:r>
              <w:rPr>
                <w:sz w:val="16"/>
              </w:rPr>
              <w:t>7</w:t>
            </w:r>
          </w:p>
        </w:tc>
        <w:tc>
          <w:tcPr>
            <w:tcW w:type="dxa" w:w="1701"/>
          </w:tcPr>
          <w:p>
            <w:r>
              <w:rPr>
                <w:sz w:val="16"/>
              </w:rPr>
              <w:t>Engineering start-up: KKS key list, document numbering, MDL, review classes and AWP definitions</w:t>
            </w:r>
          </w:p>
        </w:tc>
        <w:tc>
          <w:tcPr>
            <w:tcW w:type="dxa" w:w="3855"/>
          </w:tcPr>
          <w:p>
            <w:r>
              <w:rPr>
                <w:sz w:val="16"/>
              </w:rPr>
              <w:t>(1) ER-17.01 requires the Owner's document numbering, which has not been provided. The consortium proposes ALP-&lt;ORG&gt;-&lt;KKS system or 00000&gt;-&lt;DISC&gt;-&lt;TYPE&gt;-&lt;NNNN&gt; (procedure ALP-EPC-00000-GE-PRC-0002), with the IEC 61355 document class on every document type. Does the Owner accept it as the project numbering? (2) Please approve the project KKS key list (125 function, equipment-unit and component keys, 0 = common / 1 = GT+HRSG / 2 = ST unit numbering) for use in engineering. (3) Please accept the MDL (623 documents incl. the IEC VDRL) as the document baseline, the review classes per document type (approval / review / information / internal) and the Basic Design Package flag (21-day review). (4) Please accept the AWP definitions: 12 CWAs in path-of-construction order, one CWP per CWA and discipline, one EWP per CWP needed 20 working days before the CWP starts, MRs as PWPs (ROS at the first CWP start); IWPs are prepared by the construction contractors from the CWPs.</w:t>
            </w:r>
          </w:p>
        </w:tc>
        <w:tc>
          <w:tcPr>
            <w:tcW w:type="dxa" w:w="3628"/>
          </w:tcPr>
          <w:p>
            <w:r>
              <w:rPr>
                <w:sz w:val="16"/>
              </w:rPr>
              <w:t>(1)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tc>
        <w:tc>
          <w:tcPr>
            <w:tcW w:type="dxa" w:w="1134"/>
          </w:tcPr>
          <w:p>
            <w:r>
              <w:rPr>
                <w:sz w:val="16"/>
              </w:rPr>
              <w:t>requirement changed</w:t>
            </w:r>
          </w:p>
        </w:tc>
        <w:tc>
          <w:tcPr>
            <w:tcW w:type="dxa" w:w="1134"/>
          </w:tcPr>
          <w:p>
            <w:r>
              <w:rPr>
                <w:sz w:val="16"/>
              </w:rPr>
              <w:t>-</w:t>
            </w:r>
          </w:p>
        </w:tc>
        <w:tc>
          <w:tcPr>
            <w:tcW w:type="dxa" w:w="1757"/>
          </w:tcPr>
          <w:p>
            <w:r>
              <w:rPr>
                <w:sz w:val="16"/>
              </w:rPr>
              <w:t>doc_type/LOG</w:t>
            </w:r>
          </w:p>
        </w:tc>
      </w:tr>
      <w:tr>
        <w:tc>
          <w:tcPr>
            <w:tcW w:type="dxa" w:w="794"/>
          </w:tcPr>
          <w:p>
            <w:r>
              <w:rPr>
                <w:sz w:val="16"/>
              </w:rPr>
              <w:t>TQ-036</w:t>
            </w:r>
          </w:p>
        </w:tc>
        <w:tc>
          <w:tcPr>
            <w:tcW w:type="dxa" w:w="624"/>
          </w:tcPr>
          <w:p>
            <w:r>
              <w:rPr>
                <w:sz w:val="16"/>
              </w:rPr>
              <w:t>8</w:t>
            </w:r>
          </w:p>
        </w:tc>
        <w:tc>
          <w:tcPr>
            <w:tcW w:type="dxa" w:w="1701"/>
          </w:tcPr>
          <w:p>
            <w:r>
              <w:rPr>
                <w:sz w:val="16"/>
              </w:rPr>
              <w:t>MDL Rev B baseline: document quantities, new document types, structures and packages</w:t>
            </w:r>
          </w:p>
        </w:tc>
        <w:tc>
          <w:tcPr>
            <w:tcW w:type="dxa" w:w="3855"/>
          </w:tcPr>
          <w:p>
            <w:r>
              <w:rPr>
                <w:sz w:val="16"/>
              </w:rPr>
              <w:t>The consortium re-issues the MDL as Rev B: 2205 documents (1455 EPC, 120 IEC, 630 other suppliers), 21,362 sheets. Rev A (623 documents) missed the per-tag deliverables, the supplier documents of the BOP packages, factory and site tests, system-based commissioning and O&amp;M documents and several permit dossiers. Document quantities now follow rules per system / structure / area / package with estimated quantities until the registers exist. Please accept (1) the MDL Rev B as the document baseline, (2) the new document types TST, TRP, WIR, HUP, SUP, RBR, EFD, MOS, MDB, CEM, HMI with their review classes, (3) the structure keys UZD (pipe racks), UZE (cable trenches), UZF (temporary barge landing), (4) the 14 added procurement packages, (5) the review of supplier documents: EPC reviews all; transmitted to the Owner for approval: supplier P&amp;IDs, ITPs and FAT procedures; for review: GA, datasheets, calculations, schematics, manuals; for information: manufacturing record books.</w:t>
            </w:r>
          </w:p>
        </w:tc>
        <w:tc>
          <w:tcPr>
            <w:tcW w:type="dxa" w:w="3628"/>
          </w:tcPr>
          <w:p>
            <w:r>
              <w:rPr>
                <w:sz w:val="16"/>
              </w:rPr>
              <w:t>(1)-(5) accepted with one change and one condition. Change: fire fighting, escape route and safety signage drawings are submitted to the fire brigade (occupancy permit PMT-020) and are for Owner approval. Condition: the Owner's Engineer review load must be planned; the consortium issues a monthly document issue forecast (from the engineering plan) and transmits in batches of at most 150 documents per week. The new structure keys are approved for engineering (verification with the KKS key list).</w:t>
            </w:r>
          </w:p>
        </w:tc>
        <w:tc>
          <w:tcPr>
            <w:tcW w:type="dxa" w:w="1134"/>
          </w:tcPr>
          <w:p>
            <w:r>
              <w:rPr>
                <w:sz w:val="16"/>
              </w:rPr>
              <w:t>requirement changed</w:t>
            </w:r>
          </w:p>
        </w:tc>
        <w:tc>
          <w:tcPr>
            <w:tcW w:type="dxa" w:w="1134"/>
          </w:tcPr>
          <w:p>
            <w:r>
              <w:rPr>
                <w:sz w:val="16"/>
              </w:rPr>
              <w:t>-</w:t>
            </w:r>
          </w:p>
        </w:tc>
        <w:tc>
          <w:tcPr>
            <w:tcW w:type="dxa" w:w="1757"/>
          </w:tcPr>
          <w:p>
            <w:r>
              <w:rPr>
                <w:sz w:val="16"/>
              </w:rPr>
              <w:t>mdl_rule/DL-HS-ESC</w:t>
            </w:r>
          </w:p>
        </w:tc>
      </w:tr>
      <w:tr>
        <w:tc>
          <w:tcPr>
            <w:tcW w:type="dxa" w:w="794"/>
          </w:tcPr>
          <w:p>
            <w:r>
              <w:rPr>
                <w:sz w:val="16"/>
              </w:rPr>
              <w:t>TQ-037</w:t>
            </w:r>
          </w:p>
        </w:tc>
        <w:tc>
          <w:tcPr>
            <w:tcW w:type="dxa" w:w="624"/>
          </w:tcPr>
          <w:p>
            <w:r>
              <w:rPr>
                <w:sz w:val="16"/>
              </w:rPr>
              <w:t>8</w:t>
            </w:r>
          </w:p>
        </w:tc>
        <w:tc>
          <w:tcPr>
            <w:tcW w:type="dxa" w:w="1701"/>
          </w:tcPr>
          <w:p>
            <w:r>
              <w:rPr>
                <w:sz w:val="16"/>
              </w:rPr>
              <w:t>AWP release rule: progressive EWP release to the IWPs of a CWP</w:t>
            </w:r>
          </w:p>
        </w:tc>
        <w:tc>
          <w:tcPr>
            <w:tcW w:type="dxa" w:w="3855"/>
          </w:tcPr>
          <w:p>
            <w:r>
              <w:rPr>
                <w:sz w:val="16"/>
              </w:rPr>
              <w:t>TQ-035 requires a CWP to be released only when its EWP is complete (all documents IFC). With the Rev B MDL a piping CWP carries up to 2,800 isometric sheets and a civil CWP the reinforcement of every pour; requiring all of them IFC before the first IWP would delay construction by 3-9 months or require engineering staff far above a realistic peak. The consortium proposes: (a) a CWP is released when the documents of its first IWPs are IFC (layouts, GA, foundations, plans: 100 % at release) and its materials for those IWPs are on site or confirmed; (b) progressive documents (isometrics, supports, schematics, loop diagrams, reinforcement, equipment foundations) are released per IWP, planned at CWP start - lead + share x CWP duration per document type; (c) no IWP is issued to the field unless all its documents are IFC and its constraints removed; (d) the EWP completeness per CWP is reported monthly.</w:t>
            </w:r>
          </w:p>
        </w:tc>
        <w:tc>
          <w:tcPr>
            <w:tcW w:type="dxa" w:w="3628"/>
          </w:tcPr>
          <w:p>
            <w:r>
              <w:rPr>
                <w:sz w:val="16"/>
              </w:rPr>
              <w:t>Accepted as proposed, with the condition that the monthly report shows per CWP the IFC status of the documents needed for the next 8 weeks of IWPs, and that a CWP whose first-IWP documents are not IFC is not started. TQ-035 item (4) is amended accordingly.</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TQ-038</w:t>
            </w:r>
          </w:p>
        </w:tc>
        <w:tc>
          <w:tcPr>
            <w:tcW w:type="dxa" w:w="624"/>
          </w:tcPr>
          <w:p>
            <w:r>
              <w:rPr>
                <w:sz w:val="16"/>
              </w:rPr>
              <w:t>9</w:t>
            </w:r>
          </w:p>
        </w:tc>
        <w:tc>
          <w:tcPr>
            <w:tcW w:type="dxa" w:w="1701"/>
          </w:tcPr>
          <w:p>
            <w:r>
              <w:rPr>
                <w:sz w:val="16"/>
              </w:rPr>
              <w:t>Payment milestone MS-02 (Basic Design Package approved, month 3) cannot be met</w:t>
            </w:r>
          </w:p>
        </w:tc>
        <w:tc>
          <w:tcPr>
            <w:tcW w:type="dxa" w:w="3855"/>
          </w:tcPr>
          <w:p>
            <w:r>
              <w:rPr>
                <w:sz w:val="16"/>
              </w:rPr>
              <w:t>Release gate G-OWN-BDP: The Basic Design Package (25 documents, of them 10 P&amp;IDs) must be approved for MS-02 at month 3 (2027-02-02). With the Owner review period for the BDP (21 days, ER-17.01) and the input chain design basis -&gt; system design specification -&gt; P&amp;ID, the earliest possible approval is 2027-03-08 even with unlimited staff; with the planned process team (12 FTE, 9,000 h of P&amp;IDs needed before May 2027 for the long-lead requisitions and the first EWPs) the BDP is approved on 2027-07-21. Please confirm one of: (a) MS-02 split into MS-02a 'BDP batch 1 approved' (design bases, PFDs, HMB, plot plan, SLD, power island P&amp;IDs; month 5) and MS-02b 'BDP batch 2 approved' (BOP P&amp;IDs; month 9), same total percentage; (b) MS-02 at month 9; (c) approval on the tender-stage P&amp;IDs at IFR with the IFC review later. The consortium recommends (a).</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TQ-039</w:t>
            </w:r>
          </w:p>
        </w:tc>
        <w:tc>
          <w:tcPr>
            <w:tcW w:type="dxa" w:w="624"/>
          </w:tcPr>
          <w:p>
            <w:r>
              <w:rPr>
                <w:sz w:val="16"/>
              </w:rPr>
              <w:t>9</w:t>
            </w:r>
          </w:p>
        </w:tc>
        <w:tc>
          <w:tcPr>
            <w:tcW w:type="dxa" w:w="1701"/>
          </w:tcPr>
          <w:p>
            <w:r>
              <w:rPr>
                <w:sz w:val="16"/>
              </w:rPr>
              <w:t>Owner platform levels below +15.00 m (survey ALP-SUR-TOP-001)</w:t>
            </w:r>
          </w:p>
        </w:tc>
        <w:tc>
          <w:tcPr>
            <w:tcW w:type="dxa" w:w="3855"/>
          </w:tcPr>
          <w:p>
            <w:r>
              <w:rPr>
                <w:sz w:val="16"/>
              </w:rPr>
              <w:t>The topographic survey (ALP-EPC-00000-CV-RPT-0003) shows the Owner-levelled platform on average 66 mm below the +15.00 m stated in ER-02.01 / ALP-OWN-GEN-001, with 51 of 208 grid points outside +-0.10 m (systematic fall to the south, old warehouse foundations up to +0.25 m). Trimming to +15.00 m needs about 9,300 m3 of structural fill. Please confirm (a) the acceptance tolerance of the Owner platform and whether the fill below -0.10 m is at the Owner cost, or (b) that the Contractor may set the finished floor and road levels on the as-surveyed platform with local trimming only.</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7d05c4eb26bd0325 | generated 2026-09-28 by EPCE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