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2027-03-01</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360-410 kV; SCL 12-40 kA</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45-70 barg normal/minimum, 40 barg exceptional (72 h/year); 5-25 degC; 115,000 Sm3/h firm</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r>
          </w:p>
        </w:tc>
        <w:tc>
          <w:tcPr>
            <w:tcW w:type="dxa" w:w="2268"/>
          </w:tcPr>
          <w:p>
            <w:r>
              <w:rPr>
                <w:sz w:val="16"/>
              </w:rPr>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3 barg, 20 m3/h</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0b39701e03bffd6f | generated 2026-09-27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