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47.48 MJ/kg (ISO 6976, combustion reference 25 degC, from the reference composition; 34.78 MJ/Sm3 at 15 degC).</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 Intervals are counted in equivalent operating hours with the OEM start and trip factors (TQ-IEC-010); no calendar interval applies.</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(24.5 %) storage in 2 tanks, each for 7 days at base load on natural gas, together covering 72 h of LDO operation (2 x 30 m3), unloading from road tankers, vaporisation and dosing with leak detection and bunding (TQ-034).</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project numbering (consortium proposal adopted by the Owner in TQ-035: ALP-&lt;ORG&gt;-&lt;KKS&gt;-&lt;DISC&gt;-&lt;TYPE&gt;-&lt;NNNN&gt;)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Basic Design Package batch 1 approved and power island order</w:t>
            </w:r>
          </w:p>
        </w:tc>
        <w:tc>
          <w:tcPr>
            <w:tcW w:type="dxa" w:w="4819"/>
          </w:tcPr>
          <w:p>
            <w:r>
              <w:rPr>
                <w:sz w:val="16"/>
              </w:rPr>
              <w:t>Owner approval of the Basic Design Package batch 1 (design bases, heat balances, PFDs, key SLD, plot plan, layouts, DCS architecture) and evidence of firm power island sub-orders</w:t>
            </w:r>
          </w:p>
        </w:tc>
        <w:tc>
          <w:tcPr>
            <w:tcW w:type="dxa" w:w="1247"/>
          </w:tcPr>
          <w:p>
            <w:r>
              <w:rPr>
                <w:sz w:val="16"/>
              </w:rPr>
              <w:t>5</w:t>
            </w:r>
          </w:p>
        </w:tc>
        <w:tc>
          <w:tcPr>
            <w:tcW w:type="dxa" w:w="907"/>
          </w:tcPr>
          <w:p>
            <w:r>
              <w:rPr>
                <w:sz w:val="16"/>
              </w:rPr>
              <w:t>4 %</w:t>
            </w:r>
          </w:p>
        </w:tc>
        <w:tc>
          <w:tcPr>
            <w:tcW w:type="dxa" w:w="1984"/>
          </w:tcPr>
          <w:p>
            <w:r>
              <w:rPr>
                <w:sz w:val="16"/>
              </w:rPr>
              <w:t>EUR 21,299,200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MS-13</w:t>
            </w:r>
          </w:p>
        </w:tc>
        <w:tc>
          <w:tcPr>
            <w:tcW w:type="dxa" w:w="2835"/>
          </w:tcPr>
          <w:p>
            <w:r>
              <w:rPr>
                <w:sz w:val="16"/>
              </w:rPr>
              <w:t>Basic Design Package batch 2 approved</w:t>
            </w:r>
          </w:p>
        </w:tc>
        <w:tc>
          <w:tcPr>
            <w:tcW w:type="dxa" w:w="4819"/>
          </w:tcPr>
          <w:p>
            <w:r>
              <w:rPr>
                <w:sz w:val="16"/>
              </w:rPr>
              <w:t>Owner approval of the Basic Design Package batch 2 (BOP P&amp;IDs)</w:t>
            </w:r>
          </w:p>
        </w:tc>
        <w:tc>
          <w:tcPr>
            <w:tcW w:type="dxa" w:w="1247"/>
          </w:tcPr>
          <w:p>
            <w:r>
              <w:rPr>
                <w:sz w:val="16"/>
              </w:rPr>
              <w:t>9</w:t>
            </w:r>
          </w:p>
        </w:tc>
        <w:tc>
          <w:tcPr>
            <w:tcW w:type="dxa" w:w="907"/>
          </w:tcPr>
          <w:p>
            <w:r>
              <w:rPr>
                <w:sz w:val="16"/>
              </w:rPr>
              <w:t>4 %</w:t>
            </w:r>
          </w:p>
        </w:tc>
        <w:tc>
          <w:tcPr>
            <w:tcW w:type="dxa" w:w="1984"/>
          </w:tcPr>
          <w:p>
            <w:r>
              <w:rPr>
                <w:sz w:val="16"/>
              </w:rPr>
              <w:t>EUR 21,299,200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65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 by IEC, integrated with the plant DCS: native graphics and alarms on the DCS operator stations, one KKS tag database, common time synchronisation, separate IEC 62443 zone (IF-40)</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2027-02-01</w:t>
            </w:r>
          </w:p>
        </w:tc>
      </w:tr>
      <w:tr>
        <w:tc>
          <w:tcPr>
            <w:tcW w:type="dxa" w:w="850"/>
          </w:tcPr>
          <w:p>
            <w:r>
              <w:rPr>
                <w:sz w:val="16"/>
              </w:rPr>
              <w:t>TP-A2</w:t>
            </w:r>
          </w:p>
        </w:tc>
        <w:tc>
          <w:tcPr>
            <w:tcW w:type="dxa" w:w="1701"/>
          </w:tcPr>
          <w:p>
            <w:r>
              <w:rPr>
                <w:sz w:val="16"/>
              </w:rPr>
              <w:t>Site (plot) handover</w:t>
            </w:r>
          </w:p>
        </w:tc>
        <w:tc>
          <w:tcPr>
            <w:tcW w:type="dxa" w:w="2154"/>
          </w:tcPr>
          <w:p>
            <w:r>
              <w:rPr>
                <w:sz w:val="16"/>
              </w:rPr>
              <w:t>Plot E 0-400, N 0-300 (plant grid), levelled to +15.0 m</w:t>
            </w:r>
          </w:p>
        </w:tc>
        <w:tc>
          <w:tcPr>
            <w:tcW w:type="dxa" w:w="1361"/>
          </w:tcPr>
          <w:p>
            <w:r>
              <w:rPr>
                <w:sz w:val="16"/>
              </w:rPr>
            </w:r>
          </w:p>
        </w:tc>
        <w:tc>
          <w:tcPr>
            <w:tcW w:type="dxa" w:w="2268"/>
          </w:tcPr>
          <w:p>
            <w:r>
              <w:rPr>
                <w:sz w:val="16"/>
              </w:rPr>
              <w:t>East strip E 370-400 available 2027-06-30 (needed by the Contractor 2027-09-01 for the gas station civil works).</w:t>
            </w:r>
          </w:p>
        </w:tc>
        <w:tc>
          <w:tcPr>
            <w:tcW w:type="dxa" w:w="2835"/>
          </w:tcPr>
          <w:p>
            <w:r>
              <w:rPr>
                <w:sz w:val="16"/>
              </w:rPr>
              <w:t>Plot free of encumbrances, levelled to +15.0 m, boundary monuments; relocation of the buried 11 kV cable (E 390) by 2027-06-30</w:t>
            </w:r>
          </w:p>
        </w:tc>
        <w:tc>
          <w:tcPr>
            <w:tcW w:type="dxa" w:w="2608"/>
          </w:tcPr>
          <w:p>
            <w:r>
              <w:rPr>
                <w:sz w:val="16"/>
              </w:rPr>
              <w:t>All works within the plot from the access date</w:t>
            </w:r>
          </w:p>
        </w:tc>
        <w:tc>
          <w:tcPr>
            <w:tcW w:type="dxa" w:w="1134"/>
          </w:tcPr>
          <w:p>
            <w:r>
              <w:rPr>
                <w:sz w:val="16"/>
              </w:rPr>
              <w:t>2026-11-02</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380 kV nominal, 420 kV highest; 360-410 kV normal, 342-420 kV up to 30 min; 49.0-51.0 Hz; short-circuit 12-40 kA (2029), 50 kA (2035 planning); connection capacity 640 MW export / 40 MW import (ALP-OWN-ELE-001).</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t>34.5 kV +/- 10 %, 5 MVA, prospective short-circuit 12.5 kA (distribution company).</w:t>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Normal 55-65 barg; minimum 45 barg for full load; exceptional 40 barg up to 72 h/year (GT load limited, ER-03.03); MOP 70 / MAOP 75 barg; 5-25 degC; 115,000 Sm3/h firm (density 0.7325 kg/Sm3 at 15 degC, reference gas).</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t>4 in tanker coupling (API RP 1004 bottom loading / dry-break)</w:t>
            </w:r>
          </w:p>
        </w:tc>
        <w:tc>
          <w:tcPr>
            <w:tcW w:type="dxa" w:w="2268"/>
          </w:tcPr>
          <w:p>
            <w:r>
              <w:rPr>
                <w:sz w:val="16"/>
              </w:rPr>
              <w:t>Up to 25 trucks/day (about 30 m3 each); 4 bays at about 100 m3/h each unloading pump set; LDO per TS EN 590 based specification.</w:t>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t>Heaviest pieces (IEC-ALP-REQ-001 section 10): GT core engine 405 t (13.2 x 5.9 x 5.6 m, about 480 t gross on SPMT), GT generator stator 340 t, GT GSU 268 t; landing and haul road designed for 480 t gross SPMT loads.</w:t>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t>6 m asphalt, state road bridges limited to 120 t gross vehicle weight; components above about 90 t via the barge landing TP-M1 (ALP-OWN-GEN-001 section 3).</w:t>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TP-T2</w:t>
            </w:r>
          </w:p>
        </w:tc>
        <w:tc>
          <w:tcPr>
            <w:tcW w:type="dxa" w:w="1701"/>
          </w:tcPr>
          <w:p>
            <w:r>
              <w:rPr>
                <w:sz w:val="16"/>
              </w:rPr>
              <w:t>Emission data link to the environmental authority</w:t>
            </w:r>
          </w:p>
        </w:tc>
        <w:tc>
          <w:tcPr>
            <w:tcW w:type="dxa" w:w="2154"/>
          </w:tcPr>
          <w:p>
            <w:r>
              <w:rPr>
                <w:sz w:val="16"/>
              </w:rPr>
              <w:t>CEMS data logger in the control building</w:t>
            </w:r>
          </w:p>
        </w:tc>
        <w:tc>
          <w:tcPr>
            <w:tcW w:type="dxa" w:w="1361"/>
          </w:tcPr>
          <w:p>
            <w:r>
              <w:rPr>
                <w:sz w:val="16"/>
              </w:rPr>
            </w:r>
          </w:p>
        </w:tc>
        <w:tc>
          <w:tcPr>
            <w:tcW w:type="dxa" w:w="2268"/>
          </w:tcPr>
          <w:p>
            <w:r>
              <w:rPr>
                <w:sz w:val="16"/>
              </w:rPr>
            </w:r>
          </w:p>
        </w:tc>
        <w:tc>
          <w:tcPr>
            <w:tcW w:type="dxa" w:w="2835"/>
          </w:tcPr>
          <w:p>
            <w:r>
              <w:rPr>
                <w:sz w:val="16"/>
              </w:rPr>
              <w:t>Registration of the plant with the Ministry's continuous emission monitoring centre, credentials, connection agreement</w:t>
            </w:r>
          </w:p>
        </w:tc>
        <w:tc>
          <w:tcPr>
            <w:tcW w:type="dxa" w:w="2608"/>
          </w:tcPr>
          <w:p>
            <w:r>
              <w:rPr>
                <w:sz w:val="16"/>
              </w:rPr>
              <w:t>CEMS, data acquisition and the data link (SC-038) up to the Ministry server interface</w:t>
            </w:r>
          </w:p>
        </w:tc>
        <w:tc>
          <w:tcPr>
            <w:tcW w:type="dxa" w:w="1134"/>
          </w:tcPr>
          <w:p>
            <w:r>
              <w:rPr>
                <w:sz w:val="16"/>
              </w:rPr>
              <w:t>2028-08-01</w:t>
            </w:r>
          </w:p>
        </w:tc>
      </w:tr>
      <w:tr>
        <w:tc>
          <w:tcPr>
            <w:tcW w:type="dxa" w:w="850"/>
          </w:tcPr>
          <w:p>
            <w:r>
              <w:rPr>
                <w:sz w:val="16"/>
              </w:rPr>
              <w:t>TP-T3</w:t>
            </w:r>
          </w:p>
        </w:tc>
        <w:tc>
          <w:tcPr>
            <w:tcW w:type="dxa" w:w="1701"/>
          </w:tcPr>
          <w:p>
            <w:r>
              <w:rPr>
                <w:sz w:val="16"/>
              </w:rPr>
              <w:t>TSO SCADA and revenue metering link</w:t>
            </w:r>
          </w:p>
        </w:tc>
        <w:tc>
          <w:tcPr>
            <w:tcW w:type="dxa" w:w="2154"/>
          </w:tcPr>
          <w:p>
            <w:r>
              <w:rPr>
                <w:sz w:val="16"/>
              </w:rPr>
              <w:t>TSO RTU and metering cubicle in the control building</w:t>
            </w:r>
          </w:p>
        </w:tc>
        <w:tc>
          <w:tcPr>
            <w:tcW w:type="dxa" w:w="1361"/>
          </w:tcPr>
          <w:p>
            <w:r>
              <w:rPr>
                <w:sz w:val="16"/>
              </w:rPr>
            </w:r>
          </w:p>
        </w:tc>
        <w:tc>
          <w:tcPr>
            <w:tcW w:type="dxa" w:w="2268"/>
          </w:tcPr>
          <w:p>
            <w:r>
              <w:rPr>
                <w:sz w:val="16"/>
              </w:rPr>
            </w:r>
          </w:p>
        </w:tc>
        <w:tc>
          <w:tcPr>
            <w:tcW w:type="dxa" w:w="2835"/>
          </w:tcPr>
          <w:p>
            <w:r>
              <w:rPr>
                <w:sz w:val="16"/>
              </w:rPr>
              <w:t>TSO signal list and protocol, TSO end of the link, OPGW on the Owner's line</w:t>
            </w:r>
          </w:p>
        </w:tc>
        <w:tc>
          <w:tcPr>
            <w:tcW w:type="dxa" w:w="2608"/>
          </w:tcPr>
          <w:p>
            <w:r>
              <w:rPr>
                <w:sz w:val="16"/>
              </w:rPr>
              <w:t>RTU, revenue meters, fibre from the gantry joint box, telecom equipment (SC-035)</w:t>
            </w:r>
          </w:p>
        </w:tc>
        <w:tc>
          <w:tcPr>
            <w:tcW w:type="dxa" w:w="1134"/>
          </w:tcPr>
          <w:p>
            <w:r>
              <w:rPr>
                <w:sz w:val="16"/>
              </w:rPr>
              <w:t>2028-05-01</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2.5-6.0 barg at the meter outlet, 20 m3/h (municipal supply), potable quality per the Turkish drinking water regulation.</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density at 15 degC</w:t>
            </w:r>
          </w:p>
        </w:tc>
        <w:tc>
          <w:tcPr>
            <w:tcW w:type="dxa" w:w="1701"/>
          </w:tcPr>
          <w:p>
            <w:r>
              <w:rPr>
                <w:sz w:val="16"/>
              </w:rPr>
              <w:t>820 to 845 (840 for sizing)</w:t>
            </w:r>
          </w:p>
        </w:tc>
        <w:tc>
          <w:tcPr>
            <w:tcW w:type="dxa" w:w="1361"/>
          </w:tcPr>
          <w:p>
            <w:r>
              <w:rPr>
                <w:sz w:val="16"/>
              </w:rPr>
              <w:t>kg/m3</w:t>
            </w:r>
          </w:p>
        </w:tc>
        <w:tc>
          <w:tcPr>
            <w:tcW w:type="dxa" w:w="3969"/>
          </w:tcPr>
          <w:p>
            <w:r>
              <w:rPr>
                <w:sz w:val="16"/>
              </w:rPr>
            </w:r>
          </w:p>
        </w:tc>
        <w:tc>
          <w:tcPr>
            <w:tcW w:type="dxa" w:w="1701"/>
          </w:tcPr>
          <w:p>
            <w:r>
              <w:rPr>
                <w:sz w:val="16"/>
              </w:rPr>
              <w:t>REF-CONS-0096, SRC-OWNR-0004</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47.48</w:t>
            </w:r>
          </w:p>
        </w:tc>
        <w:tc>
          <w:tcPr>
            <w:tcW w:type="dxa" w:w="1361"/>
          </w:tcPr>
          <w:p>
            <w:r>
              <w:rPr>
                <w:sz w:val="16"/>
              </w:rPr>
              <w:t>MJ/kg</w:t>
            </w:r>
          </w:p>
        </w:tc>
        <w:tc>
          <w:tcPr>
            <w:tcW w:type="dxa" w:w="3969"/>
          </w:tcPr>
          <w:p>
            <w:r>
              <w:rPr>
                <w:sz w:val="16"/>
              </w:rPr>
              <w:t>reference composition, ISO 6976, combustion reference 25 degC</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120000</w:t>
            </w:r>
          </w:p>
        </w:tc>
        <w:tc>
          <w:tcPr>
            <w:tcW w:type="dxa" w:w="1361"/>
          </w:tcPr>
          <w:p>
            <w:r>
              <w:rPr>
                <w:sz w:val="16"/>
              </w:rPr>
              <w:t>Sm3/h</w:t>
            </w:r>
          </w:p>
        </w:tc>
        <w:tc>
          <w:tcPr>
            <w:tcW w:type="dxa" w:w="3969"/>
          </w:tcPr>
          <w:p>
            <w:r>
              <w:rPr>
                <w:sz w:val="16"/>
              </w:rPr>
              <w:t>firm from the first gas date (TQ-040), 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other</w:t>
            </w:r>
          </w:p>
        </w:tc>
        <w:tc>
          <w:tcPr>
            <w:tcW w:type="dxa" w:w="4252"/>
          </w:tcPr>
          <w:p>
            <w:r>
              <w:rPr>
                <w:sz w:val="16"/>
              </w:rPr>
              <w:t>Fire water design flow and pressure</w:t>
            </w:r>
          </w:p>
        </w:tc>
        <w:tc>
          <w:tcPr>
            <w:tcW w:type="dxa" w:w="1701"/>
          </w:tcPr>
          <w:p>
            <w:r>
              <w:rPr>
                <w:sz w:val="16"/>
              </w:rPr>
              <w:t>341</w:t>
            </w:r>
          </w:p>
        </w:tc>
        <w:tc>
          <w:tcPr>
            <w:tcW w:type="dxa" w:w="1361"/>
          </w:tcPr>
          <w:p>
            <w:r>
              <w:rPr>
                <w:sz w:val="16"/>
              </w:rPr>
              <w:t>m3/h</w:t>
            </w:r>
          </w:p>
        </w:tc>
        <w:tc>
          <w:tcPr>
            <w:tcW w:type="dxa" w:w="3969"/>
          </w:tcPr>
          <w:p>
            <w:r>
              <w:rPr>
                <w:sz w:val="16"/>
              </w:rPr>
              <w:t>1,500 gpm at 110 m; largest single hazard (LDO tank) plus 500 gpm hose</w:t>
            </w:r>
          </w:p>
        </w:tc>
        <w:tc>
          <w:tcPr>
            <w:tcW w:type="dxa" w:w="1701"/>
          </w:tcPr>
          <w:p>
            <w:r>
              <w:rPr>
                <w:sz w:val="16"/>
              </w:rPr>
              <w:t>REF-CONS-0069, REF-CONS-0070, DEC-EPCE-0014</w:t>
            </w:r>
          </w:p>
        </w:tc>
      </w:tr>
      <w:tr>
        <w:tc>
          <w:tcPr>
            <w:tcW w:type="dxa" w:w="1361"/>
          </w:tcPr>
          <w:p>
            <w:r>
              <w:rPr>
                <w:sz w:val="16"/>
              </w:rPr>
              <w:t>other</w:t>
            </w:r>
          </w:p>
        </w:tc>
        <w:tc>
          <w:tcPr>
            <w:tcW w:type="dxa" w:w="4252"/>
          </w:tcPr>
          <w:p>
            <w:r>
              <w:rPr>
                <w:sz w:val="16"/>
              </w:rPr>
              <w:t>Fire water storage</w:t>
            </w:r>
          </w:p>
        </w:tc>
        <w:tc>
          <w:tcPr>
            <w:tcW w:type="dxa" w:w="1701"/>
          </w:tcPr>
          <w:p>
            <w:r>
              <w:rPr>
                <w:sz w:val="16"/>
              </w:rPr>
              <w:t>700</w:t>
            </w:r>
          </w:p>
        </w:tc>
        <w:tc>
          <w:tcPr>
            <w:tcW w:type="dxa" w:w="1361"/>
          </w:tcPr>
          <w:p>
            <w:r>
              <w:rPr>
                <w:sz w:val="16"/>
              </w:rPr>
              <w:t>m3</w:t>
            </w:r>
          </w:p>
        </w:tc>
        <w:tc>
          <w:tcPr>
            <w:tcW w:type="dxa" w:w="3969"/>
          </w:tcPr>
          <w:p>
            <w:r>
              <w:rPr>
                <w:sz w:val="16"/>
              </w:rPr>
              <w:t>2 x 100 % tanks, 2 h</w:t>
            </w:r>
          </w:p>
        </w:tc>
        <w:tc>
          <w:tcPr>
            <w:tcW w:type="dxa" w:w="1701"/>
          </w:tcPr>
          <w:p>
            <w:r>
              <w:rPr>
                <w:sz w:val="16"/>
              </w:rPr>
              <w:t>REF-CONS-0069, DEC-EPCE-0014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Plant grid origin in UTM zone 35N (E 0 / N 0)</w:t>
            </w:r>
          </w:p>
        </w:tc>
        <w:tc>
          <w:tcPr>
            <w:tcW w:type="dxa" w:w="1701"/>
          </w:tcPr>
          <w:p>
            <w:r>
              <w:rPr>
                <w:sz w:val="16"/>
              </w:rPr>
              <w:t>E 541,250.000 m / N 4,532,480.000 m</w:t>
            </w:r>
          </w:p>
        </w:tc>
        <w:tc>
          <w:tcPr>
            <w:tcW w:type="dxa" w:w="1361"/>
          </w:tcPr>
          <w:p>
            <w:r>
              <w:rPr>
                <w:sz w:val="16"/>
              </w:rPr>
              <w:t>m</w:t>
            </w:r>
          </w:p>
        </w:tc>
        <w:tc>
          <w:tcPr>
            <w:tcW w:type="dxa" w:w="3969"/>
          </w:tcPr>
          <w:p>
            <w:r>
              <w:rPr>
                <w:sz w:val="16"/>
              </w:rPr>
              <w:t>TUREF (ITRF96), south-west plot corner</w:t>
            </w:r>
          </w:p>
        </w:tc>
        <w:tc>
          <w:tcPr>
            <w:tcW w:type="dxa" w:w="1701"/>
          </w:tcPr>
          <w:p>
            <w:r>
              <w:rPr>
                <w:sz w:val="16"/>
              </w:rPr>
              <w:t>SRC-EPCE-0011</w:t>
            </w:r>
          </w:p>
        </w:tc>
      </w:tr>
      <w:tr>
        <w:tc>
          <w:tcPr>
            <w:tcW w:type="dxa" w:w="1361"/>
          </w:tcPr>
          <w:p>
            <w:r>
              <w:rPr>
                <w:sz w:val="16"/>
              </w:rPr>
              <w:t>site</w:t>
            </w:r>
          </w:p>
        </w:tc>
        <w:tc>
          <w:tcPr>
            <w:tcW w:type="dxa" w:w="4252"/>
          </w:tcPr>
          <w:p>
            <w:r>
              <w:rPr>
                <w:sz w:val="16"/>
              </w:rPr>
              <w:t>Rotation plant grid to UTM grid</w:t>
            </w:r>
          </w:p>
        </w:tc>
        <w:tc>
          <w:tcPr>
            <w:tcW w:type="dxa" w:w="1701"/>
          </w:tcPr>
          <w:p>
            <w:r>
              <w:rPr>
                <w:sz w:val="16"/>
              </w:rPr>
              <w:t>-0.3281</w:t>
            </w:r>
          </w:p>
        </w:tc>
        <w:tc>
          <w:tcPr>
            <w:tcW w:type="dxa" w:w="1361"/>
          </w:tcPr>
          <w:p>
            <w:r>
              <w:rPr>
                <w:sz w:val="16"/>
              </w:rPr>
              <w:t>deg</w:t>
            </w:r>
          </w:p>
        </w:tc>
        <w:tc>
          <w:tcPr>
            <w:tcW w:type="dxa" w:w="3969"/>
          </w:tcPr>
          <w:p>
            <w:r>
              <w:rPr>
                <w:sz w:val="16"/>
              </w:rPr>
              <w:t>plant north = true north; grid convergence at site</w:t>
            </w:r>
          </w:p>
        </w:tc>
        <w:tc>
          <w:tcPr>
            <w:tcW w:type="dxa" w:w="1701"/>
          </w:tcPr>
          <w:p>
            <w:r>
              <w:rPr>
                <w:sz w:val="16"/>
              </w:rPr>
              <w:t>SRC-EPCE-0011</w:t>
            </w:r>
          </w:p>
        </w:tc>
      </w:tr>
      <w:tr>
        <w:tc>
          <w:tcPr>
            <w:tcW w:type="dxa" w:w="1361"/>
          </w:tcPr>
          <w:p>
            <w:r>
              <w:rPr>
                <w:sz w:val="16"/>
              </w:rPr>
              <w:t>site</w:t>
            </w:r>
          </w:p>
        </w:tc>
        <w:tc>
          <w:tcPr>
            <w:tcW w:type="dxa" w:w="4252"/>
          </w:tcPr>
          <w:p>
            <w:r>
              <w:rPr>
                <w:sz w:val="16"/>
              </w:rPr>
              <w:t>Scale factor plant grid to UTM</w:t>
            </w:r>
          </w:p>
        </w:tc>
        <w:tc>
          <w:tcPr>
            <w:tcW w:type="dxa" w:w="1701"/>
          </w:tcPr>
          <w:p>
            <w:r>
              <w:rPr>
                <w:sz w:val="16"/>
              </w:rPr>
              <w:t>0.999612</w:t>
            </w:r>
          </w:p>
        </w:tc>
        <w:tc>
          <w:tcPr>
            <w:tcW w:type="dxa" w:w="1361"/>
          </w:tcPr>
          <w:p>
            <w:r>
              <w:rPr>
                <w:sz w:val="16"/>
              </w:rPr>
              <w:t>-</w:t>
            </w:r>
          </w:p>
        </w:tc>
        <w:tc>
          <w:tcPr>
            <w:tcW w:type="dxa" w:w="3969"/>
          </w:tcPr>
          <w:p>
            <w:r>
              <w:rPr>
                <w:sz w:val="16"/>
              </w:rPr>
              <w:t>combined UTM point scale and height factor</w:t>
            </w:r>
          </w:p>
        </w:tc>
        <w:tc>
          <w:tcPr>
            <w:tcW w:type="dxa" w:w="1701"/>
          </w:tcPr>
          <w:p>
            <w:r>
              <w:rPr>
                <w:sz w:val="16"/>
              </w:rPr>
              <w:t>SRC-EPCE-0011</w:t>
            </w:r>
          </w:p>
        </w:tc>
      </w:tr>
      <w:tr>
        <w:tc>
          <w:tcPr>
            <w:tcW w:type="dxa" w:w="1361"/>
          </w:tcPr>
          <w:p>
            <w:r>
              <w:rPr>
                <w:sz w:val="16"/>
              </w:rPr>
              <w:t>site</w:t>
            </w:r>
          </w:p>
        </w:tc>
        <w:tc>
          <w:tcPr>
            <w:tcW w:type="dxa" w:w="4252"/>
          </w:tcPr>
          <w:p>
            <w:r>
              <w:rPr>
                <w:sz w:val="16"/>
              </w:rPr>
              <w:t>Height datum</w:t>
            </w:r>
          </w:p>
        </w:tc>
        <w:tc>
          <w:tcPr>
            <w:tcW w:type="dxa" w:w="1701"/>
          </w:tcPr>
          <w:p>
            <w:r>
              <w:rPr>
                <w:sz w:val="16"/>
              </w:rPr>
              <w:t>TUDKA-99 orthometric heights (m a.s.l.)</w:t>
            </w:r>
          </w:p>
        </w:tc>
        <w:tc>
          <w:tcPr>
            <w:tcW w:type="dxa" w:w="1361"/>
          </w:tcPr>
          <w:p>
            <w:r>
              <w:rPr>
                <w:sz w:val="16"/>
              </w:rPr>
            </w:r>
          </w:p>
        </w:tc>
        <w:tc>
          <w:tcPr>
            <w:tcW w:type="dxa" w:w="3969"/>
          </w:tcPr>
          <w:p>
            <w:r>
              <w:rPr>
                <w:sz w:val="16"/>
              </w:rPr>
            </w:r>
          </w:p>
        </w:tc>
        <w:tc>
          <w:tcPr>
            <w:tcW w:type="dxa" w:w="1701"/>
          </w:tcPr>
          <w:p>
            <w:r>
              <w:rPr>
                <w:sz w:val="16"/>
              </w:rPr>
              <w:t>SRC-EPCE-0011</w:t>
            </w:r>
          </w:p>
        </w:tc>
      </w:tr>
      <w:tr>
        <w:tc>
          <w:tcPr>
            <w:tcW w:type="dxa" w:w="1361"/>
          </w:tcPr>
          <w:p>
            <w:r>
              <w:rPr>
                <w:sz w:val="16"/>
              </w:rPr>
              <w:t>site</w:t>
            </w:r>
          </w:p>
        </w:tc>
        <w:tc>
          <w:tcPr>
            <w:tcW w:type="dxa" w:w="4252"/>
          </w:tcPr>
          <w:p>
            <w:r>
              <w:rPr>
                <w:sz w:val="16"/>
              </w:rPr>
              <w:t>Platform level acceptance tolerance</w:t>
            </w:r>
          </w:p>
        </w:tc>
        <w:tc>
          <w:tcPr>
            <w:tcW w:type="dxa" w:w="1701"/>
          </w:tcPr>
          <w:p>
            <w:r>
              <w:rPr>
                <w:sz w:val="16"/>
              </w:rPr>
              <w:t>0.15</w:t>
            </w:r>
          </w:p>
        </w:tc>
        <w:tc>
          <w:tcPr>
            <w:tcW w:type="dxa" w:w="1361"/>
          </w:tcPr>
          <w:p>
            <w:r>
              <w:rPr>
                <w:sz w:val="16"/>
              </w:rPr>
              <w:t>m</w:t>
            </w:r>
          </w:p>
        </w:tc>
        <w:tc>
          <w:tcPr>
            <w:tcW w:type="dxa" w:w="3969"/>
          </w:tcPr>
          <w:p>
            <w:r>
              <w:rPr>
                <w:sz w:val="16"/>
              </w:rPr>
              <w:t>Owner-levelled platform +15.00 m</w:t>
            </w:r>
          </w:p>
        </w:tc>
        <w:tc>
          <w:tcPr>
            <w:tcW w:type="dxa" w:w="1701"/>
          </w:tcPr>
          <w:p>
            <w:r>
              <w:rPr>
                <w:sz w:val="16"/>
              </w:rPr>
              <w:t>DEC-OWNR-0002</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DISCO</w:t>
            </w:r>
          </w:p>
        </w:tc>
        <w:tc>
          <w:tcPr>
            <w:tcW w:type="dxa" w:w="3402"/>
          </w:tcPr>
          <w:p>
            <w:r>
              <w:rPr>
                <w:sz w:val="16"/>
              </w:rPr>
              <w:t>Regional electricity distribution company (construction power)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DSI</w:t>
            </w:r>
          </w:p>
        </w:tc>
        <w:tc>
          <w:tcPr>
            <w:tcW w:type="dxa" w:w="3402"/>
          </w:tcPr>
          <w:p>
            <w:r>
              <w:rPr>
                <w:sz w:val="16"/>
              </w:rPr>
              <w:t>General Directorate of State Hydraulic Works (surface and groundwater)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EMRA</w:t>
            </w:r>
          </w:p>
        </w:tc>
        <w:tc>
          <w:tcPr>
            <w:tcW w:type="dxa" w:w="3402"/>
          </w:tcPr>
          <w:p>
            <w:r>
              <w:rPr>
                <w:sz w:val="16"/>
              </w:rPr>
              <w:t>Energy Market Regulatory Authority (EPDK)</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GASNO</w:t>
            </w:r>
          </w:p>
        </w:tc>
        <w:tc>
          <w:tcPr>
            <w:tcW w:type="dxa" w:w="3402"/>
          </w:tcPr>
          <w:p>
            <w:r>
              <w:rPr>
                <w:sz w:val="16"/>
              </w:rPr>
              <w:t>Natural gas transmission network operator (connection and station approval)</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KGM</w:t>
            </w:r>
          </w:p>
        </w:tc>
        <w:tc>
          <w:tcPr>
            <w:tcW w:type="dxa" w:w="3402"/>
          </w:tcPr>
          <w:p>
            <w:r>
              <w:rPr>
                <w:sz w:val="16"/>
              </w:rPr>
              <w:t>General Directorate of Highways (abnormal load permits)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MENR</w:t>
            </w:r>
          </w:p>
        </w:tc>
        <w:tc>
          <w:tcPr>
            <w:tcW w:type="dxa" w:w="3402"/>
          </w:tcPr>
          <w:p>
            <w:r>
              <w:rPr>
                <w:sz w:val="16"/>
              </w:rPr>
              <w:t>Ministry of Energy and Natural Resources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MOCT</w:t>
            </w:r>
          </w:p>
        </w:tc>
        <w:tc>
          <w:tcPr>
            <w:tcW w:type="dxa" w:w="3402"/>
          </w:tcPr>
          <w:p>
            <w:r>
              <w:rPr>
                <w:sz w:val="16"/>
              </w:rPr>
              <w:t>Ministry of Culture and Tourism (regional museum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MOEUCC</w:t>
            </w:r>
          </w:p>
        </w:tc>
        <w:tc>
          <w:tcPr>
            <w:tcW w:type="dxa" w:w="3402"/>
          </w:tcPr>
          <w:p>
            <w:r>
              <w:rPr>
                <w:sz w:val="16"/>
              </w:rPr>
              <w:t>Ministry of Environment, Urbanisation and Climate Change (and its Provincial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MOIT</w:t>
            </w:r>
          </w:p>
        </w:tc>
        <w:tc>
          <w:tcPr>
            <w:tcW w:type="dxa" w:w="3402"/>
          </w:tcPr>
          <w:p>
            <w:r>
              <w:rPr>
                <w:sz w:val="16"/>
              </w:rPr>
              <w:t>Ministry of Industry and Technology (market surveillance of products)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MOLSS</w:t>
            </w:r>
          </w:p>
        </w:tc>
        <w:tc>
          <w:tcPr>
            <w:tcW w:type="dxa" w:w="3402"/>
          </w:tcPr>
          <w:p>
            <w:r>
              <w:rPr>
                <w:sz w:val="16"/>
              </w:rPr>
              <w:t>Ministry of Labour and Social Security (OHS inspection)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MOTI</w:t>
            </w:r>
          </w:p>
        </w:tc>
        <w:tc>
          <w:tcPr>
            <w:tcW w:type="dxa" w:w="3402"/>
          </w:tcPr>
          <w:p>
            <w:r>
              <w:rPr>
                <w:sz w:val="16"/>
              </w:rPr>
              <w:t>Ministry of Transport and Infrastructure (Harbour Master, coastal structures)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MUNI</w:t>
            </w:r>
          </w:p>
        </w:tc>
        <w:tc>
          <w:tcPr>
            <w:tcW w:type="dxa" w:w="3402"/>
          </w:tcPr>
          <w:p>
            <w:r>
              <w:rPr>
                <w:sz w:val="16"/>
              </w:rPr>
              <w:t>District municipality / provincial special administration (building, occupancy, fire approval, 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NDK</w:t>
            </w:r>
          </w:p>
        </w:tc>
        <w:tc>
          <w:tcPr>
            <w:tcW w:type="dxa" w:w="3402"/>
          </w:tcPr>
          <w:p>
            <w:r>
              <w:rPr>
                <w:sz w:val="16"/>
              </w:rPr>
              <w:t>Nuclear Regulatory Authority (radiation sources for NDT)</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SGK</w:t>
            </w:r>
          </w:p>
        </w:tc>
        <w:tc>
          <w:tcPr>
            <w:tcW w:type="dxa" w:w="3402"/>
          </w:tcPr>
          <w:p>
            <w:r>
              <w:rPr>
                <w:sz w:val="16"/>
              </w:rPr>
              <w:t>Social Security Institution (workplace registration)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SURV</w:t>
            </w:r>
          </w:p>
        </w:tc>
        <w:tc>
          <w:tcPr>
            <w:tcW w:type="dxa" w:w="3402"/>
          </w:tcPr>
          <w:p>
            <w:r>
              <w:rPr>
                <w:sz w:val="16"/>
              </w:rPr>
              <w:t>Land survey subcontractor (role-play)</w:t>
            </w:r>
          </w:p>
        </w:tc>
        <w:tc>
          <w:tcPr>
            <w:tcW w:type="dxa" w:w="1701"/>
          </w:tcPr>
          <w:p>
            <w:r>
              <w:rPr>
                <w:sz w:val="16"/>
              </w:rPr>
              <w:t>subcontractor</w:t>
            </w:r>
          </w:p>
        </w:tc>
        <w:tc>
          <w:tcPr>
            <w:tcW w:type="dxa" w:w="1134"/>
          </w:tcPr>
          <w:p>
            <w:r>
              <w:rPr>
                <w:sz w:val="16"/>
              </w:rPr>
              <w:t>Turkey</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Agreed. The 48.4 MJ/kg was a rounded network operator figure on another reference basis. ER-03.02 and DP-CASE-0018 are corrected to 47.48 MJ/kg (ISO 6976, 25 degC combustion reference); guarantees remain on heat input at the reference composition.</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design_parameter/DP-CASE-0018</w:t>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Accepted as compliant with SC-013 and ER-12.01 on condition that (1) all power island operation, alarms and trends are available on the DCS operator stations with the DCS look and feel (no separate operator HMI needed in normal operation), (2) alarm management follows the plant alarm philosophy (EEMUA 191 / IEC 62682), (3) all TCS signals are archived in the plant historian. SC-013 is reworded accordingly.</w:t>
            </w:r>
          </w:p>
        </w:tc>
        <w:tc>
          <w:tcPr>
            <w:tcW w:type="dxa" w:w="1134"/>
          </w:tcPr>
          <w:p>
            <w:r>
              <w:rPr>
                <w:sz w:val="16"/>
              </w:rPr>
              <w:t>contractor proposal accepted</w:t>
            </w:r>
          </w:p>
        </w:tc>
        <w:tc>
          <w:tcPr>
            <w:tcW w:type="dxa" w:w="1134"/>
          </w:tcPr>
          <w:p>
            <w:r>
              <w:rPr>
                <w:sz w:val="16"/>
              </w:rPr>
              <w:t>-</w:t>
            </w:r>
          </w:p>
        </w:tc>
        <w:tc>
          <w:tcPr>
            <w:tcW w:type="dxa" w:w="1757"/>
          </w:tcPr>
          <w:p>
            <w:r>
              <w:rPr>
                <w:sz w:val="16"/>
              </w:rPr>
              <w:t>scope_item/SC-013</w:t>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The export limiter shall be set to 640 MW net at the 380 kV revenue meters. The Owner has applied to the TSO for a connection capacity of 680 MW; if granted, the Owner will instruct the new set point as a variation.</w:t>
            </w:r>
          </w:p>
        </w:tc>
        <w:tc>
          <w:tcPr>
            <w:tcW w:type="dxa" w:w="1134"/>
          </w:tcPr>
          <w:p>
            <w:r>
              <w:rPr>
                <w:sz w:val="16"/>
              </w:rPr>
              <w:t>contractor proposal accepted</w:t>
            </w:r>
          </w:p>
        </w:tc>
        <w:tc>
          <w:tcPr>
            <w:tcW w:type="dxa" w:w="1134"/>
          </w:tcPr>
          <w:p>
            <w:r>
              <w:rPr>
                <w:sz w:val="16"/>
              </w:rPr>
              <w:t>-</w:t>
            </w:r>
          </w:p>
        </w:tc>
        <w:tc>
          <w:tcPr>
            <w:tcW w:type="dxa" w:w="1757"/>
          </w:tcPr>
          <w:p>
            <w:r>
              <w:rPr>
                <w:sz w:val="16"/>
              </w:rPr>
              <w:t>tie_in/TP-E1</w:t>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Confirmed: ER-05.07 is EOH-based with the OEM start factors (hot 10, warm 15, cold 20 EOH, trips per TQ-IEC-010). The Owner accepts about 2.3 calendar years at the ER-01.03 regime; ER-05.07 is clarified.</w:t>
            </w:r>
          </w:p>
        </w:tc>
        <w:tc>
          <w:tcPr>
            <w:tcW w:type="dxa" w:w="1134"/>
          </w:tcPr>
          <w:p>
            <w:r>
              <w:rPr>
                <w:sz w:val="16"/>
              </w:rPr>
              <w:t>confirmed as is</w:t>
            </w:r>
          </w:p>
        </w:tc>
        <w:tc>
          <w:tcPr>
            <w:tcW w:type="dxa" w:w="1134"/>
          </w:tcPr>
          <w:p>
            <w:r>
              <w:rPr>
                <w:sz w:val="16"/>
              </w:rPr>
              <w:t>-</w:t>
            </w:r>
          </w:p>
        </w:tc>
        <w:tc>
          <w:tcPr>
            <w:tcW w:type="dxa" w:w="1757"/>
          </w:tcPr>
          <w:p>
            <w:r>
              <w:rPr>
                <w:sz w:val="16"/>
              </w:rPr>
              <w:t>requirement/ER-05.07</w:t>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Confirmed: SC-011 corrected to a 65 m stack (TQ-007, ER-06.06).</w:t>
            </w:r>
          </w:p>
        </w:tc>
        <w:tc>
          <w:tcPr>
            <w:tcW w:type="dxa" w:w="1134"/>
          </w:tcPr>
          <w:p>
            <w:r>
              <w:rPr>
                <w:sz w:val="16"/>
              </w:rPr>
              <w:t>requirement changed</w:t>
            </w:r>
          </w:p>
        </w:tc>
        <w:tc>
          <w:tcPr>
            <w:tcW w:type="dxa" w:w="1134"/>
          </w:tcPr>
          <w:p>
            <w:r>
              <w:rPr>
                <w:sz w:val="16"/>
              </w:rPr>
              <w:t>-</w:t>
            </w:r>
          </w:p>
        </w:tc>
        <w:tc>
          <w:tcPr>
            <w:tcW w:type="dxa" w:w="1757"/>
          </w:tcPr>
          <w:p>
            <w:r>
              <w:rPr>
                <w:sz w:val="16"/>
              </w:rPr>
              <w:t>scope_item/SC-011</w:t>
            </w:r>
          </w:p>
        </w:tc>
      </w:tr>
      <w:tr>
        <w:tc>
          <w:tcPr>
            <w:tcW w:type="dxa" w:w="794"/>
          </w:tcPr>
          <w:p>
            <w:r>
              <w:rPr>
                <w:sz w:val="16"/>
              </w:rPr>
              <w:t>TQ-030</w:t>
            </w:r>
          </w:p>
        </w:tc>
        <w:tc>
          <w:tcPr>
            <w:tcW w:type="dxa" w:w="624"/>
          </w:tcPr>
          <w:p>
            <w:r>
              <w:rPr>
                <w:sz w:val="16"/>
              </w:rPr>
              <w:t>5</w:t>
            </w:r>
          </w:p>
        </w:tc>
        <w:tc>
          <w:tcPr>
            <w:tcW w:type="dxa" w:w="1701"/>
          </w:tcPr>
          <w:p>
            <w:r>
              <w:rPr>
                <w:sz w:val="16"/>
              </w:rPr>
              <w:t>Tie-in register: confirmation of the terminal point conditions</w:t>
            </w:r>
          </w:p>
        </w:tc>
        <w:tc>
          <w:tcPr>
            <w:tcW w:type="dxa" w:w="3855"/>
          </w:tcPr>
          <w:p>
            <w:r>
              <w:rPr>
                <w:sz w:val="16"/>
              </w:rPr>
              <w:t>The Consortium's tie-in register (draft) states for each terminal point the exact scope break, connection, isolation, protection, operating envelope, capacity and the dates needed from the Contractor's commissioning sequence. Please confirm, and provide the missing data: (a) TP-W1 maximum supply pressure; (b) TP-E2 prospective short-circuit current of the 34.5 kV supply; (c) SC-001 (site boundary) has no terminal point - propose TP-A2 plot handover incl. the 11 kV cable relocation by 2027-06-30; (d) SC-035 and SC-038 need Owner/TSO/authority input - propose TP-T3 (TSO SCADA and metering link) and TP-T2 (emission data link to the Ministry); (e) TP-A1 is available on 2027-03-01, the day it is needed (no float): earlier access requested.</w:t>
            </w:r>
          </w:p>
        </w:tc>
        <w:tc>
          <w:tcPr>
            <w:tcW w:type="dxa" w:w="3628"/>
          </w:tcPr>
          <w:p>
            <w:r>
              <w:rPr>
                <w:sz w:val="16"/>
              </w:rPr>
              <w:t>Register confirmed with: (a) TP-W1 2.5-6.0 barg; (b) TP-E2 12.5 kA; (c) TP-A2 added (plot, 11 kV cable relocated by 2027-06-30, east strip E 370-400 until then not available); (d) TP-T2 and TP-T3 added; (e) TP-A1 lease from 2027-02-01. The conditions of all terminal points TP-A1..TP-W1 are agreed.</w:t>
            </w:r>
          </w:p>
        </w:tc>
        <w:tc>
          <w:tcPr>
            <w:tcW w:type="dxa" w:w="1134"/>
          </w:tcPr>
          <w:p>
            <w:r>
              <w:rPr>
                <w:sz w:val="16"/>
              </w:rPr>
              <w:t>contractor proposal accepted</w:t>
            </w:r>
          </w:p>
        </w:tc>
        <w:tc>
          <w:tcPr>
            <w:tcW w:type="dxa" w:w="1134"/>
          </w:tcPr>
          <w:p>
            <w:r>
              <w:rPr>
                <w:sz w:val="16"/>
              </w:rPr>
              <w:t>-</w:t>
            </w:r>
          </w:p>
        </w:tc>
        <w:tc>
          <w:tcPr>
            <w:tcW w:type="dxa" w:w="1757"/>
          </w:tcPr>
          <w:p>
            <w:r>
              <w:rPr>
                <w:sz w:val="16"/>
              </w:rPr>
              <w:t>tie_in/TP-A1, tie_in/TP-A2, tie_in/TP-CW1, tie_in/TP-CW2, tie_in/TP-D1, tie_in/TP-E1, tie_in/TP-E2, tie_in/TP-G1, tie_in/TP-L1, tie_in/TP-M1, tie_in/TP-R1, tie_in/TP-S1, tie_in/TP-T1, tie_in/TP-T2, tie_in/TP-T3, tie_in/TP-W1</w:t>
            </w:r>
          </w:p>
        </w:tc>
      </w:tr>
      <w:tr>
        <w:tc>
          <w:tcPr>
            <w:tcW w:type="dxa" w:w="794"/>
          </w:tcPr>
          <w:p>
            <w:r>
              <w:rPr>
                <w:sz w:val="16"/>
              </w:rPr>
              <w:t>TQ-031</w:t>
            </w:r>
          </w:p>
        </w:tc>
        <w:tc>
          <w:tcPr>
            <w:tcW w:type="dxa" w:w="624"/>
          </w:tcPr>
          <w:p>
            <w:r>
              <w:rPr>
                <w:sz w:val="16"/>
              </w:rPr>
              <w:t>5</w:t>
            </w:r>
          </w:p>
        </w:tc>
        <w:tc>
          <w:tcPr>
            <w:tcW w:type="dxa" w:w="1701"/>
          </w:tcPr>
          <w:p>
            <w:r>
              <w:rPr>
                <w:sz w:val="16"/>
              </w:rPr>
              <w:t>Short-circuit level at TP-E1: plant contribution</w:t>
            </w:r>
          </w:p>
        </w:tc>
        <w:tc>
          <w:tcPr>
            <w:tcW w:type="dxa" w:w="3855"/>
          </w:tcPr>
          <w:p>
            <w:r>
              <w:rPr>
                <w:sz w:val="16"/>
              </w:rPr>
              <w:t>ALP-OWN-ELE-001 gives 40 kA (2029) and 50 kA (2035 planning) at the plant 380 kV busbar; the GIS is specified for 50 kA (ER-11.01). The Alpilla generators add about 3.7 kA (GT 2.4 kA, ST 1.3 kA). Please confirm whether the TSO values include the Alpilla contribution; if not, 50 kA would be exceeded in 2035.</w:t>
            </w:r>
          </w:p>
        </w:tc>
        <w:tc>
          <w:tcPr>
            <w:tcW w:type="dxa" w:w="3628"/>
          </w:tcPr>
          <w:p>
            <w:r>
              <w:rPr>
                <w:sz w:val="16"/>
              </w:rPr>
              <w:t>The TSO confirms (letter of 2026-09-25) that 40 kA (2029) and 50 kA (2035) include the contribution of the Alpilla units. The GIS rating of 50 kA stands.</w:t>
            </w:r>
          </w:p>
        </w:tc>
        <w:tc>
          <w:tcPr>
            <w:tcW w:type="dxa" w:w="1134"/>
          </w:tcPr>
          <w:p>
            <w:r>
              <w:rPr>
                <w:sz w:val="16"/>
              </w:rPr>
              <w:t>confirmed as is</w:t>
            </w:r>
          </w:p>
        </w:tc>
        <w:tc>
          <w:tcPr>
            <w:tcW w:type="dxa" w:w="1134"/>
          </w:tcPr>
          <w:p>
            <w:r>
              <w:rPr>
                <w:sz w:val="16"/>
              </w:rPr>
              <w:t>-</w:t>
            </w:r>
          </w:p>
        </w:tc>
        <w:tc>
          <w:tcPr>
            <w:tcW w:type="dxa" w:w="1757"/>
          </w:tcPr>
          <w:p>
            <w:r>
              <w:rPr>
                <w:sz w:val="16"/>
              </w:rPr>
              <w:t>tie_in/TP-E1</w:t>
            </w:r>
          </w:p>
        </w:tc>
      </w:tr>
      <w:tr>
        <w:tc>
          <w:tcPr>
            <w:tcW w:type="dxa" w:w="794"/>
          </w:tcPr>
          <w:p>
            <w:r>
              <w:rPr>
                <w:sz w:val="16"/>
              </w:rPr>
              <w:t>TQ-032</w:t>
            </w:r>
          </w:p>
        </w:tc>
        <w:tc>
          <w:tcPr>
            <w:tcW w:type="dxa" w:w="624"/>
          </w:tcPr>
          <w:p>
            <w:r>
              <w:rPr>
                <w:sz w:val="16"/>
              </w:rPr>
              <w:t>5</w:t>
            </w:r>
          </w:p>
        </w:tc>
        <w:tc>
          <w:tcPr>
            <w:tcW w:type="dxa" w:w="1701"/>
          </w:tcPr>
          <w:p>
            <w:r>
              <w:rPr>
                <w:sz w:val="16"/>
              </w:rPr>
              <w:t>Reactive capability: generator terminals (ER-04.08) or connection point (ELE-001)</w:t>
            </w:r>
          </w:p>
        </w:tc>
        <w:tc>
          <w:tcPr>
            <w:tcW w:type="dxa" w:w="3855"/>
          </w:tcPr>
          <w:p>
            <w:r>
              <w:rPr>
                <w:sz w:val="16"/>
              </w:rPr>
              <w:t>ER-04.08 requires 0.85 lagging / 0.95 leading at rated active power at the generator terminals; ALP-OWN-ELE-001 section 3 states the same at the connection point. At the connection point, at the winter GT output of 470 MW, the GT generator and GSU would need about 600 MVA instead of 560 MVA (GSU reactive losses). Please confirm that ER-04.08 governs.</w:t>
            </w:r>
          </w:p>
        </w:tc>
        <w:tc>
          <w:tcPr>
            <w:tcW w:type="dxa" w:w="3628"/>
          </w:tcPr>
          <w:p>
            <w:r>
              <w:rPr>
                <w:sz w:val="16"/>
              </w:rPr>
              <w:t>ER-04.08 governs: 0.85 lagging / 0.95 leading at rated active power at the generator terminals. The TSO accepts the Grid Code compliance demonstration on that basis; ALP-OWN-ELE-001 will be corrected in its next revision.</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TQ-033</w:t>
            </w:r>
          </w:p>
        </w:tc>
        <w:tc>
          <w:tcPr>
            <w:tcW w:type="dxa" w:w="624"/>
          </w:tcPr>
          <w:p>
            <w:r>
              <w:rPr>
                <w:sz w:val="16"/>
              </w:rPr>
              <w:t>5</w:t>
            </w:r>
          </w:p>
        </w:tc>
        <w:tc>
          <w:tcPr>
            <w:tcW w:type="dxa" w:w="1701"/>
          </w:tcPr>
          <w:p>
            <w:r>
              <w:rPr>
                <w:sz w:val="16"/>
              </w:rPr>
              <w:t>Appendix A.19 (codes and standards) and the permits register</w:t>
            </w:r>
          </w:p>
        </w:tc>
        <w:tc>
          <w:tcPr>
            <w:tcW w:type="dxa" w:w="3855"/>
          </w:tcPr>
          <w:p>
            <w:r>
              <w:rPr>
                <w:sz w:val="16"/>
              </w:rPr>
              <w:t>ER-01.07 sets the order of precedence and refers to 'the codes and standards listed in Appendix A.19', but the Contract has no Appendix A.19. The Consortium proposes the attached register (Turkish laws and regulations, Grid Code, codes and standards, each with edition, responsible party and the ER it serves) as Appendix A.19, and the permits register with applicant, supporting deliverables, lead times and need dates. Please confirm: (a) the register as Appendix A.19, editions at the Base Date; (b) the EIA limits (ER-14.02) govern over the Large Combustion Plants Regulation where stricter; (c) the permit split: the Owner applies for and holds the development, permanent-works and operating permits (SC-003), the Contractor for its construction permits; (d) permits PMT-005, PMT-007, PMT-014 have less than 14 days float between approval and need - earlier applications requested; (e) dates of PMT-001 and PMT-002.</w:t>
            </w:r>
          </w:p>
        </w:tc>
        <w:tc>
          <w:tcPr>
            <w:tcW w:type="dxa" w:w="3628"/>
          </w:tcPr>
          <w:p>
            <w:r>
              <w:rPr>
                <w:sz w:val="16"/>
              </w:rPr>
              <w:t>(a) Agreed: the register (with ISO 14001 added by the Owner) is Appendix A.19; editions at the Base Date. (b) Confirmed: the stricter EIA limits of ER-14.02 govern. (c) Confirmed. (d) The Owner applies for PMT-005 on 2026-11-16, PMT-007 on 2027-04-01 (Contractor's design by 2027-03-31) and PMT-014 on 2028-03-15; the Contractor advances its own applications likewise. (e) PMT-001 granted 2026-03-12, PMT-002 granted 2026-05-28.</w:t>
            </w:r>
          </w:p>
        </w:tc>
        <w:tc>
          <w:tcPr>
            <w:tcW w:type="dxa" w:w="1134"/>
          </w:tcPr>
          <w:p>
            <w:r>
              <w:rPr>
                <w:sz w:val="16"/>
              </w:rPr>
              <w:t>contractor proposal accepted</w:t>
            </w:r>
          </w:p>
        </w:tc>
        <w:tc>
          <w:tcPr>
            <w:tcW w:type="dxa" w:w="1134"/>
          </w:tcPr>
          <w:p>
            <w:r>
              <w:rPr>
                <w:sz w:val="16"/>
              </w:rPr>
              <w:t>-</w:t>
            </w:r>
          </w:p>
        </w:tc>
        <w:tc>
          <w:tcPr>
            <w:tcW w:type="dxa" w:w="1757"/>
          </w:tcPr>
          <w:p>
            <w:r>
              <w:rPr>
                <w:sz w:val="16"/>
              </w:rPr>
              <w:t>permit/PMT-001, permit/PMT-002, permit/PMT-005, permit/PMT-007, permit/PMT-014</w:t>
            </w:r>
          </w:p>
        </w:tc>
      </w:tr>
      <w:tr>
        <w:tc>
          <w:tcPr>
            <w:tcW w:type="dxa" w:w="794"/>
          </w:tcPr>
          <w:p>
            <w:r>
              <w:rPr>
                <w:sz w:val="16"/>
              </w:rPr>
              <w:t>TQ-034</w:t>
            </w:r>
          </w:p>
        </w:tc>
        <w:tc>
          <w:tcPr>
            <w:tcW w:type="dxa" w:w="624"/>
          </w:tcPr>
          <w:p>
            <w:r>
              <w:rPr>
                <w:sz w:val="16"/>
              </w:rPr>
              <w:t>6</w:t>
            </w:r>
          </w:p>
        </w:tc>
        <w:tc>
          <w:tcPr>
            <w:tcW w:type="dxa" w:w="1701"/>
          </w:tcPr>
          <w:p>
            <w:r>
              <w:rPr>
                <w:sz w:val="16"/>
              </w:rPr>
              <w:t>Aqueous ammonia storage basis (ER-06.04)</w:t>
            </w:r>
          </w:p>
        </w:tc>
        <w:tc>
          <w:tcPr>
            <w:tcW w:type="dxa" w:w="3855"/>
          </w:tcPr>
          <w:p>
            <w:r>
              <w:rPr>
                <w:sz w:val="16"/>
              </w:rPr>
              <w:t>ER-06.04 requires aqueous ammonia storage for 2 x 7 days at base load. SCR consumption is 125 kg/h on gas and 480 kg/h on LDO (TQ-IEC-018). 7 days on gas is 21 t per tank; 72 h on LDO (the LDO storage autonomy, ER-03.08) needs 34.6 t. Please confirm the basis: 2 x 7 days on gas, and the total also covering 72 h of LDO operation.</w:t>
            </w:r>
          </w:p>
        </w:tc>
        <w:tc>
          <w:tcPr>
            <w:tcW w:type="dxa" w:w="3628"/>
          </w:tcPr>
          <w:p>
            <w:r>
              <w:rPr>
                <w:sz w:val="16"/>
              </w:rPr>
              <w:t>Accepted: 2 x 30 m3 as proposed; ER-06.04 clarified. The ammonia inventory (about 54 t) is added to the major accident notification (PMT-015).</w:t>
            </w:r>
          </w:p>
        </w:tc>
        <w:tc>
          <w:tcPr>
            <w:tcW w:type="dxa" w:w="1134"/>
          </w:tcPr>
          <w:p>
            <w:r>
              <w:rPr>
                <w:sz w:val="16"/>
              </w:rPr>
              <w:t>contractor proposal accepted</w:t>
            </w:r>
          </w:p>
        </w:tc>
        <w:tc>
          <w:tcPr>
            <w:tcW w:type="dxa" w:w="1134"/>
          </w:tcPr>
          <w:p>
            <w:r>
              <w:rPr>
                <w:sz w:val="16"/>
              </w:rPr>
              <w:t>-</w:t>
            </w:r>
          </w:p>
        </w:tc>
        <w:tc>
          <w:tcPr>
            <w:tcW w:type="dxa" w:w="1757"/>
          </w:tcPr>
          <w:p>
            <w:r>
              <w:rPr>
                <w:sz w:val="16"/>
              </w:rPr>
              <w:t>requirement/ER-06.04</w:t>
            </w:r>
          </w:p>
        </w:tc>
      </w:tr>
      <w:tr>
        <w:tc>
          <w:tcPr>
            <w:tcW w:type="dxa" w:w="794"/>
          </w:tcPr>
          <w:p>
            <w:r>
              <w:rPr>
                <w:sz w:val="16"/>
              </w:rPr>
              <w:t>TQ-035</w:t>
            </w:r>
          </w:p>
        </w:tc>
        <w:tc>
          <w:tcPr>
            <w:tcW w:type="dxa" w:w="624"/>
          </w:tcPr>
          <w:p>
            <w:r>
              <w:rPr>
                <w:sz w:val="16"/>
              </w:rPr>
              <w:t>7</w:t>
            </w:r>
          </w:p>
        </w:tc>
        <w:tc>
          <w:tcPr>
            <w:tcW w:type="dxa" w:w="1701"/>
          </w:tcPr>
          <w:p>
            <w:r>
              <w:rPr>
                <w:sz w:val="16"/>
              </w:rPr>
              <w:t>Engineering start-up: KKS key list, document numbering, MDL, review classes and AWP definitions</w:t>
            </w:r>
          </w:p>
        </w:tc>
        <w:tc>
          <w:tcPr>
            <w:tcW w:type="dxa" w:w="3855"/>
          </w:tcPr>
          <w:p>
            <w:r>
              <w:rPr>
                <w:sz w:val="16"/>
              </w:rPr>
              <w:t>(1) ER-17.01 requires the Owner's document numbering, which has not been provided. The consortium proposes ALP-&lt;ORG&gt;-&lt;KKS system or 00000&gt;-&lt;DISC&gt;-&lt;TYPE&gt;-&lt;NNNN&gt; (procedure ALP-EPC-00000-GE-PRC-0002), with the IEC 61355 document class on every document type. Does the Owner accept it as the project numbering? (2) Please approve the project KKS key list (125 function, equipment-unit and component keys, 0 = common / 1 = GT+HRSG / 2 = ST unit numbering) for use in engineering. (3) Please accept the MDL (623 documents incl. the IEC VDRL) as the document baseline, the review classes per document type (approval / review / information / internal) and the Basic Design Package flag (21-day review). (4) Please accept the AWP definitions: 12 CWAs in path-of-construction order, one CWP per CWA and discipline, one EWP per CWP needed 20 working days before the CWP starts, MRs as PWPs (ROS at the first CWP start); IWPs are prepared by the construction contractors from the CWPs.</w:t>
            </w:r>
          </w:p>
        </w:tc>
        <w:tc>
          <w:tcPr>
            <w:tcW w:type="dxa" w:w="3628"/>
          </w:tcPr>
          <w:p>
            <w:r>
              <w:rPr>
                <w:sz w:val="16"/>
              </w:rPr>
              <w:t>(1)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tc>
        <w:tc>
          <w:tcPr>
            <w:tcW w:type="dxa" w:w="1134"/>
          </w:tcPr>
          <w:p>
            <w:r>
              <w:rPr>
                <w:sz w:val="16"/>
              </w:rPr>
              <w:t>requirement changed</w:t>
            </w:r>
          </w:p>
        </w:tc>
        <w:tc>
          <w:tcPr>
            <w:tcW w:type="dxa" w:w="1134"/>
          </w:tcPr>
          <w:p>
            <w:r>
              <w:rPr>
                <w:sz w:val="16"/>
              </w:rPr>
              <w:t>-</w:t>
            </w:r>
          </w:p>
        </w:tc>
        <w:tc>
          <w:tcPr>
            <w:tcW w:type="dxa" w:w="1757"/>
          </w:tcPr>
          <w:p>
            <w:r>
              <w:rPr>
                <w:sz w:val="16"/>
              </w:rPr>
              <w:t>doc_type/LOG</w:t>
            </w:r>
          </w:p>
        </w:tc>
      </w:tr>
      <w:tr>
        <w:tc>
          <w:tcPr>
            <w:tcW w:type="dxa" w:w="794"/>
          </w:tcPr>
          <w:p>
            <w:r>
              <w:rPr>
                <w:sz w:val="16"/>
              </w:rPr>
              <w:t>TQ-036</w:t>
            </w:r>
          </w:p>
        </w:tc>
        <w:tc>
          <w:tcPr>
            <w:tcW w:type="dxa" w:w="624"/>
          </w:tcPr>
          <w:p>
            <w:r>
              <w:rPr>
                <w:sz w:val="16"/>
              </w:rPr>
              <w:t>8</w:t>
            </w:r>
          </w:p>
        </w:tc>
        <w:tc>
          <w:tcPr>
            <w:tcW w:type="dxa" w:w="1701"/>
          </w:tcPr>
          <w:p>
            <w:r>
              <w:rPr>
                <w:sz w:val="16"/>
              </w:rPr>
              <w:t>MDL Rev B baseline: document quantities, new document types, structures and packages</w:t>
            </w:r>
          </w:p>
        </w:tc>
        <w:tc>
          <w:tcPr>
            <w:tcW w:type="dxa" w:w="3855"/>
          </w:tcPr>
          <w:p>
            <w:r>
              <w:rPr>
                <w:sz w:val="16"/>
              </w:rPr>
              <w:t>The consortium re-issues the MDL as Rev B: 2205 documents (1455 EPC, 120 IEC, 630 other suppliers), 21,362 sheets. Rev A (623 documents) missed the per-tag deliverables, the supplier documents of the BOP packages, factory and site tests, system-based commissioning and O&amp;M documents and several permit dossiers. Document quantities now follow rules per system / structure / area / package with estimated quantities until the registers exist. Please accept (1) the MDL Rev B as the document baseline, (2) the new document types TST, TRP, WIR, HUP, SUP, RBR, EFD, MOS, MDB, CEM, HMI with their review classes, (3) the structure keys UZD (pipe racks), UZE (cable trenches), UZF (temporary barge landing), (4) the 14 added procurement packages, (5) the review of supplier documents: EPC reviews all; transmitted to the Owner for approval: supplier P&amp;IDs, ITPs and FAT procedures; for review: GA, datasheets, calculations, schematics, manuals; for information: manufacturing record books.</w:t>
            </w:r>
          </w:p>
        </w:tc>
        <w:tc>
          <w:tcPr>
            <w:tcW w:type="dxa" w:w="3628"/>
          </w:tcPr>
          <w:p>
            <w:r>
              <w:rPr>
                <w:sz w:val="16"/>
              </w:rPr>
              <w:t>(1)-(5) accepted with one change and one condition. Change: fire fighting, escape route and safety signage drawings are submitted to the fire brigade (occupancy permit PMT-020) and are for Owner approval. Condition: the Owner's Engineer review load must be planned; the consortium issues a monthly document issue forecast (from the engineering plan) and transmits in batches of at most 150 documents per week. The new structure keys are approved for engineering (verification with the KKS key list).</w:t>
            </w:r>
          </w:p>
        </w:tc>
        <w:tc>
          <w:tcPr>
            <w:tcW w:type="dxa" w:w="1134"/>
          </w:tcPr>
          <w:p>
            <w:r>
              <w:rPr>
                <w:sz w:val="16"/>
              </w:rPr>
              <w:t>requirement changed</w:t>
            </w:r>
          </w:p>
        </w:tc>
        <w:tc>
          <w:tcPr>
            <w:tcW w:type="dxa" w:w="1134"/>
          </w:tcPr>
          <w:p>
            <w:r>
              <w:rPr>
                <w:sz w:val="16"/>
              </w:rPr>
              <w:t>-</w:t>
            </w:r>
          </w:p>
        </w:tc>
        <w:tc>
          <w:tcPr>
            <w:tcW w:type="dxa" w:w="1757"/>
          </w:tcPr>
          <w:p>
            <w:r>
              <w:rPr>
                <w:sz w:val="16"/>
              </w:rPr>
              <w:t>mdl_rule/DL-HS-ESC</w:t>
            </w:r>
          </w:p>
        </w:tc>
      </w:tr>
      <w:tr>
        <w:tc>
          <w:tcPr>
            <w:tcW w:type="dxa" w:w="794"/>
          </w:tcPr>
          <w:p>
            <w:r>
              <w:rPr>
                <w:sz w:val="16"/>
              </w:rPr>
              <w:t>TQ-037</w:t>
            </w:r>
          </w:p>
        </w:tc>
        <w:tc>
          <w:tcPr>
            <w:tcW w:type="dxa" w:w="624"/>
          </w:tcPr>
          <w:p>
            <w:r>
              <w:rPr>
                <w:sz w:val="16"/>
              </w:rPr>
              <w:t>8</w:t>
            </w:r>
          </w:p>
        </w:tc>
        <w:tc>
          <w:tcPr>
            <w:tcW w:type="dxa" w:w="1701"/>
          </w:tcPr>
          <w:p>
            <w:r>
              <w:rPr>
                <w:sz w:val="16"/>
              </w:rPr>
              <w:t>AWP release rule: progressive EWP release to the IWPs of a CWP</w:t>
            </w:r>
          </w:p>
        </w:tc>
        <w:tc>
          <w:tcPr>
            <w:tcW w:type="dxa" w:w="3855"/>
          </w:tcPr>
          <w:p>
            <w:r>
              <w:rPr>
                <w:sz w:val="16"/>
              </w:rPr>
              <w:t>TQ-035 requires a CWP to be released only when its EWP is complete (all documents IFC). With the Rev B MDL a piping CWP carries up to 2,800 isometric sheets and a civil CWP the reinforcement of every pour; requiring all of them IFC before the first IWP would delay construction by 3-9 months or require engineering staff far above a realistic peak. The consortium proposes: (a) a CWP is released when the documents of its first IWPs are IFC (layouts, GA, foundations, plans: 100 % at release) and its materials for those IWPs are on site or confirmed; (b) progressive documents (isometrics, supports, schematics, loop diagrams, reinforcement, equipment foundations) are released per IWP, planned at CWP start - lead + share x CWP duration per document type; (c) no IWP is issued to the field unless all its documents are IFC and its constraints removed; (d) the EWP completeness per CWP is reported monthly.</w:t>
            </w:r>
          </w:p>
        </w:tc>
        <w:tc>
          <w:tcPr>
            <w:tcW w:type="dxa" w:w="3628"/>
          </w:tcPr>
          <w:p>
            <w:r>
              <w:rPr>
                <w:sz w:val="16"/>
              </w:rPr>
              <w:t>Accepted as proposed, with the condition that the monthly report shows per CWP the IFC status of the documents needed for the next 8 weeks of IWPs, and that a CWP whose first-IWP documents are not IFC is not started. TQ-035 item (4) is amended accordingly.</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TQ-038</w:t>
            </w:r>
          </w:p>
        </w:tc>
        <w:tc>
          <w:tcPr>
            <w:tcW w:type="dxa" w:w="624"/>
          </w:tcPr>
          <w:p>
            <w:r>
              <w:rPr>
                <w:sz w:val="16"/>
              </w:rPr>
              <w:t>9</w:t>
            </w:r>
          </w:p>
        </w:tc>
        <w:tc>
          <w:tcPr>
            <w:tcW w:type="dxa" w:w="1701"/>
          </w:tcPr>
          <w:p>
            <w:r>
              <w:rPr>
                <w:sz w:val="16"/>
              </w:rPr>
              <w:t>Payment milestone MS-02 (Basic Design Package approved, month 3) cannot be met</w:t>
            </w:r>
          </w:p>
        </w:tc>
        <w:tc>
          <w:tcPr>
            <w:tcW w:type="dxa" w:w="3855"/>
          </w:tcPr>
          <w:p>
            <w:r>
              <w:rPr>
                <w:sz w:val="16"/>
              </w:rPr>
              <w:t>Release gate G-OWN-BDP: The Basic Design Package (25 documents, of them 10 P&amp;IDs) must be approved for MS-02 at month 3 (2027-02-02). With the Owner review period for the BDP (21 days, ER-17.01) and the input chain design basis -&gt; system design specification -&gt; P&amp;ID, the earliest possible approval is 2027-03-08 even with unlimited staff; with the planned process team (12 FTE, 9,000 h of P&amp;IDs needed before May 2027 for the long-lead requisitions and the first EWPs) the BDP is approved on 2027-07-21. Please confirm one of: (a) MS-02 split into MS-02a 'BDP batch 1 approved' (design bases, PFDs, HMB, plot plan, SLD, power island P&amp;IDs; month 5) and MS-02b 'BDP batch 2 approved' (BOP P&amp;IDs; month 9), same total percentage; (b) MS-02 at month 9; (c) approval on the tender-stage P&amp;IDs at IFR with the IFC review later. The consortium recommends (a).</w:t>
            </w:r>
          </w:p>
        </w:tc>
        <w:tc>
          <w:tcPr>
            <w:tcW w:type="dxa" w:w="3628"/>
          </w:tcPr>
          <w:p>
            <w:r>
              <w:rPr>
                <w:sz w:val="16"/>
              </w:rPr>
              <w:t>Option (a) accepted. MS-02 becomes 'Basic Design Package batch 1 approved and power island order' (4 %, month 5): design bases and design criteria, KKS manual, heat balances, process flow diagrams, key single line diagram, plot plan, power block layouts and DCS architecture. New MS-13 'Basic Design Package batch 2 approved' (4 %, month 9): BOP P&amp;IDs of the gas station, CW pumps, feedwater, main steam, reheat, LP steam and condensate systems. The Owner's Engineer reviews each batch within 21 days of receipt; P&amp;IDs of batch 2 may be submitted progressively.</w:t>
            </w:r>
          </w:p>
        </w:tc>
        <w:tc>
          <w:tcPr>
            <w:tcW w:type="dxa" w:w="1134"/>
          </w:tcPr>
          <w:p>
            <w:r>
              <w:rPr>
                <w:sz w:val="16"/>
              </w:rPr>
              <w:t>requirement changed</w:t>
            </w:r>
          </w:p>
        </w:tc>
        <w:tc>
          <w:tcPr>
            <w:tcW w:type="dxa" w:w="1134"/>
          </w:tcPr>
          <w:p>
            <w:r>
              <w:rPr>
                <w:sz w:val="16"/>
              </w:rPr>
              <w:t>-</w:t>
            </w:r>
          </w:p>
        </w:tc>
        <w:tc>
          <w:tcPr>
            <w:tcW w:type="dxa" w:w="1757"/>
          </w:tcPr>
          <w:p>
            <w:r>
              <w:rPr>
                <w:sz w:val="16"/>
              </w:rPr>
              <w:t>milestone/MS-02, milestone/MS-13, gate_rule/G-OWN-BDP, gate_rule/G-OWN-BDP2</w:t>
            </w:r>
          </w:p>
        </w:tc>
      </w:tr>
      <w:tr>
        <w:tc>
          <w:tcPr>
            <w:tcW w:type="dxa" w:w="794"/>
          </w:tcPr>
          <w:p>
            <w:r>
              <w:rPr>
                <w:sz w:val="16"/>
              </w:rPr>
              <w:t>TQ-039</w:t>
            </w:r>
          </w:p>
        </w:tc>
        <w:tc>
          <w:tcPr>
            <w:tcW w:type="dxa" w:w="624"/>
          </w:tcPr>
          <w:p>
            <w:r>
              <w:rPr>
                <w:sz w:val="16"/>
              </w:rPr>
              <w:t>9</w:t>
            </w:r>
          </w:p>
        </w:tc>
        <w:tc>
          <w:tcPr>
            <w:tcW w:type="dxa" w:w="1701"/>
          </w:tcPr>
          <w:p>
            <w:r>
              <w:rPr>
                <w:sz w:val="16"/>
              </w:rPr>
              <w:t>Owner platform levels below +15.00 m (survey ALP-SUR-TOP-001)</w:t>
            </w:r>
          </w:p>
        </w:tc>
        <w:tc>
          <w:tcPr>
            <w:tcW w:type="dxa" w:w="3855"/>
          </w:tcPr>
          <w:p>
            <w:r>
              <w:rPr>
                <w:sz w:val="16"/>
              </w:rPr>
              <w:t>The topographic survey (ALP-EPC-00000-CV-RPT-0003) shows the Owner-levelled platform on average 66 mm below the +15.00 m stated in ER-02.01 / ALP-OWN-GEN-001, with 51 of 208 grid points outside +-0.10 m (systematic fall to the south, old warehouse foundations up to +0.25 m). Trimming to +15.00 m needs about 9,300 m3 of structural fill. Please confirm (a) the acceptance tolerance of the Owner platform and whether the fill below -0.10 m is at the Owner cost, or (b) that the Contractor may set the finished floor and road levels on the as-surveyed platform with local trimming only.</w:t>
            </w:r>
          </w:p>
        </w:tc>
        <w:tc>
          <w:tcPr>
            <w:tcW w:type="dxa" w:w="3628"/>
          </w:tcPr>
          <w:p>
            <w:r>
              <w:rPr>
                <w:sz w:val="16"/>
              </w:rPr>
              <w:t>(b) with a limit. The Owner's earthworks contract levelled the platform to +15.00 m +- 0.15 m; the survey shows the platform within that tolerance except the south edge strip (N 0-25 m, 17 points), the old warehouse foundations (2 points; demolition is Contractor scope anyway) and three isolated points 1-3 cm beyond the band. The Contractor sets finished floor and road levels on the as-surveyed platform with local trimming only; structural fill needed below +14.85 m is paid by the Owner at the unit rate of the Price Schedule against a joint survey.</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TQ-040</w:t>
            </w:r>
          </w:p>
        </w:tc>
        <w:tc>
          <w:tcPr>
            <w:tcW w:type="dxa" w:w="624"/>
          </w:tcPr>
          <w:p>
            <w:r>
              <w:rPr>
                <w:sz w:val="16"/>
              </w:rPr>
              <w:t>9</w:t>
            </w:r>
          </w:p>
        </w:tc>
        <w:tc>
          <w:tcPr>
            <w:tcW w:type="dxa" w:w="1701"/>
          </w:tcPr>
          <w:p>
            <w:r>
              <w:rPr>
                <w:sz w:val="16"/>
              </w:rPr>
              <w:t>Firm gas capacity booking has 1 % margin over the plant peak demand</w:t>
            </w:r>
          </w:p>
        </w:tc>
        <w:tc>
          <w:tcPr>
            <w:tcW w:type="dxa" w:w="3855"/>
          </w:tcPr>
          <w:p>
            <w:r>
              <w:rPr>
                <w:sz w:val="16"/>
              </w:rPr>
              <w:t>Peak gas demand is 113,950 Sm3/h (GT 23 kg/s at the maximum case per IF-01 plus the auxiliary boiler and the gas-fired station preheaters), 99 % of the firm booking of 115,000 Sm3/h (DP-OWNR-0033). Please confirm that the Owner will book at least 120,000 Sm3/h firm, or that the auxiliary boiler and the preheaters may be interrupted at GT full load in winter.</w:t>
            </w:r>
          </w:p>
        </w:tc>
        <w:tc>
          <w:tcPr>
            <w:tcW w:type="dxa" w:w="3628"/>
          </w:tcPr>
          <w:p>
            <w:r>
              <w:rPr>
                <w:sz w:val="16"/>
              </w:rPr>
              <w:t>The Owner will increase the firm booking to 120,000 Sm3/h from the first gas date; the network operator has confirmed the capacity is available at the TP-G1 connection.</w:t>
            </w:r>
          </w:p>
        </w:tc>
        <w:tc>
          <w:tcPr>
            <w:tcW w:type="dxa" w:w="1134"/>
          </w:tcPr>
          <w:p>
            <w:r>
              <w:rPr>
                <w:sz w:val="16"/>
              </w:rPr>
              <w:t>owner to provide</w:t>
            </w:r>
          </w:p>
        </w:tc>
        <w:tc>
          <w:tcPr>
            <w:tcW w:type="dxa" w:w="1134"/>
          </w:tcPr>
          <w:p>
            <w:r>
              <w:rPr>
                <w:sz w:val="16"/>
              </w:rPr>
              <w:t>-</w:t>
            </w:r>
          </w:p>
        </w:tc>
        <w:tc>
          <w:tcPr>
            <w:tcW w:type="dxa" w:w="1757"/>
          </w:tcPr>
          <w:p>
            <w:r>
              <w:rPr>
                <w:sz w:val="16"/>
              </w:rPr>
              <w:t>design_parameter/DP-OWNR-0033</w:t>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5dd832e7af1511bb | generated 2026-09-29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