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 (workflow, interfaces, timeline)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draft - not yet issued (next issue: IFR rev 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Istanbul EPC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Planned issue (workflow timeline)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IFR 2027-01-18, IFA 2027-02-15, IFC 2027-02-22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39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3,072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2027-08-27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960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2027-09-27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82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76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5,215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2027-06-14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1,440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2027-03-22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2,420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2027-10-07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871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2027-03-12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88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84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6,020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2027-10-20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6,620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89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87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11,556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2027-10-22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9,825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2027-08-09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2027-01-11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2027-03-29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1,158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2027-06-04</w:t>
            </w:r>
          </w:p>
        </w:tc>
      </w:tr>
    </w:tbl>
    <w:p>
      <w:pPr>
        <w:spacing w:after="40"/>
      </w:pPr>
    </w:p>
    <w:p>
      <w:r>
        <w:t>Total 623 documents, 49,317 engineering hours (document preparation; 3D modelling, vendor document review and site support are budgeted separately).</w:t>
      </w:r>
    </w:p>
    <w:p>
      <w:r>
        <w:t>Coverage is checked at every engine run: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design) are issued at NTP. Supplier documents keep their committed VDRL dates. Issued revisions replace the planned dates.</w:t>
      </w:r>
    </w:p>
    <w:p>
      <w:pPr>
        <w:pStyle w:val="ListBullet"/>
      </w:pPr>
      <w:r>
        <w:t>Construction documents belong to the EWP of their CWP; the EWP is ready when its last document is IFC and is needed ewp_lead_days before the CWP starts. Requisitions start the PWP (MR) cycle: PO = MRQ IFC + bid + award.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61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SDS, SLD, STU, PID, DBR, CAL, 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CAL, STU,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PFD, LST, SLD, DBR, PRC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PRC, PLN, DBR, PFD,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221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107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</w:tbl>
    <w:p>
      <w:pPr>
        <w:spacing w:after="40"/>
      </w:pPr>
    </w:p>
    <w:p>
      <w:r>
        <w:t>Document preparation capacity (eng_resource, levelled timeline): CV 5 FTE, CM 1 FTE, EL 4 FTE, GE 2 FTE, HS 2 FTE, HV 1 FTE, IC 5 FTE, ME 8 FTE, PI 8 FTE, PR 4 FTE, PC 1 FTE, SS 2 FTE - total 43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143 tender-stage documents (8,589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157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5,691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6,012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238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4,818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3,448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690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3,618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3,228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2,607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2,658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2,608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2,016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541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</w:tbl>
    <w:p>
      <w:pPr>
        <w:spacing w:after="40"/>
      </w:pPr>
    </w:p>
    <w:p>
      <w:r>
        <w:t>Peak 2026-12: 6,012 h (about 40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67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Power island supplier documents (VDRL)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points and interface data - power island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Division of responsibility - power island and balance of plant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GA, installation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IE-HR3 - GA, erection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IE-9H.02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and generator - GA, maintenance and installation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 (heat balance)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 (case book)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GCB and isolated phase busduct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IE-ST3R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turbine, generator and condenser - GA,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HRSG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GT and generator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 (IF-001 attachment A)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 (generators, GCB, GSU, UAT tap-offs, SFC)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- ST, generator and condenser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P&amp;IDs incl. SCR and ammonia injection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 (ISO 10494)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P&amp;IDs (fuel gas, liquid fuel, lube oil, inlet air, washing)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 (OPC UA, IEC 62443 zone)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inspection and test plans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 (Grid Code)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auxiliary P&amp;IDs (H2/CO2, seal oil, stator water)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P&amp;IDs (lube, gland, vacuum, EHC, bypass valves)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 (start-up, load, trips)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 (for the plant model)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I/O list and interface signal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 (IEC scope and interfaces)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erection manuals and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operation and maintenance manuals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(last IFC document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ALP-EPC-00UPA-CV-CVL-0001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2027-08-27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ALP-EPC-10UHN-CV-FND-0001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2027-03-31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ALP-EPC-20UMB-CV-FND-0002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ALP-EPC-10UMA-CV-FND-0001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ALP-EPC-00UQA-CV-FND-0001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2027-02-04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2026-12-31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GRP CW pipes and fittings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MV switchgear 10.5 kV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CWP-03-EL-01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Emergency diesel generator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2027-11-22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CWP-03-EL-01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HVAC plant and equipment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2027-10-12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CWP-03-HV-01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decision:DEC-EPCE-0007); a change of staffing changes the dates at the next run.</w:t>
      </w:r>
    </w:p>
    <w:p>
      <w:pPr>
        <w:pStyle w:val="ListBullet"/>
      </w:pPr>
      <w:r>
        <w:t>Hours cover document preparation only (see section 3); isometric counts are estimated per piping system.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6 OK, 0 INFO, 0 WARN (checks: coverage MR, coverage equipment, coverage requirement, coverage scope, coverage system,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v1.1.0 | data af86df2f34eb9f24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