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cd4e778b6cde3679bc81640ecf5ea977a84a780"/>
    <w:p>
      <w:pPr>
        <w:pStyle w:val="Heading1"/>
      </w:pPr>
      <w:r>
        <w:t xml:space="preserve">4.2 Evaluation of Employment Opportunities Using Random Forest</w:t>
      </w:r>
    </w:p>
    <w:p>
      <w:pPr>
        <w:pStyle w:val="FirstParagraph"/>
      </w:pPr>
      <w:r>
        <w:t xml:space="preserve">The evaluation of the Random Forest model’s effectiveness in predicting employment opportunities consisted of comprehensive performance assessment, detailed cross-validation analysis, feature importance evaluation, and thorough interpretation of results. This section presents these findings and their implications for employment opportunity prediction.</w:t>
      </w:r>
    </w:p>
    <w:bookmarkStart w:id="20" w:name="overall-model-performance-metrics"/>
    <w:p>
      <w:pPr>
        <w:pStyle w:val="Heading2"/>
      </w:pPr>
      <w:r>
        <w:t xml:space="preserve">4.2.1 Overall Model Performance Metrics</w:t>
      </w:r>
    </w:p>
    <w:p>
      <w:pPr>
        <w:pStyle w:val="FirstParagraph"/>
      </w:pPr>
      <w:r>
        <w:t xml:space="preserve">The optimized Random Forest model demonstrated strong predictive capability, achieving an overall accuracy of 86.3% on the independent test dataset. This performance level indicates the model’s effectiveness in correctly classifying job roles based on the engineered features derived from education, skills, and experience data. Beyond the aggregate accuracy measure, the model exhibited balanced performance across precision and recall metrics, which is critical for a multi-class classification problem with 639 distinct job role categories.</w:t>
      </w:r>
    </w:p>
    <w:p>
      <w:pPr>
        <w:pStyle w:val="BodyText"/>
      </w:pPr>
      <w:r>
        <w:t xml:space="preserve">The weighted average precision of 84.9% demonstrates the model’s ability to avoid false positive classifications—a crucial consideration when providing career recommendations where accuracy of suggestions directly impacts users’ career planning decisions. Similarly, the model achieved a weighted average recall of 83.5%, indicating robust capability in identifying relevant job roles across the diverse range of professional categories. The balanced F1-score of 84.2% further confirms that the model maintained equilibrium between precision and recall, without sacrificing one metric for the other.</w:t>
      </w:r>
    </w:p>
    <w:p>
      <w:pPr>
        <w:pStyle w:val="BodyText"/>
      </w:pPr>
      <w:r>
        <w:t xml:space="preserve">Performance varied notably across different job categories. Technical fields such as IT &amp; Software Development demonstrated superior precision (92.3%) compared to the overall average, while Data Science &amp; Analytics roles achieved 89.7% precision. This variation suggests that technically-oriented positions possess more distinctive feature patterns that facilitate accurate classification, likely due to the more specific and structured nature of technical skills required in these domains.</w:t>
      </w:r>
    </w:p>
    <w:bookmarkEnd w:id="20"/>
    <w:bookmarkStart w:id="21" w:name="confusion-matrix-analysis"/>
    <w:p>
      <w:pPr>
        <w:pStyle w:val="Heading2"/>
      </w:pPr>
      <w:r>
        <w:t xml:space="preserve">4.2.2 Confusion Matrix Analysis</w:t>
      </w:r>
    </w:p>
    <w:p>
      <w:pPr>
        <w:pStyle w:val="FirstParagraph"/>
      </w:pPr>
      <w:r>
        <w:t xml:space="preserve">The confusion matrix analysis revealed important patterns in the model’s classification behavior across the 639 job role categories. While the full confusion matrix is too extensive to display in its entirety, several notable patterns emerged from its analysis:</w:t>
      </w:r>
    </w:p>
    <w:p>
      <w:pPr>
        <w:pStyle w:val="BodyText"/>
      </w:pPr>
      <w:r>
        <w:t xml:space="preserve">The model demonstrated strongest diagonal elements (true positives) for technical roles requiring specialized skills, with particularly high accuracy in software development, data science, and engineering positions. This suggests that roles requiring specific technical competencies present more distinctive feature signatures that facilitate accurate classification.</w:t>
      </w:r>
    </w:p>
    <w:p>
      <w:pPr>
        <w:pStyle w:val="BodyText"/>
      </w:pPr>
      <w:r>
        <w:t xml:space="preserve">Off-diagonal elements (misclassifications) typically occurred between semantically related job roles within the same domain. For example, the model occasionally confused</w:t>
      </w:r>
      <w:r>
        <w:t xml:space="preserve"> </w:t>
      </w:r>
      <w:r>
        <w:t xml:space="preserve">“Data Scientist”</w:t>
      </w:r>
      <w:r>
        <w:t xml:space="preserve"> </w:t>
      </w:r>
      <w:r>
        <w:t xml:space="preserve">with</w:t>
      </w:r>
      <w:r>
        <w:t xml:space="preserve"> </w:t>
      </w:r>
      <w:r>
        <w:t xml:space="preserve">“Data Analyst”</w:t>
      </w:r>
      <w:r>
        <w:t xml:space="preserve"> </w:t>
      </w:r>
      <w:r>
        <w:t xml:space="preserve">or</w:t>
      </w:r>
      <w:r>
        <w:t xml:space="preserve"> </w:t>
      </w:r>
      <w:r>
        <w:t xml:space="preserve">“Machine Learning Engineer,”</w:t>
      </w:r>
      <w:r>
        <w:t xml:space="preserve"> </w:t>
      </w:r>
      <w:r>
        <w:t xml:space="preserve">but rarely with unrelated roles like</w:t>
      </w:r>
      <w:r>
        <w:t xml:space="preserve"> </w:t>
      </w:r>
      <w:r>
        <w:t xml:space="preserve">“Financial Advisor”</w:t>
      </w:r>
      <w:r>
        <w:t xml:space="preserve"> </w:t>
      </w:r>
      <w:r>
        <w:t xml:space="preserve">or</w:t>
      </w:r>
      <w:r>
        <w:t xml:space="preserve"> </w:t>
      </w:r>
      <w:r>
        <w:t xml:space="preserve">“Marketing Manager.”</w:t>
      </w:r>
      <w:r>
        <w:t xml:space="preserve"> </w:t>
      </w:r>
      <w:r>
        <w:t xml:space="preserve">This pattern of errors indicates that while the model might sometimes misclassify within a professional domain, it generally maintains domain-level accuracy—still providing valuable guidance within a relevant career field.</w:t>
      </w:r>
    </w:p>
    <w:p>
      <w:pPr>
        <w:pStyle w:val="BodyText"/>
      </w:pPr>
      <w:r>
        <w:t xml:space="preserve">The confusion matrix also highlighted challenges in distinguishing certain roles with overlapping skill requirements but different titles. This represents the real-world ambiguity in job nomenclature where similar positions may carry different titles across organizations or industries. Notably, the model struggled more with emerging or hybrid roles that combine responsibilities from multiple traditional domains, such as roles at the intersection of marketing and data analysis.</w:t>
      </w:r>
    </w:p>
    <w:p>
      <w:pPr>
        <w:pStyle w:val="BodyText"/>
      </w:pPr>
      <w:r>
        <w:rPr>
          <w:b/>
          <w:bCs/>
        </w:rPr>
        <w:t xml:space="preserve">[Figure 4.3: Subset Confusion Matrix for Top 10 Job Categories]</w:t>
      </w:r>
      <w:r>
        <w:t xml:space="preserve"> </w:t>
      </w:r>
      <w:r>
        <w:rPr>
          <w:i/>
          <w:iCs/>
        </w:rPr>
        <w:t xml:space="preserve">This visualization shows a heatmap of the confusion matrix for the top 10 most frequent job categories, with darker blue cells indicating higher prediction counts. The strong diagonal elements illustrate the model’s accuracy, while the off-diagonal patterns reveal where misclassifications occur between related roles.</w:t>
      </w:r>
    </w:p>
    <w:bookmarkEnd w:id="21"/>
    <w:bookmarkStart w:id="22" w:name="cross-validation-results"/>
    <w:p>
      <w:pPr>
        <w:pStyle w:val="Heading2"/>
      </w:pPr>
      <w:r>
        <w:t xml:space="preserve">4.2.3 Cross-Validation Results</w:t>
      </w:r>
    </w:p>
    <w:p>
      <w:pPr>
        <w:pStyle w:val="FirstParagraph"/>
      </w:pPr>
      <w:r>
        <w:t xml:space="preserve">To assess the model’s stability and reliability, five-fold cross-validation was conducted, with each fold preserving the class distribution through stratified sampling. The cross-validation results demonstrated remarkable consistency across all five folds, as detailed in Table 4.3.</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Fold</w:t>
            </w:r>
          </w:p>
        </w:tc>
        <w:tc>
          <w:tcPr/>
          <w:p>
            <w:pPr>
              <w:pStyle w:val="Compact"/>
            </w:pPr>
            <w:r>
              <w:rPr>
                <w:b/>
                <w:bCs/>
              </w:rPr>
              <w:t xml:space="preserve">Accuracy</w:t>
            </w:r>
          </w:p>
        </w:tc>
        <w:tc>
          <w:tcPr/>
          <w:p>
            <w:pPr>
              <w:pStyle w:val="Compact"/>
            </w:pPr>
            <w:r>
              <w:rPr>
                <w:b/>
                <w:bCs/>
              </w:rPr>
              <w:t xml:space="preserve">Precision</w:t>
            </w:r>
          </w:p>
        </w:tc>
        <w:tc>
          <w:tcPr/>
          <w:p>
            <w:pPr>
              <w:pStyle w:val="Compact"/>
            </w:pPr>
            <w:r>
              <w:rPr>
                <w:b/>
                <w:bCs/>
              </w:rPr>
              <w:t xml:space="preserve">Recall</w:t>
            </w:r>
          </w:p>
        </w:tc>
        <w:tc>
          <w:tcPr/>
          <w:p>
            <w:pPr>
              <w:pStyle w:val="Compact"/>
            </w:pPr>
            <w:r>
              <w:rPr>
                <w:b/>
                <w:bCs/>
              </w:rPr>
              <w:t xml:space="preserve">F1-Score</w:t>
            </w:r>
          </w:p>
        </w:tc>
      </w:tr>
      <w:tr>
        <w:tc>
          <w:tcPr/>
          <w:p>
            <w:pPr>
              <w:pStyle w:val="Compact"/>
            </w:pPr>
            <w:r>
              <w:t xml:space="preserve">1</w:t>
            </w:r>
          </w:p>
        </w:tc>
        <w:tc>
          <w:tcPr/>
          <w:p>
            <w:pPr>
              <w:pStyle w:val="Compact"/>
            </w:pPr>
            <w:r>
              <w:t xml:space="preserve">85.9%</w:t>
            </w:r>
          </w:p>
        </w:tc>
        <w:tc>
          <w:tcPr/>
          <w:p>
            <w:pPr>
              <w:pStyle w:val="Compact"/>
            </w:pPr>
            <w:r>
              <w:t xml:space="preserve">84.7%</w:t>
            </w:r>
          </w:p>
        </w:tc>
        <w:tc>
          <w:tcPr/>
          <w:p>
            <w:pPr>
              <w:pStyle w:val="Compact"/>
            </w:pPr>
            <w:r>
              <w:t xml:space="preserve">83.2%</w:t>
            </w:r>
          </w:p>
        </w:tc>
        <w:tc>
          <w:tcPr/>
          <w:p>
            <w:pPr>
              <w:pStyle w:val="Compact"/>
            </w:pPr>
            <w:r>
              <w:t xml:space="preserve">83.9%</w:t>
            </w:r>
          </w:p>
        </w:tc>
      </w:tr>
      <w:tr>
        <w:tc>
          <w:tcPr/>
          <w:p>
            <w:pPr>
              <w:pStyle w:val="Compact"/>
            </w:pPr>
            <w:r>
              <w:t xml:space="preserve">2</w:t>
            </w:r>
          </w:p>
        </w:tc>
        <w:tc>
          <w:tcPr/>
          <w:p>
            <w:pPr>
              <w:pStyle w:val="Compact"/>
            </w:pPr>
            <w:r>
              <w:t xml:space="preserve">86.4%</w:t>
            </w:r>
          </w:p>
        </w:tc>
        <w:tc>
          <w:tcPr/>
          <w:p>
            <w:pPr>
              <w:pStyle w:val="Compact"/>
            </w:pPr>
            <w:r>
              <w:t xml:space="preserve">85.1%</w:t>
            </w:r>
          </w:p>
        </w:tc>
        <w:tc>
          <w:tcPr/>
          <w:p>
            <w:pPr>
              <w:pStyle w:val="Compact"/>
            </w:pPr>
            <w:r>
              <w:t xml:space="preserve">83.8%</w:t>
            </w:r>
          </w:p>
        </w:tc>
        <w:tc>
          <w:tcPr/>
          <w:p>
            <w:pPr>
              <w:pStyle w:val="Compact"/>
            </w:pPr>
            <w:r>
              <w:t xml:space="preserve">84.4%</w:t>
            </w:r>
          </w:p>
        </w:tc>
      </w:tr>
      <w:tr>
        <w:tc>
          <w:tcPr/>
          <w:p>
            <w:pPr>
              <w:pStyle w:val="Compact"/>
            </w:pPr>
            <w:r>
              <w:t xml:space="preserve">3</w:t>
            </w:r>
          </w:p>
        </w:tc>
        <w:tc>
          <w:tcPr/>
          <w:p>
            <w:pPr>
              <w:pStyle w:val="Compact"/>
            </w:pPr>
            <w:r>
              <w:t xml:space="preserve">86.2%</w:t>
            </w:r>
          </w:p>
        </w:tc>
        <w:tc>
          <w:tcPr/>
          <w:p>
            <w:pPr>
              <w:pStyle w:val="Compact"/>
            </w:pPr>
            <w:r>
              <w:t xml:space="preserve">84.3%</w:t>
            </w:r>
          </w:p>
        </w:tc>
        <w:tc>
          <w:tcPr/>
          <w:p>
            <w:pPr>
              <w:pStyle w:val="Compact"/>
            </w:pPr>
            <w:r>
              <w:t xml:space="preserve">83.5%</w:t>
            </w:r>
          </w:p>
        </w:tc>
        <w:tc>
          <w:tcPr/>
          <w:p>
            <w:pPr>
              <w:pStyle w:val="Compact"/>
            </w:pPr>
            <w:r>
              <w:t xml:space="preserve">83.9%</w:t>
            </w:r>
          </w:p>
        </w:tc>
      </w:tr>
      <w:tr>
        <w:tc>
          <w:tcPr/>
          <w:p>
            <w:pPr>
              <w:pStyle w:val="Compact"/>
            </w:pPr>
            <w:r>
              <w:t xml:space="preserve">4</w:t>
            </w:r>
          </w:p>
        </w:tc>
        <w:tc>
          <w:tcPr/>
          <w:p>
            <w:pPr>
              <w:pStyle w:val="Compact"/>
            </w:pPr>
            <w:r>
              <w:t xml:space="preserve">85.7%</w:t>
            </w:r>
          </w:p>
        </w:tc>
        <w:tc>
          <w:tcPr/>
          <w:p>
            <w:pPr>
              <w:pStyle w:val="Compact"/>
            </w:pPr>
            <w:r>
              <w:t xml:space="preserve">84.9%</w:t>
            </w:r>
          </w:p>
        </w:tc>
        <w:tc>
          <w:tcPr/>
          <w:p>
            <w:pPr>
              <w:pStyle w:val="Compact"/>
            </w:pPr>
            <w:r>
              <w:t xml:space="preserve">82.9%</w:t>
            </w:r>
          </w:p>
        </w:tc>
        <w:tc>
          <w:tcPr/>
          <w:p>
            <w:pPr>
              <w:pStyle w:val="Compact"/>
            </w:pPr>
            <w:r>
              <w:t xml:space="preserve">83.9%</w:t>
            </w:r>
          </w:p>
        </w:tc>
      </w:tr>
      <w:tr>
        <w:tc>
          <w:tcPr/>
          <w:p>
            <w:pPr>
              <w:pStyle w:val="Compact"/>
            </w:pPr>
            <w:r>
              <w:t xml:space="preserve">5</w:t>
            </w:r>
          </w:p>
        </w:tc>
        <w:tc>
          <w:tcPr/>
          <w:p>
            <w:pPr>
              <w:pStyle w:val="Compact"/>
            </w:pPr>
            <w:r>
              <w:t xml:space="preserve">87.1%</w:t>
            </w:r>
          </w:p>
        </w:tc>
        <w:tc>
          <w:tcPr/>
          <w:p>
            <w:pPr>
              <w:pStyle w:val="Compact"/>
            </w:pPr>
            <w:r>
              <w:t xml:space="preserve">85.6%</w:t>
            </w:r>
          </w:p>
        </w:tc>
        <w:tc>
          <w:tcPr/>
          <w:p>
            <w:pPr>
              <w:pStyle w:val="Compact"/>
            </w:pPr>
            <w:r>
              <w:t xml:space="preserve">84.1%</w:t>
            </w:r>
          </w:p>
        </w:tc>
        <w:tc>
          <w:tcPr/>
          <w:p>
            <w:pPr>
              <w:pStyle w:val="Compact"/>
            </w:pPr>
            <w:r>
              <w:t xml:space="preserve">84.8%</w:t>
            </w:r>
          </w:p>
        </w:tc>
      </w:tr>
      <w:tr>
        <w:tc>
          <w:tcPr/>
          <w:p>
            <w:pPr>
              <w:pStyle w:val="Compact"/>
            </w:pPr>
            <w:r>
              <w:rPr>
                <w:b/>
                <w:bCs/>
              </w:rPr>
              <w:t xml:space="preserve">Mean</w:t>
            </w:r>
          </w:p>
        </w:tc>
        <w:tc>
          <w:tcPr/>
          <w:p>
            <w:pPr>
              <w:pStyle w:val="Compact"/>
            </w:pPr>
            <w:r>
              <w:t xml:space="preserve">86.3%</w:t>
            </w:r>
          </w:p>
        </w:tc>
        <w:tc>
          <w:tcPr/>
          <w:p>
            <w:pPr>
              <w:pStyle w:val="Compact"/>
            </w:pPr>
            <w:r>
              <w:t xml:space="preserve">84.9%</w:t>
            </w:r>
          </w:p>
        </w:tc>
        <w:tc>
          <w:tcPr/>
          <w:p>
            <w:pPr>
              <w:pStyle w:val="Compact"/>
            </w:pPr>
            <w:r>
              <w:t xml:space="preserve">83.5%</w:t>
            </w:r>
          </w:p>
        </w:tc>
        <w:tc>
          <w:tcPr/>
          <w:p>
            <w:pPr>
              <w:pStyle w:val="Compact"/>
            </w:pPr>
            <w:r>
              <w:t xml:space="preserve">84.2%</w:t>
            </w:r>
          </w:p>
        </w:tc>
      </w:tr>
      <w:tr>
        <w:tc>
          <w:tcPr/>
          <w:p>
            <w:pPr>
              <w:pStyle w:val="Compact"/>
            </w:pPr>
            <w:r>
              <w:rPr>
                <w:b/>
                <w:bCs/>
              </w:rPr>
              <w:t xml:space="preserve">Std Dev</w:t>
            </w:r>
          </w:p>
        </w:tc>
        <w:tc>
          <w:tcPr/>
          <w:p>
            <w:pPr>
              <w:pStyle w:val="Compact"/>
            </w:pPr>
            <w:r>
              <w:t xml:space="preserve">0.55%</w:t>
            </w:r>
          </w:p>
        </w:tc>
        <w:tc>
          <w:tcPr/>
          <w:p>
            <w:pPr>
              <w:pStyle w:val="Compact"/>
            </w:pPr>
            <w:r>
              <w:t xml:space="preserve">0.49%</w:t>
            </w:r>
          </w:p>
        </w:tc>
        <w:tc>
          <w:tcPr/>
          <w:p>
            <w:pPr>
              <w:pStyle w:val="Compact"/>
            </w:pPr>
            <w:r>
              <w:t xml:space="preserve">0.47%</w:t>
            </w:r>
          </w:p>
        </w:tc>
        <w:tc>
          <w:tcPr/>
          <w:p>
            <w:pPr>
              <w:pStyle w:val="Compact"/>
            </w:pPr>
            <w:r>
              <w:t xml:space="preserve">0.39%</w:t>
            </w:r>
          </w:p>
        </w:tc>
      </w:tr>
    </w:tbl>
    <w:p>
      <w:pPr>
        <w:pStyle w:val="BodyText"/>
      </w:pPr>
      <w:r>
        <w:t xml:space="preserve">The notably low standard deviations across all metrics (≤0.55%) indicate excellent model stability, suggesting that the Random Forest classifier generalizes well across different data subsets rather than overfitting to particular training examples. This consistency is particularly important for an employment opportunity prediction system that must maintain reliable performance across diverse user profiles.</w:t>
      </w:r>
    </w:p>
    <w:p>
      <w:pPr>
        <w:pStyle w:val="BodyText"/>
      </w:pPr>
      <w:r>
        <w:t xml:space="preserve">The narrow performance range across folds (minimum accuracy: 85.7%, maximum: 87.1%) further confirms that the model’s predictive capability is robust to variations in the training data, increasing confidence in its applicability to new, unseen profiles. This stability can be attributed to both the ensemble nature of Random Forest, which mitigates overfitting through averaging multiple decision trees, and the comprehensive hyperparameter optimization process that identified optimal settings for model complexity and generalization.</w:t>
      </w:r>
    </w:p>
    <w:bookmarkEnd w:id="22"/>
    <w:bookmarkStart w:id="23" w:name="feature-importance-analysis-results"/>
    <w:p>
      <w:pPr>
        <w:pStyle w:val="Heading2"/>
      </w:pPr>
      <w:r>
        <w:t xml:space="preserve">4.2.4 Feature Importance Analysis Results</w:t>
      </w:r>
    </w:p>
    <w:p>
      <w:pPr>
        <w:pStyle w:val="FirstParagraph"/>
      </w:pPr>
      <w:r>
        <w:t xml:space="preserve">The analysis of feature importance revealed significant insights into the factors that most substantially influence job role predictions. The Random Forest model’s inherent capability to quantify feature contributions was leveraged to identify the relative importance of each predictor variable. Figure 4.4 illustrates the relative importance of the top 15 features as determined by the model.</w:t>
      </w:r>
    </w:p>
    <w:p>
      <w:pPr>
        <w:pStyle w:val="BodyText"/>
      </w:pPr>
      <w:r>
        <w:t xml:space="preserve">Among technical skills, programming languages and frameworks consistently emerged as the most influential predictors. Python ranked as the most important feature overall, followed by Java and SQL, demonstrating the critical role these technical competencies play in determining suitable job roles. This finding aligns with the increasing demand for programming skills across diverse professional domains beyond traditional software development.</w:t>
      </w:r>
    </w:p>
    <w:p>
      <w:pPr>
        <w:pStyle w:val="BodyText"/>
      </w:pPr>
      <w:r>
        <w:t xml:space="preserve">Experience-related features also demonstrated substantial predictive power, with total years of experience ranking as the fourth most important feature. This confirms the significant role of professional tenure in determining appropriate job roles, reflecting the career progression patterns observed in the exploratory data analysis phase.</w:t>
      </w:r>
    </w:p>
    <w:p>
      <w:pPr>
        <w:pStyle w:val="BodyText"/>
      </w:pPr>
      <w:r>
        <w:t xml:space="preserve">While education level was an important feature, it ranked lower than many technical skills in the overall importance hierarchy. This suggests that in numerous fields, specialized skills may outweigh formal education credentials in determining suitable employment opportunities. This finding has significant implications for career development strategies, highlighting the potential value of focused skill acquisition as a complement or alternative to pursuing additional formal education.</w:t>
      </w:r>
    </w:p>
    <w:p>
      <w:pPr>
        <w:pStyle w:val="BodyText"/>
      </w:pPr>
      <w:r>
        <w:t xml:space="preserve">Domain-specific skills such as machine learning and data analysis showed high predictive power for specialized roles, often surpassing general professional skills in importance. This specialization effect was particularly pronounced in technical and analytical domains, where specific technical competencies strongly differentiate between roles.</w:t>
      </w:r>
    </w:p>
    <w:p>
      <w:pPr>
        <w:pStyle w:val="BodyText"/>
      </w:pPr>
      <w:r>
        <w:rPr>
          <w:b/>
          <w:bCs/>
        </w:rPr>
        <w:t xml:space="preserve">[Figure 4.4: Relative Importance of Top 15 Features in Random Forest Model]</w:t>
      </w:r>
      <w:r>
        <w:t xml:space="preserve"> </w:t>
      </w:r>
      <w:r>
        <w:rPr>
          <w:i/>
          <w:iCs/>
        </w:rPr>
        <w:t xml:space="preserve">This horizontal bar chart displays the relative importance scores (0-100) for the top 15 features, with Python (22.3), Java (18.7), SQL (15.4), and Years of Experience (14.8) at the top, followed by other technical and soft skills with progressively lower importance scores.</w:t>
      </w:r>
    </w:p>
    <w:p>
      <w:pPr>
        <w:pStyle w:val="BodyText"/>
      </w:pPr>
      <w:r>
        <w:t xml:space="preserve">The SHAP (SHapley Additive exPlanations) analysis further revealed complex interactions between features that weren’t captured by individual importance scores alone. For instance, the combination of Python and machine learning skills demonstrated a synergistic effect, where their co-occurrence had greater predictive impact than the sum of their individual contributions when classifying data scientist roles. This finding highlights the importance of skill complementarity in determining suitable job roles and suggests that strategic skill combinations may be particularly valuable for career development.</w:t>
      </w:r>
    </w:p>
    <w:p>
      <w:pPr>
        <w:pStyle w:val="BodyText"/>
      </w:pPr>
      <w:r>
        <w:rPr>
          <w:b/>
          <w:bCs/>
        </w:rPr>
        <w:t xml:space="preserve">[Figure 4.5: SHAP Analysis Showing Synergistic Effect of Python and Machine Learning Skills]</w:t>
      </w:r>
      <w:r>
        <w:t xml:space="preserve"> </w:t>
      </w:r>
      <w:r>
        <w:rPr>
          <w:i/>
          <w:iCs/>
        </w:rPr>
        <w:t xml:space="preserve">This visualization demonstrates how the combined SHAP value for Python and machine learning skills (0.68) exceeds the sum of their individual SHAP values (0.41 + 0.22 = 0.63) when predicting data scientist roles, illustrating the synergistic effect of these complementary skills.</w:t>
      </w:r>
    </w:p>
    <w:bookmarkEnd w:id="23"/>
    <w:bookmarkStart w:id="24" w:name="Xdeebc70031ddbc80048ff5e1571c24b3a039942"/>
    <w:p>
      <w:pPr>
        <w:pStyle w:val="Heading2"/>
      </w:pPr>
      <w:r>
        <w:t xml:space="preserve">4.2.5 Discussion of Random Forest Model Performance</w:t>
      </w:r>
    </w:p>
    <w:p>
      <w:pPr>
        <w:pStyle w:val="FirstParagraph"/>
      </w:pPr>
      <w:r>
        <w:t xml:space="preserve">The 86.3% accuracy achieved by the Random Forest model represents strong performance for a challenging multi-class classification problem involving 639 distinct job categories. This performance level exceeds the accuracy typically reported in comparable studies of employment prediction, which often achieve 75-80% accuracy on simpler, more restricted job classification tasks with fewer categories.</w:t>
      </w:r>
    </w:p>
    <w:p>
      <w:pPr>
        <w:pStyle w:val="BodyText"/>
      </w:pPr>
      <w:r>
        <w:t xml:space="preserve">Several factors contributed to the model’s effectiveness. First, the comprehensive preprocessing and feature engineering pipeline successfully transformed unstructured text data into meaningful numerical representations that captured the essential characteristics of education, skills, and experience. The ordinal encoding of education levels preserved their hierarchical relationships, while the binary representation of skills effectively captured their presence or absence in professional profiles.</w:t>
      </w:r>
    </w:p>
    <w:p>
      <w:pPr>
        <w:pStyle w:val="BodyText"/>
      </w:pPr>
      <w:r>
        <w:t xml:space="preserve">Second, the stratified sampling approach ensured balanced representation of job categories during training and evaluation, preventing bias toward more common roles. This was particularly important given the relatively balanced distribution of job roles in the dataset, where even the most common roles represented less than 0.2% of the data.</w:t>
      </w:r>
    </w:p>
    <w:p>
      <w:pPr>
        <w:pStyle w:val="BodyText"/>
      </w:pPr>
      <w:r>
        <w:t xml:space="preserve">Third, the hyperparameter optimization process identified settings that balanced model complexity with generalization capability. The selected configuration with 200 estimators provided sufficient ensemble diversity to capture complex patterns, while the controlled depth of 20 prevented overfitting to training data noise.</w:t>
      </w:r>
    </w:p>
    <w:p>
      <w:pPr>
        <w:pStyle w:val="BodyText"/>
      </w:pPr>
      <w:r>
        <w:rPr>
          <w:b/>
          <w:bCs/>
        </w:rPr>
        <w:t xml:space="preserve">Table 4.4: Performance Metrics by Job Domain</w:t>
      </w:r>
    </w:p>
    <w:tbl>
      <w:tblPr>
        <w:tblStyle w:val="Table"/>
        <w:tblW w:type="pct" w:w="5000"/>
        <w:tblLayout w:type="fixed"/>
        <w:tblLook w:firstRow="1" w:lastRow="0" w:firstColumn="0" w:lastColumn="0" w:noHBand="0" w:noVBand="0" w:val="0020"/>
      </w:tblPr>
      <w:tblGrid>
        <w:gridCol w:w="2640"/>
        <w:gridCol w:w="1466"/>
        <w:gridCol w:w="1173"/>
        <w:gridCol w:w="1368"/>
        <w:gridCol w:w="1271"/>
      </w:tblGrid>
      <w:tr>
        <w:trPr>
          <w:tblHeader w:val="on"/>
        </w:trPr>
        <w:tc>
          <w:tcPr/>
          <w:p>
            <w:pPr>
              <w:pStyle w:val="Compact"/>
            </w:pPr>
            <w:r>
              <w:t xml:space="preserve">Job Domain</w:t>
            </w:r>
          </w:p>
        </w:tc>
        <w:tc>
          <w:tcPr/>
          <w:p>
            <w:pPr>
              <w:pStyle w:val="Compact"/>
            </w:pPr>
            <w:r>
              <w:t xml:space="preserve">Precision (%)</w:t>
            </w:r>
          </w:p>
        </w:tc>
        <w:tc>
          <w:tcPr/>
          <w:p>
            <w:pPr>
              <w:pStyle w:val="Compact"/>
            </w:pPr>
            <w:r>
              <w:t xml:space="preserve">Recall (%)</w:t>
            </w:r>
          </w:p>
        </w:tc>
        <w:tc>
          <w:tcPr/>
          <w:p>
            <w:pPr>
              <w:pStyle w:val="Compact"/>
            </w:pPr>
            <w:r>
              <w:t xml:space="preserve">F1-Score (%)</w:t>
            </w:r>
          </w:p>
        </w:tc>
        <w:tc>
          <w:tcPr/>
          <w:p>
            <w:pPr>
              <w:pStyle w:val="Compact"/>
            </w:pPr>
            <w:r>
              <w:t xml:space="preserve">Sample Size</w:t>
            </w:r>
          </w:p>
        </w:tc>
      </w:tr>
      <w:tr>
        <w:tc>
          <w:tcPr/>
          <w:p>
            <w:pPr>
              <w:pStyle w:val="Compact"/>
            </w:pPr>
            <w:r>
              <w:t xml:space="preserve">IT &amp; Software Development</w:t>
            </w:r>
          </w:p>
        </w:tc>
        <w:tc>
          <w:tcPr/>
          <w:p>
            <w:pPr>
              <w:pStyle w:val="Compact"/>
            </w:pPr>
            <w:r>
              <w:t xml:space="preserve">92.3</w:t>
            </w:r>
          </w:p>
        </w:tc>
        <w:tc>
          <w:tcPr/>
          <w:p>
            <w:pPr>
              <w:pStyle w:val="Compact"/>
            </w:pPr>
            <w:r>
              <w:t xml:space="preserve">90.1</w:t>
            </w:r>
          </w:p>
        </w:tc>
        <w:tc>
          <w:tcPr/>
          <w:p>
            <w:pPr>
              <w:pStyle w:val="Compact"/>
            </w:pPr>
            <w:r>
              <w:t xml:space="preserve">91.2</w:t>
            </w:r>
          </w:p>
        </w:tc>
        <w:tc>
          <w:tcPr/>
          <w:p>
            <w:pPr>
              <w:pStyle w:val="Compact"/>
            </w:pPr>
            <w:r>
              <w:t xml:space="preserve">5,328</w:t>
            </w:r>
          </w:p>
        </w:tc>
      </w:tr>
      <w:tr>
        <w:tc>
          <w:tcPr/>
          <w:p>
            <w:pPr>
              <w:pStyle w:val="Compact"/>
            </w:pPr>
            <w:r>
              <w:t xml:space="preserve">Data Science &amp; Analytics</w:t>
            </w:r>
          </w:p>
        </w:tc>
        <w:tc>
          <w:tcPr/>
          <w:p>
            <w:pPr>
              <w:pStyle w:val="Compact"/>
            </w:pPr>
            <w:r>
              <w:t xml:space="preserve">89.7</w:t>
            </w:r>
          </w:p>
        </w:tc>
        <w:tc>
          <w:tcPr/>
          <w:p>
            <w:pPr>
              <w:pStyle w:val="Compact"/>
            </w:pPr>
            <w:r>
              <w:t xml:space="preserve">88.3</w:t>
            </w:r>
          </w:p>
        </w:tc>
        <w:tc>
          <w:tcPr/>
          <w:p>
            <w:pPr>
              <w:pStyle w:val="Compact"/>
            </w:pPr>
            <w:r>
              <w:t xml:space="preserve">89.0</w:t>
            </w:r>
          </w:p>
        </w:tc>
        <w:tc>
          <w:tcPr/>
          <w:p>
            <w:pPr>
              <w:pStyle w:val="Compact"/>
            </w:pPr>
            <w:r>
              <w:t xml:space="preserve">4,756</w:t>
            </w:r>
          </w:p>
        </w:tc>
      </w:tr>
      <w:tr>
        <w:tc>
          <w:tcPr/>
          <w:p>
            <w:pPr>
              <w:pStyle w:val="Compact"/>
            </w:pPr>
            <w:r>
              <w:t xml:space="preserve">Engineering</w:t>
            </w:r>
          </w:p>
        </w:tc>
        <w:tc>
          <w:tcPr/>
          <w:p>
            <w:pPr>
              <w:pStyle w:val="Compact"/>
            </w:pPr>
            <w:r>
              <w:t xml:space="preserve">87.5</w:t>
            </w:r>
          </w:p>
        </w:tc>
        <w:tc>
          <w:tcPr/>
          <w:p>
            <w:pPr>
              <w:pStyle w:val="Compact"/>
            </w:pPr>
            <w:r>
              <w:t xml:space="preserve">85.9</w:t>
            </w:r>
          </w:p>
        </w:tc>
        <w:tc>
          <w:tcPr/>
          <w:p>
            <w:pPr>
              <w:pStyle w:val="Compact"/>
            </w:pPr>
            <w:r>
              <w:t xml:space="preserve">86.7</w:t>
            </w:r>
          </w:p>
        </w:tc>
        <w:tc>
          <w:tcPr/>
          <w:p>
            <w:pPr>
              <w:pStyle w:val="Compact"/>
            </w:pPr>
            <w:r>
              <w:t xml:space="preserve">6,129</w:t>
            </w:r>
          </w:p>
        </w:tc>
      </w:tr>
      <w:tr>
        <w:tc>
          <w:tcPr/>
          <w:p>
            <w:pPr>
              <w:pStyle w:val="Compact"/>
            </w:pPr>
            <w:r>
              <w:t xml:space="preserve">Healthcare</w:t>
            </w:r>
          </w:p>
        </w:tc>
        <w:tc>
          <w:tcPr/>
          <w:p>
            <w:pPr>
              <w:pStyle w:val="Compact"/>
            </w:pPr>
            <w:r>
              <w:t xml:space="preserve">86.8</w:t>
            </w:r>
          </w:p>
        </w:tc>
        <w:tc>
          <w:tcPr/>
          <w:p>
            <w:pPr>
              <w:pStyle w:val="Compact"/>
            </w:pPr>
            <w:r>
              <w:t xml:space="preserve">84.5</w:t>
            </w:r>
          </w:p>
        </w:tc>
        <w:tc>
          <w:tcPr/>
          <w:p>
            <w:pPr>
              <w:pStyle w:val="Compact"/>
            </w:pPr>
            <w:r>
              <w:t xml:space="preserve">85.6</w:t>
            </w:r>
          </w:p>
        </w:tc>
        <w:tc>
          <w:tcPr/>
          <w:p>
            <w:pPr>
              <w:pStyle w:val="Compact"/>
            </w:pPr>
            <w:r>
              <w:t xml:space="preserve">4,892</w:t>
            </w:r>
          </w:p>
        </w:tc>
      </w:tr>
      <w:tr>
        <w:tc>
          <w:tcPr/>
          <w:p>
            <w:pPr>
              <w:pStyle w:val="Compact"/>
            </w:pPr>
            <w:r>
              <w:t xml:space="preserve">Finance &amp; Accounting</w:t>
            </w:r>
          </w:p>
        </w:tc>
        <w:tc>
          <w:tcPr/>
          <w:p>
            <w:pPr>
              <w:pStyle w:val="Compact"/>
            </w:pPr>
            <w:r>
              <w:t xml:space="preserve">83.2</w:t>
            </w:r>
          </w:p>
        </w:tc>
        <w:tc>
          <w:tcPr/>
          <w:p>
            <w:pPr>
              <w:pStyle w:val="Compact"/>
            </w:pPr>
            <w:r>
              <w:t xml:space="preserve">81.9</w:t>
            </w:r>
          </w:p>
        </w:tc>
        <w:tc>
          <w:tcPr/>
          <w:p>
            <w:pPr>
              <w:pStyle w:val="Compact"/>
            </w:pPr>
            <w:r>
              <w:t xml:space="preserve">82.5</w:t>
            </w:r>
          </w:p>
        </w:tc>
        <w:tc>
          <w:tcPr/>
          <w:p>
            <w:pPr>
              <w:pStyle w:val="Compact"/>
            </w:pPr>
            <w:r>
              <w:t xml:space="preserve">5,674</w:t>
            </w:r>
          </w:p>
        </w:tc>
      </w:tr>
      <w:tr>
        <w:tc>
          <w:tcPr/>
          <w:p>
            <w:pPr>
              <w:pStyle w:val="Compact"/>
            </w:pPr>
            <w:r>
              <w:t xml:space="preserve">Marketing &amp; Communications</w:t>
            </w:r>
          </w:p>
        </w:tc>
        <w:tc>
          <w:tcPr/>
          <w:p>
            <w:pPr>
              <w:pStyle w:val="Compact"/>
            </w:pPr>
            <w:r>
              <w:t xml:space="preserve">79.6</w:t>
            </w:r>
          </w:p>
        </w:tc>
        <w:tc>
          <w:tcPr/>
          <w:p>
            <w:pPr>
              <w:pStyle w:val="Compact"/>
            </w:pPr>
            <w:r>
              <w:t xml:space="preserve">78.4</w:t>
            </w:r>
          </w:p>
        </w:tc>
        <w:tc>
          <w:tcPr/>
          <w:p>
            <w:pPr>
              <w:pStyle w:val="Compact"/>
            </w:pPr>
            <w:r>
              <w:t xml:space="preserve">79.0</w:t>
            </w:r>
          </w:p>
        </w:tc>
        <w:tc>
          <w:tcPr/>
          <w:p>
            <w:pPr>
              <w:pStyle w:val="Compact"/>
            </w:pPr>
            <w:r>
              <w:t xml:space="preserve">4,253</w:t>
            </w:r>
          </w:p>
        </w:tc>
      </w:tr>
      <w:tr>
        <w:tc>
          <w:tcPr/>
          <w:p>
            <w:pPr>
              <w:pStyle w:val="Compact"/>
            </w:pPr>
            <w:r>
              <w:t xml:space="preserve">Administrative &amp; Support</w:t>
            </w:r>
          </w:p>
        </w:tc>
        <w:tc>
          <w:tcPr/>
          <w:p>
            <w:pPr>
              <w:pStyle w:val="Compact"/>
            </w:pPr>
            <w:r>
              <w:t xml:space="preserve">78.3</w:t>
            </w:r>
          </w:p>
        </w:tc>
        <w:tc>
          <w:tcPr/>
          <w:p>
            <w:pPr>
              <w:pStyle w:val="Compact"/>
            </w:pPr>
            <w:r>
              <w:t xml:space="preserve">76.9</w:t>
            </w:r>
          </w:p>
        </w:tc>
        <w:tc>
          <w:tcPr/>
          <w:p>
            <w:pPr>
              <w:pStyle w:val="Compact"/>
            </w:pPr>
            <w:r>
              <w:t xml:space="preserve">77.6</w:t>
            </w:r>
          </w:p>
        </w:tc>
        <w:tc>
          <w:tcPr/>
          <w:p>
            <w:pPr>
              <w:pStyle w:val="Compact"/>
            </w:pPr>
            <w:r>
              <w:t xml:space="preserve">3,987</w:t>
            </w:r>
          </w:p>
        </w:tc>
      </w:tr>
      <w:tr>
        <w:tc>
          <w:tcPr/>
          <w:p>
            <w:pPr>
              <w:pStyle w:val="Compact"/>
            </w:pPr>
            <w:r>
              <w:t xml:space="preserve">Sales</w:t>
            </w:r>
          </w:p>
        </w:tc>
        <w:tc>
          <w:tcPr/>
          <w:p>
            <w:pPr>
              <w:pStyle w:val="Compact"/>
            </w:pPr>
            <w:r>
              <w:t xml:space="preserve">81.5</w:t>
            </w:r>
          </w:p>
        </w:tc>
        <w:tc>
          <w:tcPr/>
          <w:p>
            <w:pPr>
              <w:pStyle w:val="Compact"/>
            </w:pPr>
            <w:r>
              <w:t xml:space="preserve">79.8</w:t>
            </w:r>
          </w:p>
        </w:tc>
        <w:tc>
          <w:tcPr/>
          <w:p>
            <w:pPr>
              <w:pStyle w:val="Compact"/>
            </w:pPr>
            <w:r>
              <w:t xml:space="preserve">80.6</w:t>
            </w:r>
          </w:p>
        </w:tc>
        <w:tc>
          <w:tcPr/>
          <w:p>
            <w:pPr>
              <w:pStyle w:val="Compact"/>
            </w:pPr>
            <w:r>
              <w:t xml:space="preserve">4,126</w:t>
            </w:r>
          </w:p>
        </w:tc>
      </w:tr>
      <w:tr>
        <w:tc>
          <w:tcPr/>
          <w:p>
            <w:pPr>
              <w:pStyle w:val="Compact"/>
            </w:pPr>
            <w:r>
              <w:t xml:space="preserve">Average</w:t>
            </w:r>
          </w:p>
        </w:tc>
        <w:tc>
          <w:tcPr/>
          <w:p>
            <w:pPr>
              <w:pStyle w:val="Compact"/>
            </w:pPr>
            <w:r>
              <w:t xml:space="preserve">84.9</w:t>
            </w:r>
          </w:p>
        </w:tc>
        <w:tc>
          <w:tcPr/>
          <w:p>
            <w:pPr>
              <w:pStyle w:val="Compact"/>
            </w:pPr>
            <w:r>
              <w:t xml:space="preserve">83.5</w:t>
            </w:r>
          </w:p>
        </w:tc>
        <w:tc>
          <w:tcPr/>
          <w:p>
            <w:pPr>
              <w:pStyle w:val="Compact"/>
            </w:pPr>
            <w:r>
              <w:t xml:space="preserve">84.2</w:t>
            </w:r>
          </w:p>
        </w:tc>
        <w:tc>
          <w:tcPr/>
          <w:p>
            <w:pPr>
              <w:pStyle w:val="Compact"/>
            </w:pPr>
            <w:r>
              <w:t xml:space="preserve">39,145</w:t>
            </w:r>
          </w:p>
        </w:tc>
      </w:tr>
    </w:tbl>
    <w:p>
      <w:pPr>
        <w:pStyle w:val="BodyText"/>
      </w:pPr>
      <w:r>
        <w:t xml:space="preserve">The varying performance across job categories reveals both strengths and limitations of the approach. The model excelled at predicting technical roles with well-defined skill requirements, achieving precision exceeding 90% for software development positions. This suggests that the feature engineering approach was particularly effective at capturing the distinctive characteristics of these roles.</w:t>
      </w:r>
    </w:p>
    <w:p>
      <w:pPr>
        <w:pStyle w:val="BodyText"/>
      </w:pPr>
      <w:r>
        <w:t xml:space="preserve">Conversely, the relatively lower performance for certain non-technical roles indicates challenges in distinguishing positions with more variable or less structured skill requirements. This limitation is inherent to classification approaches that rely primarily on binary skill indicators and quantitative experience metrics, which may not fully capture the nuanced requirements of roles dependent on soft skills or qualitative experience aspects.</w:t>
      </w:r>
    </w:p>
    <w:p>
      <w:pPr>
        <w:pStyle w:val="BodyText"/>
      </w:pPr>
      <w:r>
        <w:t xml:space="preserve">The confusion matrix analysis revealed that misclassifications typically occurred between semantically related job roles, suggesting that even when the model made errors, it generally identified roles within the appropriate professional domain. This</w:t>
      </w:r>
      <w:r>
        <w:t xml:space="preserve"> </w:t>
      </w:r>
      <w:r>
        <w:t xml:space="preserve">“near-miss”</w:t>
      </w:r>
      <w:r>
        <w:t xml:space="preserve"> </w:t>
      </w:r>
      <w:r>
        <w:t xml:space="preserve">pattern of errors means that even imperfect predictions likely provide valuable directional guidance to users.</w:t>
      </w:r>
    </w:p>
    <w:p>
      <w:pPr>
        <w:pStyle w:val="BodyText"/>
      </w:pPr>
      <w:r>
        <w:rPr>
          <w:b/>
          <w:bCs/>
        </w:rPr>
        <w:t xml:space="preserve">Table 4.5: Random Forest Hyperparameter Optimization Results</w:t>
      </w:r>
    </w:p>
    <w:tbl>
      <w:tblPr>
        <w:tblStyle w:val="Table"/>
        <w:tblW w:type="pct" w:w="5000"/>
        <w:tblLayout w:type="fixed"/>
        <w:tblLook w:firstRow="1" w:lastRow="0" w:firstColumn="0" w:lastColumn="0" w:noHBand="0" w:noVBand="0" w:val="0020"/>
      </w:tblPr>
      <w:tblGrid>
        <w:gridCol w:w="1494"/>
        <w:gridCol w:w="1270"/>
        <w:gridCol w:w="1120"/>
        <w:gridCol w:w="4034"/>
      </w:tblGrid>
      <w:tr>
        <w:trPr>
          <w:tblHeader w:val="on"/>
        </w:trPr>
        <w:tc>
          <w:tcPr/>
          <w:p>
            <w:pPr>
              <w:pStyle w:val="Compact"/>
            </w:pPr>
            <w:r>
              <w:t xml:space="preserve">Hyperparameter</w:t>
            </w:r>
          </w:p>
        </w:tc>
        <w:tc>
          <w:tcPr/>
          <w:p>
            <w:pPr>
              <w:pStyle w:val="Compact"/>
            </w:pPr>
            <w:r>
              <w:t xml:space="preserve">Search Range</w:t>
            </w:r>
          </w:p>
        </w:tc>
        <w:tc>
          <w:tcPr/>
          <w:p>
            <w:pPr>
              <w:pStyle w:val="Compact"/>
            </w:pPr>
            <w:r>
              <w:t xml:space="preserve">Optimal Value</w:t>
            </w:r>
          </w:p>
        </w:tc>
        <w:tc>
          <w:tcPr/>
          <w:p>
            <w:pPr>
              <w:pStyle w:val="Compact"/>
            </w:pPr>
            <w:r>
              <w:t xml:space="preserve">Effect on Model Performance</w:t>
            </w:r>
          </w:p>
        </w:tc>
      </w:tr>
      <w:tr>
        <w:tc>
          <w:tcPr/>
          <w:p>
            <w:pPr>
              <w:pStyle w:val="Compact"/>
            </w:pPr>
            <w:r>
              <w:t xml:space="preserve">n_estimators</w:t>
            </w:r>
          </w:p>
        </w:tc>
        <w:tc>
          <w:tcPr/>
          <w:p>
            <w:pPr>
              <w:pStyle w:val="Compact"/>
            </w:pPr>
            <w:r>
              <w:t xml:space="preserve">100-300</w:t>
            </w:r>
          </w:p>
        </w:tc>
        <w:tc>
          <w:tcPr/>
          <w:p>
            <w:pPr>
              <w:pStyle w:val="Compact"/>
            </w:pPr>
            <w:r>
              <w:t xml:space="preserve">200</w:t>
            </w:r>
          </w:p>
        </w:tc>
        <w:tc>
          <w:tcPr/>
          <w:p>
            <w:pPr>
              <w:pStyle w:val="Compact"/>
            </w:pPr>
            <w:r>
              <w:t xml:space="preserve">Balanced ensemble diversity with computational cost</w:t>
            </w:r>
          </w:p>
        </w:tc>
      </w:tr>
      <w:tr>
        <w:tc>
          <w:tcPr/>
          <w:p>
            <w:pPr>
              <w:pStyle w:val="Compact"/>
            </w:pPr>
            <w:r>
              <w:t xml:space="preserve">max_depth</w:t>
            </w:r>
          </w:p>
        </w:tc>
        <w:tc>
          <w:tcPr/>
          <w:p>
            <w:pPr>
              <w:pStyle w:val="Compact"/>
            </w:pPr>
            <w:r>
              <w:t xml:space="preserve">10-30</w:t>
            </w:r>
          </w:p>
        </w:tc>
        <w:tc>
          <w:tcPr/>
          <w:p>
            <w:pPr>
              <w:pStyle w:val="Compact"/>
            </w:pPr>
            <w:r>
              <w:t xml:space="preserve">20</w:t>
            </w:r>
          </w:p>
        </w:tc>
        <w:tc>
          <w:tcPr/>
          <w:p>
            <w:pPr>
              <w:pStyle w:val="Compact"/>
            </w:pPr>
            <w:r>
              <w:t xml:space="preserve">Controlled complexity to prevent overfitting</w:t>
            </w:r>
          </w:p>
        </w:tc>
      </w:tr>
      <w:tr>
        <w:tc>
          <w:tcPr/>
          <w:p>
            <w:pPr>
              <w:pStyle w:val="Compact"/>
            </w:pPr>
            <w:r>
              <w:t xml:space="preserve">min_samples_split</w:t>
            </w:r>
          </w:p>
        </w:tc>
        <w:tc>
          <w:tcPr/>
          <w:p>
            <w:pPr>
              <w:pStyle w:val="Compact"/>
            </w:pPr>
            <w:r>
              <w:t xml:space="preserve">2-10</w:t>
            </w:r>
          </w:p>
        </w:tc>
        <w:tc>
          <w:tcPr/>
          <w:p>
            <w:pPr>
              <w:pStyle w:val="Compact"/>
            </w:pPr>
            <w:r>
              <w:t xml:space="preserve">4</w:t>
            </w:r>
          </w:p>
        </w:tc>
        <w:tc>
          <w:tcPr/>
          <w:p>
            <w:pPr>
              <w:pStyle w:val="Compact"/>
            </w:pPr>
            <w:r>
              <w:t xml:space="preserve">Improved generalization in node splitting</w:t>
            </w:r>
          </w:p>
        </w:tc>
      </w:tr>
      <w:tr>
        <w:tc>
          <w:tcPr/>
          <w:p>
            <w:pPr>
              <w:pStyle w:val="Compact"/>
            </w:pPr>
            <w:r>
              <w:t xml:space="preserve">min_samples_leaf</w:t>
            </w:r>
          </w:p>
        </w:tc>
        <w:tc>
          <w:tcPr/>
          <w:p>
            <w:pPr>
              <w:pStyle w:val="Compact"/>
            </w:pPr>
            <w:r>
              <w:t xml:space="preserve">1-4</w:t>
            </w:r>
          </w:p>
        </w:tc>
        <w:tc>
          <w:tcPr/>
          <w:p>
            <w:pPr>
              <w:pStyle w:val="Compact"/>
            </w:pPr>
            <w:r>
              <w:t xml:space="preserve">2</w:t>
            </w:r>
          </w:p>
        </w:tc>
        <w:tc>
          <w:tcPr/>
          <w:p>
            <w:pPr>
              <w:pStyle w:val="Compact"/>
            </w:pPr>
            <w:r>
              <w:t xml:space="preserve">Enhanced robustness to noise in leaf nodes</w:t>
            </w:r>
          </w:p>
        </w:tc>
      </w:tr>
      <w:tr>
        <w:tc>
          <w:tcPr/>
          <w:p>
            <w:pPr>
              <w:pStyle w:val="Compact"/>
            </w:pPr>
            <w:r>
              <w:t xml:space="preserve">max_features</w:t>
            </w:r>
          </w:p>
        </w:tc>
        <w:tc>
          <w:tcPr/>
          <w:p>
            <w:pPr>
              <w:pStyle w:val="Compact"/>
            </w:pPr>
            <w:r>
              <w:t xml:space="preserve">sqrt, log2, 0.5</w:t>
            </w:r>
          </w:p>
        </w:tc>
        <w:tc>
          <w:tcPr/>
          <w:p>
            <w:pPr>
              <w:pStyle w:val="Compact"/>
            </w:pPr>
            <w:r>
              <w:t xml:space="preserve">sqrt</w:t>
            </w:r>
          </w:p>
        </w:tc>
        <w:tc>
          <w:tcPr/>
          <w:p>
            <w:pPr>
              <w:pStyle w:val="Compact"/>
            </w:pPr>
            <w:r>
              <w:t xml:space="preserve">Increased tree diversity through feature subsampling</w:t>
            </w:r>
          </w:p>
        </w:tc>
      </w:tr>
      <w:tr>
        <w:tc>
          <w:tcPr/>
          <w:p>
            <w:pPr>
              <w:pStyle w:val="Compact"/>
            </w:pPr>
            <w:r>
              <w:t xml:space="preserve">criterion</w:t>
            </w:r>
          </w:p>
        </w:tc>
        <w:tc>
          <w:tcPr/>
          <w:p>
            <w:pPr>
              <w:pStyle w:val="Compact"/>
            </w:pPr>
            <w:r>
              <w:t xml:space="preserve">gini, entropy</w:t>
            </w:r>
          </w:p>
        </w:tc>
        <w:tc>
          <w:tcPr/>
          <w:p>
            <w:pPr>
              <w:pStyle w:val="Compact"/>
            </w:pPr>
            <w:r>
              <w:t xml:space="preserve">gini</w:t>
            </w:r>
          </w:p>
        </w:tc>
        <w:tc>
          <w:tcPr/>
          <w:p>
            <w:pPr>
              <w:pStyle w:val="Compact"/>
            </w:pPr>
            <w:r>
              <w:t xml:space="preserve">Slight improvement in computational efficiency</w:t>
            </w:r>
          </w:p>
        </w:tc>
      </w:tr>
    </w:tbl>
    <w:bookmarkEnd w:id="24"/>
    <w:bookmarkStart w:id="25" w:name="discussion-of-feature-importance"/>
    <w:p>
      <w:pPr>
        <w:pStyle w:val="Heading2"/>
      </w:pPr>
      <w:r>
        <w:t xml:space="preserve">4.2.6 Discussion of Feature Importance</w:t>
      </w:r>
    </w:p>
    <w:p>
      <w:pPr>
        <w:pStyle w:val="FirstParagraph"/>
      </w:pPr>
      <w:r>
        <w:t xml:space="preserve">The feature importance analysis yields several significant insights with implications for both individual career planning and broader workforce development strategies. The dominance of programming languages and technical frameworks among the most important features reflects the growing technological integration across industries and the increasing value placed on digital literacy even in traditionally non-technical roles.</w:t>
      </w:r>
    </w:p>
    <w:p>
      <w:pPr>
        <w:pStyle w:val="BodyText"/>
      </w:pPr>
      <w:r>
        <w:t xml:space="preserve">The high importance of Python, Java, and SQL aligns with current labor market trends that show persistent demand for these foundational programming skills. Python’s position as the most important predictor is particularly noteworthy and can be attributed to its versatility across multiple domains, including data analysis, web development, artificial intelligence, and scientific computing. This versatility makes Python proficiency a strong differentiator across numerous job categories, from data scientists to financial analysts.</w:t>
      </w:r>
    </w:p>
    <w:p>
      <w:pPr>
        <w:pStyle w:val="BodyText"/>
      </w:pPr>
      <w:r>
        <w:rPr>
          <w:b/>
          <w:bCs/>
        </w:rPr>
        <w:t xml:space="preserve">[Figure 4.6: Feature Importance Comparison Across Major Job Domains]</w:t>
      </w:r>
      <w:r>
        <w:t xml:space="preserve"> </w:t>
      </w:r>
      <w:r>
        <w:rPr>
          <w:i/>
          <w:iCs/>
        </w:rPr>
        <w:t xml:space="preserve">This grouped bar chart compares how the relative importance of key features varies across different job domains. For technical roles, programming skills (Python, Java) show highest importance (&gt;20), while for management positions, experience and leadership skills dominate (&gt;15). Healthcare roles show highest importance for domain-specific credentials and education level (&gt;18).</w:t>
      </w:r>
    </w:p>
    <w:p>
      <w:pPr>
        <w:pStyle w:val="BodyText"/>
      </w:pPr>
      <w:r>
        <w:t xml:space="preserve">The substantial importance of total years of experience (ranked fourth) confirms the significant role of professional tenure in career progression. This finding reinforces the value of accumulated work experience in determining suitable job roles and suggests that experience remains a critical factor in employment decisions alongside specific skills. This relationship between experience and job roles aligns with the patterns observed in the exploratory data analysis, where senior positions consistently showed higher average years of experience.</w:t>
      </w:r>
    </w:p>
    <w:p>
      <w:pPr>
        <w:pStyle w:val="BodyText"/>
      </w:pPr>
      <w:r>
        <w:t xml:space="preserve">The relatively lower ranking of formal education compared to specific technical skills has significant implications for education and training strategies. This finding suggests that in many fields, targeted skill acquisition may yield greater returns for career advancement than pursuing additional academic credentials. However, it’s important to note that this pattern varied across domains—in healthcare and research roles, education level retained high importance, reflecting the formal qualification requirements in these fields.</w:t>
      </w:r>
    </w:p>
    <w:p>
      <w:pPr>
        <w:pStyle w:val="BodyText"/>
      </w:pPr>
      <w:r>
        <w:t xml:space="preserve">The feature importance results also revealed interesting domain-specific patterns. For technical roles, hard skills like programming languages and technical frameworks were the primary differentiators. In contrast, for management positions, the combination of experience, leadership skills, and communication abilities carried greater weight. This domain-specific variation in important features aligns with the distinct skill clusters observed during exploratory analysis and reinforces the importance of targeted skill development strategies based on desired career paths.</w:t>
      </w:r>
    </w:p>
    <w:p>
      <w:pPr>
        <w:pStyle w:val="BodyText"/>
      </w:pPr>
      <w:r>
        <w:t xml:space="preserve">The SHAP analysis uncovered complex feature interactions that highlight the value of complementary skill combinations. The synergistic effect between Python and machine learning skills exemplifies how certain skill combinations create distinctive professional profiles that are strongly associated with specific roles. This finding supports the importance of strategic skill development that considers not just individual competencies but also their complementary relationships.</w:t>
      </w:r>
    </w:p>
    <w:p>
      <w:pPr>
        <w:pStyle w:val="BodyText"/>
      </w:pPr>
      <w:r>
        <w:t xml:space="preserve">These feature importance findings have practical implications for multiple stakeholders. For individual job seekers, they provide evidence-based guidance on which skills may yield the greatest returns for specific career objectives. For educational institutions, they highlight the importance of adapting curricula to emphasize high-impact skills and skill combinations. For employers, they offer insights into which combinations of qualifications and experiences most strongly signal suitability for particular roles.</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2025-05-14T11:11:18Z</dcterms:created>
  <dcterms:modified xsi:type="dcterms:W3CDTF">2025-05-14T11:11:18Z</dcterms:modified>
</cp:coreProperties>
</file>

<file path=docProps/custom.xml><?xml version="1.0" encoding="utf-8"?>
<Properties xmlns="http://schemas.openxmlformats.org/officeDocument/2006/custom-properties" xmlns:vt="http://schemas.openxmlformats.org/officeDocument/2006/docPropsVTypes"/>
</file>