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intervisie crosslink - reservoir - ieper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-reservoir-ieper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-reservoir-ieper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gekende manier van werken</w:t>
      </w:r>
    </w:p>
    <w:p>
      <w:pPr>
        <w:pStyle w:val="Heading2"/>
      </w:pPr>
      <w:r>
        <w:t>Lesgever(s)</w:t>
      </w:r>
    </w:p>
    <w:p>
      <w:pPr>
        <w:pStyle w:val="ListBullet"/>
      </w:pPr>
      <w:r>
        <w:t>jammer dat ene begeleider vroeger weg moest.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