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00"/>
        <w:jc w:val="center"/>
      </w:pPr>
      <w:r>
        <w:rPr>
          <w:rFonts w:ascii="Arial" w:cs="Arial" w:eastAsia="Arial" w:hAnsi="Arial"/>
          <w:b/>
          <w:bCs/>
          <w:color w:val="0B0B0B"/>
          <w:sz w:val="80"/>
          <w:szCs w:val="80"/>
        </w:rPr>
        <w:t xml:space="preserve">TAAXBRO</w:t>
      </w:r>
    </w:p>
    <w:p>
      <w:pPr>
        <w:spacing w:after="120" w:before="0"/>
        <w:jc w:val="center"/>
      </w:pPr>
      <w:r>
        <w:rPr>
          <w:rFonts w:ascii="Arial" w:cs="Arial" w:eastAsia="Arial" w:hAnsi="Arial"/>
          <w:color w:val="444444"/>
          <w:sz w:val="38"/>
          <w:szCs w:val="38"/>
        </w:rPr>
        <w:t xml:space="preserve">Product UI/UX Design Brief</w:t>
      </w:r>
    </w:p>
    <w:p>
      <w:pPr>
        <w:spacing w:after="80" w:before="0"/>
        <w:jc w:val="center"/>
      </w:pPr>
      <w:r>
        <w:rPr>
          <w:rFonts w:ascii="Arial" w:cs="Arial" w:eastAsia="Arial" w:hAnsi="Arial"/>
          <w:i/>
          <w:iCs/>
          <w:color w:val="888888"/>
          <w:sz w:val="22"/>
          <w:szCs w:val="22"/>
        </w:rPr>
        <w:t xml:space="preserve">For Internal Use — Designer Reference Document</w:t>
      </w:r>
    </w:p>
    <w:p>
      <w:pPr>
        <w:spacing w:after="600" w:before="0"/>
        <w:jc w:val="center"/>
      </w:pPr>
      <w:r>
        <w:rPr>
          <w:rFonts w:ascii="Arial" w:cs="Arial" w:eastAsia="Arial" w:hAnsi="Arial"/>
          <w:color w:val="888888"/>
          <w:sz w:val="22"/>
          <w:szCs w:val="22"/>
        </w:rPr>
        <w:t xml:space="preserve">Version 2.0  ·  May 2025  ·  Comprehensive Edition</w:t>
      </w:r>
    </w:p>
    <w:p>
      <w:pPr>
        <w:pBdr>
          <w:bottom w:val="single" w:color="DDDDDD" w:sz="4" w:space="1"/>
        </w:pBdr>
        <w:spacing w:after="240" w:before="240"/>
      </w:pPr>
    </w:p>
    <w:p>
      <w:pPr>
        <w:spacing w:after="120" w:before="360"/>
        <w:jc w:val="center"/>
      </w:pPr>
      <w:r>
        <w:rPr>
          <w:rFonts w:ascii="Arial" w:cs="Arial" w:eastAsia="Arial" w:hAnsi="Arial"/>
          <w:b/>
          <w:bCs/>
          <w:i/>
          <w:iCs/>
          <w:color w:val="333333"/>
          <w:sz w:val="26"/>
          <w:szCs w:val="26"/>
        </w:rPr>
        <w:t xml:space="preserve">Payments + Tax + Accounting + Compliance — One Platform for African SMEs</w:t>
      </w:r>
    </w:p>
    <w:p>
      <w:pPr>
        <w:spacing w:after="80" w:before="0"/>
        <w:jc w:val="center"/>
      </w:pPr>
      <w:r>
        <w:rPr>
          <w:rFonts w:ascii="Arial" w:cs="Arial" w:eastAsia="Arial" w:hAnsi="Arial"/>
          <w:color w:val="777777"/>
          <w:sz w:val="22"/>
          <w:szCs w:val="22"/>
        </w:rPr>
        <w:t xml:space="preserve">Covers: Marketing Site  ·  User App  ·  Accountant Portal  ·  Admin ERP</w:t>
      </w:r>
    </w:p>
    <w:p>
      <w:r>
        <w:br w:type="page"/>
      </w:r>
    </w:p>
    <w:p>
      <w:pPr>
        <w:pStyle w:val="Heading1"/>
        <w:spacing w:after="200" w:before="480"/>
      </w:pPr>
      <w:r>
        <w:rPr>
          <w:rFonts w:ascii="Arial" w:cs="Arial" w:eastAsia="Arial" w:hAnsi="Arial"/>
          <w:b/>
          <w:bCs/>
          <w:color w:val="111111"/>
          <w:sz w:val="36"/>
          <w:szCs w:val="36"/>
        </w:rPr>
        <w:t xml:space="preserve">1. Product Overview</w:t>
      </w:r>
    </w:p>
    <w:p>
      <w:pPr>
        <w:spacing w:after="120" w:before="80"/>
      </w:pPr>
      <w:r>
        <w:rPr>
          <w:rFonts w:ascii="Arial" w:cs="Arial" w:eastAsia="Arial" w:hAnsi="Arial"/>
          <w:color w:val="333333"/>
          <w:sz w:val="22"/>
          <w:szCs w:val="22"/>
        </w:rPr>
        <w:t xml:space="preserve">Taaxbro is an all-in-one financial operating system built specifically for Nigerian and African small and medium-sized businesses. It unifies three pillars that are currently scattered across multiple tools and expensive service providers — payments, tax compliance, and accounting — inside a single, intuitive platform.</w:t>
      </w:r>
    </w:p>
    <w:p>
      <w:pPr>
        <w:spacing w:after="120" w:before="80"/>
      </w:pPr>
      <w:r>
        <w:rPr>
          <w:rFonts w:ascii="Arial" w:cs="Arial" w:eastAsia="Arial" w:hAnsi="Arial"/>
          <w:color w:val="333333"/>
          <w:sz w:val="22"/>
          <w:szCs w:val="22"/>
        </w:rPr>
        <w:t xml:space="preserve">Nigeria’s 2025 unified tax reform creates an urgent compliance gap for millions of businesses. The Nigeria Tax Act 2025, the NRS Establishment Act 2025 (replacing FIRS), and mandatory e-invoicing coming into effect July 2027 mean that Nigerian businesses must get their financial infrastructure in order now — not later. Taaxbro is the platform built to meet that moment.</w:t>
      </w:r>
    </w:p>
    <w:p>
      <w:pPr>
        <w:spacing w:after="120" w:before="80"/>
      </w:pPr>
      <w:r>
        <w:rPr>
          <w:rFonts w:ascii="Arial" w:cs="Arial" w:eastAsia="Arial" w:hAnsi="Arial"/>
          <w:color w:val="333333"/>
          <w:sz w:val="22"/>
          <w:szCs w:val="22"/>
        </w:rPr>
        <w:t xml:space="preserve">The positioning is deliberate. Taaxbro is not an “AI tax app.” It is a full-stack financial infrastructure layer for African businesses, comparable in ambition to what Stripe built for payments globally, what TurboTax built for tax filing in the US, and what QuickBooks built for business accounting. Taaxbro does all three, natively, for businesses operating on the African continent — and it goes further with compliance intelligence, OCR-powered data capture, a tax escrow wallet, and a WhatsApp-first interaction model that meets users where they already live.</w:t>
      </w:r>
    </w:p>
    <w:p>
      <w:pPr>
        <w:pStyle w:val="Heading2"/>
        <w:spacing w:after="160" w:before="320"/>
      </w:pPr>
      <w:r>
        <w:rPr>
          <w:rFonts w:ascii="Arial" w:cs="Arial" w:eastAsia="Arial" w:hAnsi="Arial"/>
          <w:b/>
          <w:bCs/>
          <w:color w:val="222222"/>
          <w:sz w:val="28"/>
          <w:szCs w:val="28"/>
        </w:rPr>
        <w:t xml:space="preserve">1.1 The Four Pillars</w:t>
      </w:r>
    </w:p>
    <w:p>
      <w:pPr>
        <w:spacing w:after="120" w:before="80"/>
      </w:pPr>
      <w:r>
        <w:rPr>
          <w:rFonts w:ascii="Arial" w:cs="Arial" w:eastAsia="Arial" w:hAnsi="Arial"/>
          <w:color w:val="333333"/>
          <w:sz w:val="22"/>
          <w:szCs w:val="22"/>
        </w:rPr>
        <w:t xml:space="preserve">These four pillars form the foundation of every product decision and every screen the designer will create:</w:t>
      </w:r>
    </w:p>
    <w:p>
      <w:pPr>
        <w:spacing w:after="100" w:before="240"/>
      </w:pPr>
      <w:r>
        <w:rPr>
          <w:rFonts w:ascii="Arial" w:cs="Arial" w:eastAsia="Arial" w:hAnsi="Arial"/>
          <w:b/>
          <w:bCs/>
          <w:color w:val="2C2C2C"/>
          <w:sz w:val="24"/>
          <w:szCs w:val="24"/>
        </w:rPr>
        <w:t xml:space="preserve">Pillar 1 — Payments (Taaxbro Pay)</w:t>
      </w:r>
    </w:p>
    <w:p>
      <w:pPr>
        <w:spacing w:after="120" w:before="80"/>
      </w:pPr>
      <w:r>
        <w:rPr>
          <w:rFonts w:ascii="Arial" w:cs="Arial" w:eastAsia="Arial" w:hAnsi="Arial"/>
          <w:color w:val="333333"/>
          <w:sz w:val="22"/>
          <w:szCs w:val="22"/>
        </w:rPr>
        <w:t xml:space="preserve">Business payment processing, collection, and reconciliation. Businesses can accept payments from customers, send payment links, manage transfer histories, and reconcile income across bank accounts, POS terminals, and fintech wallets automatically. When a connected bank account detects a credit matching an outstanding invoice, Taaxbro automatically marks that invoice as paid and immediately dispatches a WhatsApp notification to the business owner.</w:t>
      </w:r>
    </w:p>
    <w:p>
      <w:pPr>
        <w:spacing w:after="100" w:before="240"/>
      </w:pPr>
      <w:r>
        <w:rPr>
          <w:rFonts w:ascii="Arial" w:cs="Arial" w:eastAsia="Arial" w:hAnsi="Arial"/>
          <w:b/>
          <w:bCs/>
          <w:color w:val="2C2C2C"/>
          <w:sz w:val="24"/>
          <w:szCs w:val="24"/>
        </w:rPr>
        <w:t xml:space="preserve">Pillar 2 — Tax Compliance (Taaxbro Tax)</w:t>
      </w:r>
    </w:p>
    <w:p>
      <w:pPr>
        <w:spacing w:after="120" w:before="80"/>
      </w:pPr>
      <w:r>
        <w:rPr>
          <w:rFonts w:ascii="Arial" w:cs="Arial" w:eastAsia="Arial" w:hAnsi="Arial"/>
          <w:color w:val="333333"/>
          <w:sz w:val="22"/>
          <w:szCs w:val="22"/>
        </w:rPr>
        <w:t xml:space="preserve">End-to-end tax automation covering VAT, Withholding Tax (WHT), Company Income Tax (CIT), Personal Income Tax (PIT) for freelancers, Development Levy, and Stamp Duty. The system connects directly to business financial data, computes liabilities automatically, manages filing deadlines, and submits returns to the Nigeria Revenue Service (NRS) and applicable state revenue authorities (LIRS, RIRS, FCT-IRS). Crucially, no return is ever filed without explicit human approval — the system prepares and presents, the human decides and confirms.</w:t>
      </w:r>
    </w:p>
    <w:p>
      <w:pPr>
        <w:spacing w:after="100" w:before="240"/>
      </w:pPr>
      <w:r>
        <w:rPr>
          <w:rFonts w:ascii="Arial" w:cs="Arial" w:eastAsia="Arial" w:hAnsi="Arial"/>
          <w:b/>
          <w:bCs/>
          <w:color w:val="2C2C2C"/>
          <w:sz w:val="24"/>
          <w:szCs w:val="24"/>
        </w:rPr>
        <w:t xml:space="preserve">Pillar 3 — Accounting &amp; Bookkeeping (Taaxbro Books)</w:t>
      </w:r>
    </w:p>
    <w:p>
      <w:pPr>
        <w:spacing w:after="120" w:before="80"/>
      </w:pPr>
      <w:r>
        <w:rPr>
          <w:rFonts w:ascii="Arial" w:cs="Arial" w:eastAsia="Arial" w:hAnsi="Arial"/>
          <w:color w:val="333333"/>
          <w:sz w:val="22"/>
          <w:szCs w:val="22"/>
        </w:rPr>
        <w:t xml:space="preserve">Real-time bookkeeping, invoicing, and financial reporting. Businesses can generate professional and QR-code invoices, track income and expenses, view profit and loss statements, and produce balance sheets — all without needing an external accountant for routine tasks. OCR-powered receipt scanning (camera, file upload, or WhatsApp image) eliminates manual data entry entirely.</w:t>
      </w:r>
    </w:p>
    <w:p>
      <w:pPr>
        <w:spacing w:after="100" w:before="240"/>
      </w:pPr>
      <w:r>
        <w:rPr>
          <w:rFonts w:ascii="Arial" w:cs="Arial" w:eastAsia="Arial" w:hAnsi="Arial"/>
          <w:b/>
          <w:bCs/>
          <w:color w:val="2C2C2C"/>
          <w:sz w:val="24"/>
          <w:szCs w:val="24"/>
        </w:rPr>
        <w:t xml:space="preserve">Pillar 4 — Compliance Intelligence</w:t>
      </w:r>
    </w:p>
    <w:p>
      <w:pPr>
        <w:spacing w:after="120" w:before="80"/>
      </w:pPr>
      <w:r>
        <w:rPr>
          <w:rFonts w:ascii="Arial" w:cs="Arial" w:eastAsia="Arial" w:hAnsi="Arial"/>
          <w:color w:val="333333"/>
          <w:sz w:val="22"/>
          <w:szCs w:val="22"/>
        </w:rPr>
        <w:t xml:space="preserve">A live compliance score (0–100), predictive penalty calculator, anomaly detection, and a tax escrow wallet that automatically rings off VAT from incoming payments so businesses are never caught short at filing time. This pillar is what separates Taaxbro from every competitor in the Nigerian market today.</w:t>
      </w:r>
    </w:p>
    <w:p>
      <w:pPr>
        <w:pBdr>
          <w:bottom w:val="single" w:color="DDDDDD" w:sz="4" w:space="1"/>
        </w:pBdr>
        <w:spacing w:after="240" w:before="240"/>
      </w:pPr>
    </w:p>
    <w:p>
      <w:pPr>
        <w:pStyle w:val="Heading1"/>
        <w:spacing w:after="200" w:before="480"/>
      </w:pPr>
      <w:r>
        <w:rPr>
          <w:rFonts w:ascii="Arial" w:cs="Arial" w:eastAsia="Arial" w:hAnsi="Arial"/>
          <w:b/>
          <w:bCs/>
          <w:color w:val="111111"/>
          <w:sz w:val="36"/>
          <w:szCs w:val="36"/>
        </w:rPr>
        <w:t xml:space="preserve">2. Target Audience</w:t>
      </w:r>
    </w:p>
    <w:p>
      <w:pPr>
        <w:spacing w:after="120" w:before="80"/>
      </w:pPr>
      <w:r>
        <w:rPr>
          <w:rFonts w:ascii="Arial" w:cs="Arial" w:eastAsia="Arial" w:hAnsi="Arial"/>
          <w:color w:val="333333"/>
          <w:sz w:val="22"/>
          <w:szCs w:val="22"/>
        </w:rPr>
        <w:t xml:space="preserve">Taaxbro serves three distinct user personas. The designer must understand all three because they shape onboarding flows, dashboard layouts, and the Accountant Portal as a separate design surface.</w:t>
      </w:r>
    </w:p>
    <w:p>
      <w:pPr>
        <w:spacing w:after="100" w:before="240"/>
      </w:pPr>
      <w:r>
        <w:rPr>
          <w:rFonts w:ascii="Arial" w:cs="Arial" w:eastAsia="Arial" w:hAnsi="Arial"/>
          <w:b/>
          <w:bCs/>
          <w:color w:val="2C2C2C"/>
          <w:sz w:val="24"/>
          <w:szCs w:val="24"/>
        </w:rPr>
        <w:t xml:space="preserve">Persona 1 — The Nigerian SME Owner (Primary)</w:t>
      </w:r>
    </w:p>
    <w:p>
      <w:pPr>
        <w:spacing w:after="120" w:before="80"/>
      </w:pPr>
      <w:r>
        <w:rPr>
          <w:rFonts w:ascii="Arial" w:cs="Arial" w:eastAsia="Arial" w:hAnsi="Arial"/>
          <w:color w:val="333333"/>
          <w:sz w:val="22"/>
          <w:szCs w:val="22"/>
        </w:rPr>
        <w:t xml:space="preserve">A registered business owner with 1–50 employees, managing mixed digital and cash transactions. Intelligent and busy, not necessarily technically sophisticated. Deeply motivated by clarity, speed, and the reassurance that their finances and compliance are under control. They interact primarily via the web app and WhatsApp. Screens should communicate confidence and remove anxiety. This persona uses all four pillars.</w:t>
      </w:r>
    </w:p>
    <w:p>
      <w:pPr>
        <w:spacing w:after="100" w:before="240"/>
      </w:pPr>
      <w:r>
        <w:rPr>
          <w:rFonts w:ascii="Arial" w:cs="Arial" w:eastAsia="Arial" w:hAnsi="Arial"/>
          <w:b/>
          <w:bCs/>
          <w:color w:val="2C2C2C"/>
          <w:sz w:val="24"/>
          <w:szCs w:val="24"/>
        </w:rPr>
        <w:t xml:space="preserve">Persona 2 — The Freelancer / Remote Worker</w:t>
      </w:r>
    </w:p>
    <w:p>
      <w:pPr>
        <w:spacing w:after="120" w:before="80"/>
      </w:pPr>
      <w:r>
        <w:rPr>
          <w:rFonts w:ascii="Arial" w:cs="Arial" w:eastAsia="Arial" w:hAnsi="Arial"/>
          <w:color w:val="333333"/>
          <w:sz w:val="22"/>
          <w:szCs w:val="22"/>
        </w:rPr>
        <w:t xml:space="preserve">A digital economy earner with potentially mixed Naira and FX income. Their primary concern is Personal Income Tax (PIT) under the 2025 reform, understanding what they owe, and making sure they do not overpay. They also use OCR to verify VAT on receipts when shopping. Their dashboard is simpler than the SME owner’s, focused on income tracking and PIT obligations rather than full accounting.</w:t>
      </w:r>
    </w:p>
    <w:p>
      <w:pPr>
        <w:spacing w:after="100" w:before="240"/>
      </w:pPr>
      <w:r>
        <w:rPr>
          <w:rFonts w:ascii="Arial" w:cs="Arial" w:eastAsia="Arial" w:hAnsi="Arial"/>
          <w:b/>
          <w:bCs/>
          <w:color w:val="2C2C2C"/>
          <w:sz w:val="24"/>
          <w:szCs w:val="24"/>
        </w:rPr>
        <w:t xml:space="preserve">Persona 3 — The Tax Professional / Accountant</w:t>
      </w:r>
    </w:p>
    <w:p>
      <w:pPr>
        <w:spacing w:after="120" w:before="80"/>
      </w:pPr>
      <w:r>
        <w:rPr>
          <w:rFonts w:ascii="Arial" w:cs="Arial" w:eastAsia="Arial" w:hAnsi="Arial"/>
          <w:color w:val="333333"/>
          <w:sz w:val="22"/>
          <w:szCs w:val="22"/>
        </w:rPr>
        <w:t xml:space="preserve">A practicing accountant or tax advisor managing multiple client businesses simultaneously. Their entry point is the Accountant Portal — a separate surface where they see all clients, their compliance scores, upcoming deadlines, and filing queues at a glance. They do not need the full SME dashboard per client; they need density, bulk actions, and the ability to switch between client contexts instantly.</w:t>
      </w:r>
    </w:p>
    <w:p>
      <w:pPr>
        <w:spacing w:after="100" w:before="240"/>
      </w:pPr>
      <w:r>
        <w:rPr>
          <w:rFonts w:ascii="Arial" w:cs="Arial" w:eastAsia="Arial" w:hAnsi="Arial"/>
          <w:b/>
          <w:bCs/>
          <w:color w:val="2C2C2C"/>
          <w:sz w:val="24"/>
          <w:szCs w:val="24"/>
        </w:rPr>
        <w:t xml:space="preserve">Persona 4 — The POS Merchant</w:t>
      </w:r>
    </w:p>
    <w:p>
      <w:pPr>
        <w:spacing w:after="120" w:before="80"/>
      </w:pPr>
      <w:r>
        <w:rPr>
          <w:rFonts w:ascii="Arial" w:cs="Arial" w:eastAsia="Arial" w:hAnsi="Arial"/>
          <w:color w:val="333333"/>
          <w:sz w:val="22"/>
          <w:szCs w:val="22"/>
        </w:rPr>
        <w:t xml:space="preserve">A market trader, restaurant operator, or retail business using Moniepoint, Nomba, or OPay as their primary financial tool. This persona may never open a laptop. They interact almost entirely via WhatsApp and a stripped-down mobile interface. Their primary needs are understanding VAT obligations from POS sales, verifying receipts, and receiving compliance alerts before penalties hit.</w:t>
      </w:r>
    </w:p>
    <w:p>
      <w:pPr>
        <w:pBdr>
          <w:bottom w:val="single" w:color="DDDDDD" w:sz="4" w:space="1"/>
        </w:pBdr>
        <w:spacing w:after="240" w:before="240"/>
      </w:pPr>
    </w:p>
    <w:p>
      <w:pPr>
        <w:pStyle w:val="Heading1"/>
        <w:spacing w:after="200" w:before="480"/>
      </w:pPr>
      <w:r>
        <w:rPr>
          <w:rFonts w:ascii="Arial" w:cs="Arial" w:eastAsia="Arial" w:hAnsi="Arial"/>
          <w:b/>
          <w:bCs/>
          <w:color w:val="111111"/>
          <w:sz w:val="36"/>
          <w:szCs w:val="36"/>
        </w:rPr>
        <w:t xml:space="preserve">3. Scope of Design</w:t>
      </w:r>
    </w:p>
    <w:p>
      <w:pPr>
        <w:spacing w:after="120" w:before="80"/>
      </w:pPr>
      <w:r>
        <w:rPr>
          <w:rFonts w:ascii="Arial" w:cs="Arial" w:eastAsia="Arial" w:hAnsi="Arial"/>
          <w:color w:val="333333"/>
          <w:sz w:val="22"/>
          <w:szCs w:val="22"/>
        </w:rPr>
        <w:t xml:space="preserve">Taaxbro has four distinct digital surfaces, each with its own URL, authentication system, and primary audience. The designer must treat these as four separate design projects that share a common visual language, component library, and design token system.</w:t>
      </w:r>
    </w:p>
    <w:p>
      <w:pPr>
        <w:spacing w:after="100" w:before="240"/>
      </w:pPr>
      <w:r>
        <w:rPr>
          <w:rFonts w:ascii="Arial" w:cs="Arial" w:eastAsia="Arial" w:hAnsi="Arial"/>
          <w:b/>
          <w:bCs/>
          <w:color w:val="2C2C2C"/>
          <w:sz w:val="24"/>
          <w:szCs w:val="24"/>
        </w:rPr>
        <w:t xml:space="preserve">Surface 1 — taaxbro.com (Marketing Site, Public)</w:t>
      </w:r>
    </w:p>
    <w:p>
      <w:pPr>
        <w:spacing w:after="120" w:before="80"/>
      </w:pPr>
      <w:r>
        <w:rPr>
          <w:rFonts w:ascii="Arial" w:cs="Arial" w:eastAsia="Arial" w:hAnsi="Arial"/>
          <w:color w:val="333333"/>
          <w:sz w:val="22"/>
          <w:szCs w:val="22"/>
        </w:rPr>
        <w:t xml:space="preserve">Accessible to everyone. No login required. Primary acquisition and conversion surface. Must speak to all three personas.</w:t>
      </w:r>
    </w:p>
    <w:p>
      <w:pPr>
        <w:spacing w:after="100" w:before="240"/>
      </w:pPr>
      <w:r>
        <w:rPr>
          <w:rFonts w:ascii="Arial" w:cs="Arial" w:eastAsia="Arial" w:hAnsi="Arial"/>
          <w:b/>
          <w:bCs/>
          <w:color w:val="2C2C2C"/>
          <w:sz w:val="24"/>
          <w:szCs w:val="24"/>
        </w:rPr>
        <w:t xml:space="preserve">Surface 2 — app.taaxbro.com (User Application, Authenticated)</w:t>
      </w:r>
    </w:p>
    <w:p>
      <w:pPr>
        <w:spacing w:after="120" w:before="80"/>
      </w:pPr>
      <w:r>
        <w:rPr>
          <w:rFonts w:ascii="Arial" w:cs="Arial" w:eastAsia="Arial" w:hAnsi="Arial"/>
          <w:color w:val="333333"/>
          <w:sz w:val="22"/>
          <w:szCs w:val="22"/>
        </w:rPr>
        <w:t xml:space="preserve">Accessible only to registered users. SME owners, freelancers, and POS merchants. Manages payments, taxes, accounting, and compliance.</w:t>
      </w:r>
    </w:p>
    <w:p>
      <w:pPr>
        <w:spacing w:after="100" w:before="240"/>
      </w:pPr>
      <w:r>
        <w:rPr>
          <w:rFonts w:ascii="Arial" w:cs="Arial" w:eastAsia="Arial" w:hAnsi="Arial"/>
          <w:b/>
          <w:bCs/>
          <w:color w:val="2C2C2C"/>
          <w:sz w:val="24"/>
          <w:szCs w:val="24"/>
        </w:rPr>
        <w:t xml:space="preserve">Surface 3 — accountant.taaxbro.com (Accountant Portal, Authenticated)</w:t>
      </w:r>
    </w:p>
    <w:p>
      <w:pPr>
        <w:spacing w:after="120" w:before="80"/>
      </w:pPr>
      <w:r>
        <w:rPr>
          <w:rFonts w:ascii="Arial" w:cs="Arial" w:eastAsia="Arial" w:hAnsi="Arial"/>
          <w:color w:val="333333"/>
          <w:sz w:val="22"/>
          <w:szCs w:val="22"/>
        </w:rPr>
        <w:t xml:space="preserve">A separate multi-tenant portal for tax professionals managing multiple client businesses. Not accessible to regular business users. Purpose-built for density, bulk actions, and multi-client management.</w:t>
      </w:r>
    </w:p>
    <w:p>
      <w:pPr>
        <w:spacing w:after="100" w:before="240"/>
      </w:pPr>
      <w:r>
        <w:rPr>
          <w:rFonts w:ascii="Arial" w:cs="Arial" w:eastAsia="Arial" w:hAnsi="Arial"/>
          <w:b/>
          <w:bCs/>
          <w:color w:val="2C2C2C"/>
          <w:sz w:val="24"/>
          <w:szCs w:val="24"/>
        </w:rPr>
        <w:t xml:space="preserve">Surface 4 — admin.taaxbro.com (Internal ERP, Taaxbro Team Only)</w:t>
      </w:r>
    </w:p>
    <w:p>
      <w:pPr>
        <w:spacing w:after="120" w:before="80"/>
      </w:pPr>
      <w:r>
        <w:rPr>
          <w:rFonts w:ascii="Arial" w:cs="Arial" w:eastAsia="Arial" w:hAnsi="Arial"/>
          <w:color w:val="333333"/>
          <w:sz w:val="22"/>
          <w:szCs w:val="22"/>
        </w:rPr>
        <w:t xml:space="preserve">Isolated internal portal for the Taaxbro operations team. Restricted by IP and MFA. Regular users can never access or see this surface.</w:t>
      </w:r>
    </w:p>
    <w:p>
      <w:pPr>
        <w:pStyle w:val="Heading2"/>
        <w:spacing w:after="160" w:before="320"/>
      </w:pPr>
      <w:r>
        <w:rPr>
          <w:rFonts w:ascii="Arial" w:cs="Arial" w:eastAsia="Arial" w:hAnsi="Arial"/>
          <w:b/>
          <w:bCs/>
          <w:color w:val="222222"/>
          <w:sz w:val="28"/>
          <w:szCs w:val="28"/>
        </w:rPr>
        <w:t xml:space="preserve">3.1 Marketing Website (Public) — taaxbro.com</w:t>
      </w:r>
    </w:p>
    <w:p>
      <w:pPr>
        <w:pStyle w:val="ListParagraph"/>
        <w:numPr>
          <w:ilvl w:val="0"/>
          <w:numId w:val="2"/>
        </w:numPr>
        <w:spacing w:after="60" w:before="60"/>
      </w:pPr>
      <w:r>
        <w:rPr>
          <w:rFonts w:ascii="Arial" w:cs="Arial" w:eastAsia="Arial" w:hAnsi="Arial"/>
          <w:color w:val="333333"/>
          <w:sz w:val="22"/>
          <w:szCs w:val="22"/>
        </w:rPr>
        <w:t xml:space="preserve">Homepage — full marketing landing page with all feature highlight sections</w:t>
      </w:r>
    </w:p>
    <w:p>
      <w:pPr>
        <w:pStyle w:val="ListParagraph"/>
        <w:numPr>
          <w:ilvl w:val="0"/>
          <w:numId w:val="2"/>
        </w:numPr>
        <w:spacing w:after="60" w:before="60"/>
      </w:pPr>
      <w:r>
        <w:rPr>
          <w:rFonts w:ascii="Arial" w:cs="Arial" w:eastAsia="Arial" w:hAnsi="Arial"/>
          <w:color w:val="333333"/>
          <w:sz w:val="22"/>
          <w:szCs w:val="22"/>
        </w:rPr>
        <w:t xml:space="preserve">Features Overview page</w:t>
      </w:r>
    </w:p>
    <w:p>
      <w:pPr>
        <w:pStyle w:val="ListParagraph"/>
        <w:numPr>
          <w:ilvl w:val="0"/>
          <w:numId w:val="2"/>
        </w:numPr>
        <w:spacing w:after="60" w:before="60"/>
      </w:pPr>
      <w:r>
        <w:rPr>
          <w:rFonts w:ascii="Arial" w:cs="Arial" w:eastAsia="Arial" w:hAnsi="Arial"/>
          <w:color w:val="333333"/>
          <w:sz w:val="22"/>
          <w:szCs w:val="22"/>
        </w:rPr>
        <w:t xml:space="preserve">Pricing page — tiers covering SMEs, freelancers, and accountants</w:t>
      </w:r>
    </w:p>
    <w:p>
      <w:pPr>
        <w:pStyle w:val="ListParagraph"/>
        <w:numPr>
          <w:ilvl w:val="0"/>
          <w:numId w:val="2"/>
        </w:numPr>
        <w:spacing w:after="60" w:before="60"/>
      </w:pPr>
      <w:r>
        <w:rPr>
          <w:rFonts w:ascii="Arial" w:cs="Arial" w:eastAsia="Arial" w:hAnsi="Arial"/>
          <w:color w:val="333333"/>
          <w:sz w:val="22"/>
          <w:szCs w:val="22"/>
        </w:rPr>
        <w:t xml:space="preserve">FAQ page</w:t>
      </w:r>
    </w:p>
    <w:p>
      <w:pPr>
        <w:pStyle w:val="ListParagraph"/>
        <w:numPr>
          <w:ilvl w:val="0"/>
          <w:numId w:val="2"/>
        </w:numPr>
        <w:spacing w:after="60" w:before="60"/>
      </w:pPr>
      <w:r>
        <w:rPr>
          <w:rFonts w:ascii="Arial" w:cs="Arial" w:eastAsia="Arial" w:hAnsi="Arial"/>
          <w:color w:val="333333"/>
          <w:sz w:val="22"/>
          <w:szCs w:val="22"/>
        </w:rPr>
        <w:t xml:space="preserve">About / Company page</w:t>
      </w:r>
    </w:p>
    <w:p>
      <w:pPr>
        <w:pStyle w:val="ListParagraph"/>
        <w:numPr>
          <w:ilvl w:val="0"/>
          <w:numId w:val="2"/>
        </w:numPr>
        <w:spacing w:after="60" w:before="60"/>
      </w:pPr>
      <w:r>
        <w:rPr>
          <w:rFonts w:ascii="Arial" w:cs="Arial" w:eastAsia="Arial" w:hAnsi="Arial"/>
          <w:color w:val="333333"/>
          <w:sz w:val="22"/>
          <w:szCs w:val="22"/>
        </w:rPr>
        <w:t xml:space="preserve">Blog listing page and single blog post template</w:t>
      </w:r>
    </w:p>
    <w:p>
      <w:pPr>
        <w:pStyle w:val="ListParagraph"/>
        <w:numPr>
          <w:ilvl w:val="0"/>
          <w:numId w:val="2"/>
        </w:numPr>
        <w:spacing w:after="60" w:before="60"/>
      </w:pPr>
      <w:r>
        <w:rPr>
          <w:rFonts w:ascii="Arial" w:cs="Arial" w:eastAsia="Arial" w:hAnsi="Arial"/>
          <w:color w:val="333333"/>
          <w:sz w:val="22"/>
          <w:szCs w:val="22"/>
        </w:rPr>
        <w:t xml:space="preserve">Contact page with embedded support widget</w:t>
      </w:r>
    </w:p>
    <w:p>
      <w:pPr>
        <w:pStyle w:val="ListParagraph"/>
        <w:numPr>
          <w:ilvl w:val="0"/>
          <w:numId w:val="2"/>
        </w:numPr>
        <w:spacing w:after="60" w:before="60"/>
      </w:pPr>
      <w:r>
        <w:rPr>
          <w:rFonts w:ascii="Arial" w:cs="Arial" w:eastAsia="Arial" w:hAnsi="Arial"/>
          <w:color w:val="333333"/>
          <w:sz w:val="22"/>
          <w:szCs w:val="22"/>
        </w:rPr>
        <w:t xml:space="preserve">Legal pages template (Terms of Service, Privacy Policy)</w:t>
      </w:r>
    </w:p>
    <w:p>
      <w:pPr>
        <w:pStyle w:val="Heading2"/>
        <w:spacing w:after="160" w:before="320"/>
      </w:pPr>
      <w:r>
        <w:rPr>
          <w:rFonts w:ascii="Arial" w:cs="Arial" w:eastAsia="Arial" w:hAnsi="Arial"/>
          <w:b/>
          <w:bCs/>
          <w:color w:val="222222"/>
          <w:sz w:val="28"/>
          <w:szCs w:val="28"/>
        </w:rPr>
        <w:t xml:space="preserve">3.2 User Web Application (Authenticated) — app.taaxbro.com</w:t>
      </w:r>
    </w:p>
    <w:p>
      <w:pPr>
        <w:pStyle w:val="ListParagraph"/>
        <w:numPr>
          <w:ilvl w:val="0"/>
          <w:numId w:val="2"/>
        </w:numPr>
        <w:spacing w:after="60" w:before="60"/>
      </w:pPr>
      <w:r>
        <w:rPr>
          <w:rFonts w:ascii="Arial" w:cs="Arial" w:eastAsia="Arial" w:hAnsi="Arial"/>
          <w:color w:val="333333"/>
          <w:sz w:val="22"/>
          <w:szCs w:val="22"/>
        </w:rPr>
        <w:t xml:space="preserve">Onboarding flow — signup, business verification, persona detection, account setup</w:t>
      </w:r>
    </w:p>
    <w:p>
      <w:pPr>
        <w:pStyle w:val="ListParagraph"/>
        <w:numPr>
          <w:ilvl w:val="0"/>
          <w:numId w:val="2"/>
        </w:numPr>
        <w:spacing w:after="60" w:before="60"/>
      </w:pPr>
      <w:r>
        <w:rPr>
          <w:rFonts w:ascii="Arial" w:cs="Arial" w:eastAsia="Arial" w:hAnsi="Arial"/>
          <w:color w:val="333333"/>
          <w:sz w:val="22"/>
          <w:szCs w:val="22"/>
        </w:rPr>
        <w:t xml:space="preserve">Dashboard — financial health, compliance score, and escrow wallet overview</w:t>
      </w:r>
    </w:p>
    <w:p>
      <w:pPr>
        <w:pStyle w:val="ListParagraph"/>
        <w:numPr>
          <w:ilvl w:val="0"/>
          <w:numId w:val="2"/>
        </w:numPr>
        <w:spacing w:after="60" w:before="60"/>
      </w:pPr>
      <w:r>
        <w:rPr>
          <w:rFonts w:ascii="Arial" w:cs="Arial" w:eastAsia="Arial" w:hAnsi="Arial"/>
          <w:color w:val="333333"/>
          <w:sz w:val="22"/>
          <w:szCs w:val="22"/>
        </w:rPr>
        <w:t xml:space="preserve">Taaxbro Pay — Payments module</w:t>
      </w:r>
    </w:p>
    <w:p>
      <w:pPr>
        <w:pStyle w:val="ListParagraph"/>
        <w:numPr>
          <w:ilvl w:val="0"/>
          <w:numId w:val="2"/>
        </w:numPr>
        <w:spacing w:after="60" w:before="60"/>
      </w:pPr>
      <w:r>
        <w:rPr>
          <w:rFonts w:ascii="Arial" w:cs="Arial" w:eastAsia="Arial" w:hAnsi="Arial"/>
          <w:color w:val="333333"/>
          <w:sz w:val="22"/>
          <w:szCs w:val="22"/>
        </w:rPr>
        <w:t xml:space="preserve">Taaxbro Tax — Tax compliance module with human-supervised filing approval</w:t>
      </w:r>
    </w:p>
    <w:p>
      <w:pPr>
        <w:pStyle w:val="ListParagraph"/>
        <w:numPr>
          <w:ilvl w:val="0"/>
          <w:numId w:val="2"/>
        </w:numPr>
        <w:spacing w:after="60" w:before="60"/>
      </w:pPr>
      <w:r>
        <w:rPr>
          <w:rFonts w:ascii="Arial" w:cs="Arial" w:eastAsia="Arial" w:hAnsi="Arial"/>
          <w:color w:val="333333"/>
          <w:sz w:val="22"/>
          <w:szCs w:val="22"/>
        </w:rPr>
        <w:t xml:space="preserve">Taaxbro Books — Accounting, invoicing, and OCR expense capture</w:t>
      </w:r>
    </w:p>
    <w:p>
      <w:pPr>
        <w:pStyle w:val="ListParagraph"/>
        <w:numPr>
          <w:ilvl w:val="0"/>
          <w:numId w:val="2"/>
        </w:numPr>
        <w:spacing w:after="60" w:before="60"/>
      </w:pPr>
      <w:r>
        <w:rPr>
          <w:rFonts w:ascii="Arial" w:cs="Arial" w:eastAsia="Arial" w:hAnsi="Arial"/>
          <w:color w:val="333333"/>
          <w:sz w:val="22"/>
          <w:szCs w:val="22"/>
        </w:rPr>
        <w:t xml:space="preserve">Compliance Hub — Risk score, anomaly alerts, penalty forecasting, escrow wallet</w:t>
      </w:r>
    </w:p>
    <w:p>
      <w:pPr>
        <w:pStyle w:val="ListParagraph"/>
        <w:numPr>
          <w:ilvl w:val="0"/>
          <w:numId w:val="2"/>
        </w:numPr>
        <w:spacing w:after="60" w:before="60"/>
      </w:pPr>
      <w:r>
        <w:rPr>
          <w:rFonts w:ascii="Arial" w:cs="Arial" w:eastAsia="Arial" w:hAnsi="Arial"/>
          <w:color w:val="333333"/>
          <w:sz w:val="22"/>
          <w:szCs w:val="22"/>
        </w:rPr>
        <w:t xml:space="preserve">Integrations — banks, POS, email inbox, accounting software, WhatsApp, NRS</w:t>
      </w:r>
    </w:p>
    <w:p>
      <w:pPr>
        <w:pStyle w:val="ListParagraph"/>
        <w:numPr>
          <w:ilvl w:val="0"/>
          <w:numId w:val="2"/>
        </w:numPr>
        <w:spacing w:after="60" w:before="60"/>
      </w:pPr>
      <w:r>
        <w:rPr>
          <w:rFonts w:ascii="Arial" w:cs="Arial" w:eastAsia="Arial" w:hAnsi="Arial"/>
          <w:color w:val="333333"/>
          <w:sz w:val="22"/>
          <w:szCs w:val="22"/>
        </w:rPr>
        <w:t xml:space="preserve">Notifications and alerts center</w:t>
      </w:r>
    </w:p>
    <w:p>
      <w:pPr>
        <w:pStyle w:val="ListParagraph"/>
        <w:numPr>
          <w:ilvl w:val="0"/>
          <w:numId w:val="2"/>
        </w:numPr>
        <w:spacing w:after="60" w:before="60"/>
      </w:pPr>
      <w:r>
        <w:rPr>
          <w:rFonts w:ascii="Arial" w:cs="Arial" w:eastAsia="Arial" w:hAnsi="Arial"/>
          <w:color w:val="333333"/>
          <w:sz w:val="22"/>
          <w:szCs w:val="22"/>
        </w:rPr>
        <w:t xml:space="preserve">Settings and account management</w:t>
      </w:r>
    </w:p>
    <w:p>
      <w:pPr>
        <w:pStyle w:val="ListParagraph"/>
        <w:numPr>
          <w:ilvl w:val="0"/>
          <w:numId w:val="2"/>
        </w:numPr>
        <w:spacing w:after="60" w:before="60"/>
      </w:pPr>
      <w:r>
        <w:rPr>
          <w:rFonts w:ascii="Arial" w:cs="Arial" w:eastAsia="Arial" w:hAnsi="Arial"/>
          <w:color w:val="333333"/>
          <w:sz w:val="22"/>
          <w:szCs w:val="22"/>
        </w:rPr>
        <w:t xml:space="preserve">Support / Help center</w:t>
      </w:r>
    </w:p>
    <w:p>
      <w:pPr>
        <w:pStyle w:val="Heading2"/>
        <w:spacing w:after="160" w:before="320"/>
      </w:pPr>
      <w:r>
        <w:rPr>
          <w:rFonts w:ascii="Arial" w:cs="Arial" w:eastAsia="Arial" w:hAnsi="Arial"/>
          <w:b/>
          <w:bCs/>
          <w:color w:val="222222"/>
          <w:sz w:val="28"/>
          <w:szCs w:val="28"/>
        </w:rPr>
        <w:t xml:space="preserve">3.3 Accountant Portal (Multi-Tenant) — accountant.taaxbro.com</w:t>
      </w:r>
    </w:p>
    <w:p>
      <w:pPr>
        <w:pStyle w:val="ListParagraph"/>
        <w:numPr>
          <w:ilvl w:val="0"/>
          <w:numId w:val="2"/>
        </w:numPr>
        <w:spacing w:after="60" w:before="60"/>
      </w:pPr>
      <w:r>
        <w:rPr>
          <w:rFonts w:ascii="Arial" w:cs="Arial" w:eastAsia="Arial" w:hAnsi="Arial"/>
          <w:color w:val="333333"/>
          <w:sz w:val="22"/>
          <w:szCs w:val="22"/>
        </w:rPr>
        <w:t xml:space="preserve">Accountant login — separate authentication with MFA</w:t>
      </w:r>
    </w:p>
    <w:p>
      <w:pPr>
        <w:pStyle w:val="ListParagraph"/>
        <w:numPr>
          <w:ilvl w:val="0"/>
          <w:numId w:val="2"/>
        </w:numPr>
        <w:spacing w:after="60" w:before="60"/>
      </w:pPr>
      <w:r>
        <w:rPr>
          <w:rFonts w:ascii="Arial" w:cs="Arial" w:eastAsia="Arial" w:hAnsi="Arial"/>
          <w:color w:val="333333"/>
          <w:sz w:val="22"/>
          <w:szCs w:val="22"/>
        </w:rPr>
        <w:t xml:space="preserve">Overview dashboard — all clients, their compliance scores, and urgent items</w:t>
      </w:r>
    </w:p>
    <w:p>
      <w:pPr>
        <w:pStyle w:val="ListParagraph"/>
        <w:numPr>
          <w:ilvl w:val="0"/>
          <w:numId w:val="2"/>
        </w:numPr>
        <w:spacing w:after="60" w:before="60"/>
      </w:pPr>
      <w:r>
        <w:rPr>
          <w:rFonts w:ascii="Arial" w:cs="Arial" w:eastAsia="Arial" w:hAnsi="Arial"/>
          <w:color w:val="333333"/>
          <w:sz w:val="22"/>
          <w:szCs w:val="22"/>
        </w:rPr>
        <w:t xml:space="preserve">Client directory — searchable list of all managed businesses</w:t>
      </w:r>
    </w:p>
    <w:p>
      <w:pPr>
        <w:pStyle w:val="ListParagraph"/>
        <w:numPr>
          <w:ilvl w:val="0"/>
          <w:numId w:val="2"/>
        </w:numPr>
        <w:spacing w:after="60" w:before="60"/>
      </w:pPr>
      <w:r>
        <w:rPr>
          <w:rFonts w:ascii="Arial" w:cs="Arial" w:eastAsia="Arial" w:hAnsi="Arial"/>
          <w:color w:val="333333"/>
          <w:sz w:val="22"/>
          <w:szCs w:val="22"/>
        </w:rPr>
        <w:t xml:space="preserve">Client detail view — full filing and compliance view per client</w:t>
      </w:r>
    </w:p>
    <w:p>
      <w:pPr>
        <w:pStyle w:val="ListParagraph"/>
        <w:numPr>
          <w:ilvl w:val="0"/>
          <w:numId w:val="2"/>
        </w:numPr>
        <w:spacing w:after="60" w:before="60"/>
      </w:pPr>
      <w:r>
        <w:rPr>
          <w:rFonts w:ascii="Arial" w:cs="Arial" w:eastAsia="Arial" w:hAnsi="Arial"/>
          <w:color w:val="333333"/>
          <w:sz w:val="22"/>
          <w:szCs w:val="22"/>
        </w:rPr>
        <w:t xml:space="preserve">Bulk filing interface — prepare and submit multiple returns across clients</w:t>
      </w:r>
    </w:p>
    <w:p>
      <w:pPr>
        <w:pStyle w:val="ListParagraph"/>
        <w:numPr>
          <w:ilvl w:val="0"/>
          <w:numId w:val="2"/>
        </w:numPr>
        <w:spacing w:after="60" w:before="60"/>
      </w:pPr>
      <w:r>
        <w:rPr>
          <w:rFonts w:ascii="Arial" w:cs="Arial" w:eastAsia="Arial" w:hAnsi="Arial"/>
          <w:color w:val="333333"/>
          <w:sz w:val="22"/>
          <w:szCs w:val="22"/>
        </w:rPr>
        <w:t xml:space="preserve">Client onboarding — add a new client business with TIN validation</w:t>
      </w:r>
    </w:p>
    <w:p>
      <w:pPr>
        <w:pStyle w:val="ListParagraph"/>
        <w:numPr>
          <w:ilvl w:val="0"/>
          <w:numId w:val="2"/>
        </w:numPr>
        <w:spacing w:after="60" w:before="60"/>
      </w:pPr>
      <w:r>
        <w:rPr>
          <w:rFonts w:ascii="Arial" w:cs="Arial" w:eastAsia="Arial" w:hAnsi="Arial"/>
          <w:color w:val="333333"/>
          <w:sz w:val="22"/>
          <w:szCs w:val="22"/>
        </w:rPr>
        <w:t xml:space="preserve">Role and permission management — control what each client can see and do</w:t>
      </w:r>
    </w:p>
    <w:p>
      <w:pPr>
        <w:pStyle w:val="Heading2"/>
        <w:spacing w:after="160" w:before="320"/>
      </w:pPr>
      <w:r>
        <w:rPr>
          <w:rFonts w:ascii="Arial" w:cs="Arial" w:eastAsia="Arial" w:hAnsi="Arial"/>
          <w:b/>
          <w:bCs/>
          <w:color w:val="222222"/>
          <w:sz w:val="28"/>
          <w:szCs w:val="28"/>
        </w:rPr>
        <w:t xml:space="preserve">3.4 Admin ERP Portal (Internal) — admin.taaxbro.com</w:t>
      </w:r>
    </w:p>
    <w:p>
      <w:pPr>
        <w:pStyle w:val="ListParagraph"/>
        <w:numPr>
          <w:ilvl w:val="0"/>
          <w:numId w:val="2"/>
        </w:numPr>
        <w:spacing w:after="60" w:before="60"/>
      </w:pPr>
      <w:r>
        <w:rPr>
          <w:rFonts w:ascii="Arial" w:cs="Arial" w:eastAsia="Arial" w:hAnsi="Arial"/>
          <w:color w:val="333333"/>
          <w:sz w:val="22"/>
          <w:szCs w:val="22"/>
        </w:rPr>
        <w:t xml:space="preserve">Admin login — separate authentication portal with MFA</w:t>
      </w:r>
    </w:p>
    <w:p>
      <w:pPr>
        <w:pStyle w:val="ListParagraph"/>
        <w:numPr>
          <w:ilvl w:val="0"/>
          <w:numId w:val="2"/>
        </w:numPr>
        <w:spacing w:after="60" w:before="60"/>
      </w:pPr>
      <w:r>
        <w:rPr>
          <w:rFonts w:ascii="Arial" w:cs="Arial" w:eastAsia="Arial" w:hAnsi="Arial"/>
          <w:color w:val="333333"/>
          <w:sz w:val="22"/>
          <w:szCs w:val="22"/>
        </w:rPr>
        <w:t xml:space="preserve">Overview dashboard — company-wide health metrics</w:t>
      </w:r>
    </w:p>
    <w:p>
      <w:pPr>
        <w:pStyle w:val="ListParagraph"/>
        <w:numPr>
          <w:ilvl w:val="0"/>
          <w:numId w:val="2"/>
        </w:numPr>
        <w:spacing w:after="60" w:before="60"/>
      </w:pPr>
      <w:r>
        <w:rPr>
          <w:rFonts w:ascii="Arial" w:cs="Arial" w:eastAsia="Arial" w:hAnsi="Arial"/>
          <w:color w:val="333333"/>
          <w:sz w:val="22"/>
          <w:szCs w:val="22"/>
        </w:rPr>
        <w:t xml:space="preserve">User management — all registered businesses and their activity</w:t>
      </w:r>
    </w:p>
    <w:p>
      <w:pPr>
        <w:pStyle w:val="ListParagraph"/>
        <w:numPr>
          <w:ilvl w:val="0"/>
          <w:numId w:val="2"/>
        </w:numPr>
        <w:spacing w:after="60" w:before="60"/>
      </w:pPr>
      <w:r>
        <w:rPr>
          <w:rFonts w:ascii="Arial" w:cs="Arial" w:eastAsia="Arial" w:hAnsi="Arial"/>
          <w:color w:val="333333"/>
          <w:sz w:val="22"/>
          <w:szCs w:val="22"/>
        </w:rPr>
        <w:t xml:space="preserve">Revenue &amp; financials — Taaxbro’s own MRR, ARR, churn</w:t>
      </w:r>
    </w:p>
    <w:p>
      <w:pPr>
        <w:pStyle w:val="ListParagraph"/>
        <w:numPr>
          <w:ilvl w:val="0"/>
          <w:numId w:val="2"/>
        </w:numPr>
        <w:spacing w:after="60" w:before="60"/>
      </w:pPr>
      <w:r>
        <w:rPr>
          <w:rFonts w:ascii="Arial" w:cs="Arial" w:eastAsia="Arial" w:hAnsi="Arial"/>
          <w:color w:val="333333"/>
          <w:sz w:val="22"/>
          <w:szCs w:val="22"/>
        </w:rPr>
        <w:t xml:space="preserve">Tax filing analytics — platform-wide filing volumes, success rates, error tracking</w:t>
      </w:r>
    </w:p>
    <w:p>
      <w:pPr>
        <w:pStyle w:val="ListParagraph"/>
        <w:numPr>
          <w:ilvl w:val="0"/>
          <w:numId w:val="2"/>
        </w:numPr>
        <w:spacing w:after="60" w:before="60"/>
      </w:pPr>
      <w:r>
        <w:rPr>
          <w:rFonts w:ascii="Arial" w:cs="Arial" w:eastAsia="Arial" w:hAnsi="Arial"/>
          <w:color w:val="333333"/>
          <w:sz w:val="22"/>
          <w:szCs w:val="22"/>
        </w:rPr>
        <w:t xml:space="preserve">Support ticket management — full CRM view of all user tickets</w:t>
      </w:r>
    </w:p>
    <w:p>
      <w:pPr>
        <w:pStyle w:val="ListParagraph"/>
        <w:numPr>
          <w:ilvl w:val="0"/>
          <w:numId w:val="2"/>
        </w:numPr>
        <w:spacing w:after="60" w:before="60"/>
      </w:pPr>
      <w:r>
        <w:rPr>
          <w:rFonts w:ascii="Arial" w:cs="Arial" w:eastAsia="Arial" w:hAnsi="Arial"/>
          <w:color w:val="333333"/>
          <w:sz w:val="22"/>
          <w:szCs w:val="22"/>
        </w:rPr>
        <w:t xml:space="preserve">Integrations health monitor — status of all connected third-party APIs</w:t>
      </w:r>
    </w:p>
    <w:p>
      <w:pPr>
        <w:pStyle w:val="ListParagraph"/>
        <w:numPr>
          <w:ilvl w:val="0"/>
          <w:numId w:val="2"/>
        </w:numPr>
        <w:spacing w:after="60" w:before="60"/>
      </w:pPr>
      <w:r>
        <w:rPr>
          <w:rFonts w:ascii="Arial" w:cs="Arial" w:eastAsia="Arial" w:hAnsi="Arial"/>
          <w:color w:val="333333"/>
          <w:sz w:val="22"/>
          <w:szCs w:val="22"/>
        </w:rPr>
        <w:t xml:space="preserve">AI system monitor — usage and performance of AI assistant</w:t>
      </w:r>
    </w:p>
    <w:p>
      <w:pPr>
        <w:pStyle w:val="ListParagraph"/>
        <w:numPr>
          <w:ilvl w:val="0"/>
          <w:numId w:val="2"/>
        </w:numPr>
        <w:spacing w:after="60" w:before="60"/>
      </w:pPr>
      <w:r>
        <w:rPr>
          <w:rFonts w:ascii="Arial" w:cs="Arial" w:eastAsia="Arial" w:hAnsi="Arial"/>
          <w:color w:val="333333"/>
          <w:sz w:val="22"/>
          <w:szCs w:val="22"/>
        </w:rPr>
        <w:t xml:space="preserve">Admin settings — team management, audit log, feature flags, API keys</w:t>
      </w:r>
    </w:p>
    <w:p>
      <w:pPr>
        <w:pBdr>
          <w:bottom w:val="single" w:color="DDDDDD" w:sz="4" w:space="1"/>
        </w:pBdr>
        <w:spacing w:after="240" w:before="240"/>
      </w:pPr>
    </w:p>
    <w:p>
      <w:r>
        <w:br w:type="page"/>
      </w:r>
    </w:p>
    <w:p>
      <w:pPr>
        <w:pStyle w:val="Heading1"/>
        <w:spacing w:after="200" w:before="480"/>
      </w:pPr>
      <w:r>
        <w:rPr>
          <w:rFonts w:ascii="Arial" w:cs="Arial" w:eastAsia="Arial" w:hAnsi="Arial"/>
          <w:b/>
          <w:bCs/>
          <w:color w:val="111111"/>
          <w:sz w:val="36"/>
          <w:szCs w:val="36"/>
        </w:rPr>
        <w:t xml:space="preserve">4. Marketing Website — Detailed Screen Specifications</w:t>
      </w:r>
    </w:p>
    <w:p>
      <w:pPr>
        <w:shd w:fill="FFF0F0" w:val="clear"/>
        <w:spacing w:after="100" w:before="100"/>
      </w:pPr>
      <w:r>
        <w:rPr>
          <w:rFonts w:ascii="Arial" w:cs="Arial" w:eastAsia="Arial" w:hAnsi="Arial"/>
          <w:i/>
          <w:iCs/>
          <w:color w:val="8B0000"/>
          <w:sz w:val="20"/>
          <w:szCs w:val="20"/>
        </w:rPr>
        <w:t xml:space="preserve">Designer Note: VISUAL IDENTITY DIRECTIVE: The Taaxbro marketing website must have a completely original visual identity. It must not resemble TaxStreem (taxstreem.com) in layout, colour palette, typography treatment, hero structure, or section composition. Study TaxStreem’s website and consciously design against it. Taaxbro is warmer, more human, more distinctly African in its aesthetic awareness, and more accessible. Where TaxStreem leans dark and corporate, Taaxbro leans bright, grounded, and bold. Every layout decision is an opportunity to differentiate.</w:t>
      </w:r>
    </w:p>
    <w:p>
      <w:pPr>
        <w:pStyle w:val="Heading2"/>
        <w:spacing w:after="160" w:before="320"/>
      </w:pPr>
      <w:r>
        <w:rPr>
          <w:rFonts w:ascii="Arial" w:cs="Arial" w:eastAsia="Arial" w:hAnsi="Arial"/>
          <w:b/>
          <w:bCs/>
          <w:color w:val="222222"/>
          <w:sz w:val="28"/>
          <w:szCs w:val="28"/>
        </w:rPr>
        <w:t xml:space="preserve">4.1 Homepage</w:t>
      </w:r>
    </w:p>
    <w:p>
      <w:pPr>
        <w:spacing w:after="120" w:before="80"/>
      </w:pPr>
      <w:r>
        <w:rPr>
          <w:rFonts w:ascii="Arial" w:cs="Arial" w:eastAsia="Arial" w:hAnsi="Arial"/>
          <w:color w:val="333333"/>
          <w:sz w:val="22"/>
          <w:szCs w:val="22"/>
        </w:rPr>
        <w:t xml:space="preserve">The homepage must communicate the full value of Taaxbro in under five seconds to three different audiences: the SME owner, the freelancer, and the accountant. It must feel ambitious, human, and uniquely African in its market awareness — not a Western fintech template with Nigerian copy pasted in.</w:t>
      </w:r>
    </w:p>
    <w:p>
      <w:pPr>
        <w:spacing w:after="100" w:before="240"/>
      </w:pPr>
      <w:r>
        <w:rPr>
          <w:rFonts w:ascii="Arial" w:cs="Arial" w:eastAsia="Arial" w:hAnsi="Arial"/>
          <w:b/>
          <w:bCs/>
          <w:color w:val="2C2C2C"/>
          <w:sz w:val="24"/>
          <w:szCs w:val="24"/>
        </w:rPr>
        <w:t xml:space="preserve">Section 1 — Navigation Bar</w:t>
      </w:r>
    </w:p>
    <w:p>
      <w:pPr>
        <w:spacing w:after="120" w:before="80"/>
      </w:pPr>
      <w:r>
        <w:rPr>
          <w:rFonts w:ascii="Arial" w:cs="Arial" w:eastAsia="Arial" w:hAnsi="Arial"/>
          <w:color w:val="333333"/>
          <w:sz w:val="22"/>
          <w:szCs w:val="22"/>
        </w:rPr>
        <w:t xml:space="preserve">Fixed navigation bar that stays visible on scroll. Left: Taaxbro wordmark logo. Center: navigation links — Product, Pricing, For Accountants, Blog, About. Right: two CTAs — “Log In” as a text link and “Get Started Free” as a filled button. On scroll, the nav adopts a frosted glass or subtle shadow background. The nav must visually signal that this is a professional product without being sterile. Color and typeface choices here set the tone for the entire site.</w:t>
      </w:r>
    </w:p>
    <w:p>
      <w:pPr>
        <w:spacing w:after="100" w:before="240"/>
      </w:pPr>
      <w:r>
        <w:rPr>
          <w:rFonts w:ascii="Arial" w:cs="Arial" w:eastAsia="Arial" w:hAnsi="Arial"/>
          <w:b/>
          <w:bCs/>
          <w:color w:val="2C2C2C"/>
          <w:sz w:val="24"/>
          <w:szCs w:val="24"/>
        </w:rPr>
        <w:t xml:space="preserve">Section 2 — Hero</w:t>
      </w:r>
    </w:p>
    <w:p>
      <w:pPr>
        <w:spacing w:after="120" w:before="80"/>
      </w:pPr>
      <w:r>
        <w:rPr>
          <w:rFonts w:ascii="Arial" w:cs="Arial" w:eastAsia="Arial" w:hAnsi="Arial"/>
          <w:color w:val="333333"/>
          <w:sz w:val="22"/>
          <w:szCs w:val="22"/>
        </w:rPr>
        <w:t xml:space="preserve">The single most important screen in the entire product. It sets the emotional register. The headline must convey ownership, control, and relief — not tax compliance. Avoid headlines that sound like accounting software. Suggested direction: something that puts the business owner in command, not the government.</w:t>
      </w:r>
    </w:p>
    <w:p>
      <w:pPr>
        <w:spacing w:after="120" w:before="80"/>
      </w:pPr>
      <w:r>
        <w:rPr>
          <w:rFonts w:ascii="Arial" w:cs="Arial" w:eastAsia="Arial" w:hAnsi="Arial"/>
          <w:color w:val="333333"/>
          <w:sz w:val="22"/>
          <w:szCs w:val="22"/>
        </w:rPr>
        <w:t xml:space="preserve">Hero composition: primary headline (large, bold, high contrast), one-sentence subheadline expanding on the value proposition, two CTAs — primary: “Get Started Free,” secondary: “See How It Works” — and a hero visual that suggests the product dashboard or a stylized abstraction of financial clarity. Below the CTAs: a social proof strip showing key stats (e.g., businesses served, tax returns filed, average time saved).</w:t>
      </w:r>
    </w:p>
    <w:p>
      <w:pPr>
        <w:shd w:fill="FFF8EC" w:val="clear"/>
        <w:spacing w:after="100" w:before="100"/>
      </w:pPr>
      <w:r>
        <w:rPr>
          <w:rFonts w:ascii="Arial" w:cs="Arial" w:eastAsia="Arial" w:hAnsi="Arial"/>
          <w:i/>
          <w:iCs/>
          <w:color w:val="7A5C00"/>
          <w:sz w:val="20"/>
          <w:szCs w:val="20"/>
        </w:rPr>
        <w:t xml:space="preserve">Note: Hero visual must not be a generic dashboard screenshot. Consider a layered composition showing the three pillars — a payment notification, a tax filing status, and an invoice — arranged spatially to suggest the unified platform.</w:t>
      </w:r>
    </w:p>
    <w:p>
      <w:pPr>
        <w:spacing w:after="100" w:before="240"/>
      </w:pPr>
      <w:r>
        <w:rPr>
          <w:rFonts w:ascii="Arial" w:cs="Arial" w:eastAsia="Arial" w:hAnsi="Arial"/>
          <w:b/>
          <w:bCs/>
          <w:color w:val="2C2C2C"/>
          <w:sz w:val="24"/>
          <w:szCs w:val="24"/>
        </w:rPr>
        <w:t xml:space="preserve">Section 3 — Urgency Banner (2025 Tax Reform)</w:t>
      </w:r>
    </w:p>
    <w:p>
      <w:pPr>
        <w:spacing w:after="120" w:before="80"/>
      </w:pPr>
      <w:r>
        <w:rPr>
          <w:rFonts w:ascii="Arial" w:cs="Arial" w:eastAsia="Arial" w:hAnsi="Arial"/>
          <w:color w:val="333333"/>
          <w:sz w:val="22"/>
          <w:szCs w:val="22"/>
        </w:rPr>
        <w:t xml:space="preserve">A full-width contextual banner directly below the hero. Brief and punchy. It communicates: Nigeria’s 2025 tax reform is live. New rules, new authority (NRS), mandatory e-invoicing by 2027. Businesses that are not prepared will face penalties. Taaxbro keeps you compliant automatically. This section does not need to be long — it needs to land the urgency clearly. Use a contrasting background colour to separate it visually from the hero.</w:t>
      </w:r>
    </w:p>
    <w:p>
      <w:pPr>
        <w:spacing w:after="100" w:before="240"/>
      </w:pPr>
      <w:r>
        <w:rPr>
          <w:rFonts w:ascii="Arial" w:cs="Arial" w:eastAsia="Arial" w:hAnsi="Arial"/>
          <w:b/>
          <w:bCs/>
          <w:color w:val="2C2C2C"/>
          <w:sz w:val="24"/>
          <w:szCs w:val="24"/>
        </w:rPr>
        <w:t xml:space="preserve">Section 4 — Problem Statement</w:t>
      </w:r>
    </w:p>
    <w:p>
      <w:pPr>
        <w:spacing w:after="120" w:before="80"/>
      </w:pPr>
      <w:r>
        <w:rPr>
          <w:rFonts w:ascii="Arial" w:cs="Arial" w:eastAsia="Arial" w:hAnsi="Arial"/>
          <w:color w:val="333333"/>
          <w:sz w:val="22"/>
          <w:szCs w:val="22"/>
        </w:rPr>
        <w:t xml:space="preserve">An acknowledgment of the frustrations the target user already feels. Not a feature list — a validation of their pain. Use a card-based or alternating layout with four pain points:</w:t>
      </w:r>
    </w:p>
    <w:p>
      <w:pPr>
        <w:pStyle w:val="ListParagraph"/>
        <w:numPr>
          <w:ilvl w:val="0"/>
          <w:numId w:val="2"/>
        </w:numPr>
        <w:spacing w:after="60" w:before="60"/>
      </w:pPr>
      <w:r>
        <w:rPr>
          <w:rFonts w:ascii="Arial" w:cs="Arial" w:eastAsia="Arial" w:hAnsi="Arial"/>
          <w:color w:val="333333"/>
          <w:sz w:val="22"/>
          <w:szCs w:val="22"/>
        </w:rPr>
        <w:t xml:space="preserve">Manual tax calculations that eat hours every month</w:t>
      </w:r>
    </w:p>
    <w:p>
      <w:pPr>
        <w:pStyle w:val="ListParagraph"/>
        <w:numPr>
          <w:ilvl w:val="0"/>
          <w:numId w:val="2"/>
        </w:numPr>
        <w:spacing w:after="60" w:before="60"/>
      </w:pPr>
      <w:r>
        <w:rPr>
          <w:rFonts w:ascii="Arial" w:cs="Arial" w:eastAsia="Arial" w:hAnsi="Arial"/>
          <w:color w:val="333333"/>
          <w:sz w:val="22"/>
          <w:szCs w:val="22"/>
        </w:rPr>
        <w:t xml:space="preserve">Missed deadlines, surprise penalties, and letters from the tax authority</w:t>
      </w:r>
    </w:p>
    <w:p>
      <w:pPr>
        <w:pStyle w:val="ListParagraph"/>
        <w:numPr>
          <w:ilvl w:val="0"/>
          <w:numId w:val="2"/>
        </w:numPr>
        <w:spacing w:after="60" w:before="60"/>
      </w:pPr>
      <w:r>
        <w:rPr>
          <w:rFonts w:ascii="Arial" w:cs="Arial" w:eastAsia="Arial" w:hAnsi="Arial"/>
          <w:color w:val="333333"/>
          <w:sz w:val="22"/>
          <w:szCs w:val="22"/>
        </w:rPr>
        <w:t xml:space="preserve">Payments scattered across bank apps, POS receipts, and WhatsApp threads with zero visibility</w:t>
      </w:r>
    </w:p>
    <w:p>
      <w:pPr>
        <w:pStyle w:val="ListParagraph"/>
        <w:numPr>
          <w:ilvl w:val="0"/>
          <w:numId w:val="2"/>
        </w:numPr>
        <w:spacing w:after="60" w:before="60"/>
      </w:pPr>
      <w:r>
        <w:rPr>
          <w:rFonts w:ascii="Arial" w:cs="Arial" w:eastAsia="Arial" w:hAnsi="Arial"/>
          <w:color w:val="333333"/>
          <w:sz w:val="22"/>
          <w:szCs w:val="22"/>
        </w:rPr>
        <w:t xml:space="preserve">The high cost and unreliability of external accountants for routine tasks</w:t>
      </w:r>
    </w:p>
    <w:p>
      <w:pPr>
        <w:spacing w:after="120" w:before="80"/>
      </w:pPr>
      <w:r>
        <w:rPr>
          <w:rFonts w:ascii="Arial" w:cs="Arial" w:eastAsia="Arial" w:hAnsi="Arial"/>
          <w:color w:val="333333"/>
          <w:sz w:val="22"/>
          <w:szCs w:val="22"/>
        </w:rPr>
        <w:t xml:space="preserve">Each card: short label, one-sentence description, supporting icon or illustration. The tone must be empathetic, not condescending. The user should read this and feel heard.</w:t>
      </w:r>
    </w:p>
    <w:p>
      <w:pPr>
        <w:spacing w:after="100" w:before="240"/>
      </w:pPr>
      <w:r>
        <w:rPr>
          <w:rFonts w:ascii="Arial" w:cs="Arial" w:eastAsia="Arial" w:hAnsi="Arial"/>
          <w:b/>
          <w:bCs/>
          <w:color w:val="2C2C2C"/>
          <w:sz w:val="24"/>
          <w:szCs w:val="24"/>
        </w:rPr>
        <w:t xml:space="preserve">Section 5 — The Solution: Three Pillars</w:t>
      </w:r>
    </w:p>
    <w:p>
      <w:pPr>
        <w:spacing w:after="120" w:before="80"/>
      </w:pPr>
      <w:r>
        <w:rPr>
          <w:rFonts w:ascii="Arial" w:cs="Arial" w:eastAsia="Arial" w:hAnsi="Arial"/>
          <w:color w:val="333333"/>
          <w:sz w:val="22"/>
          <w:szCs w:val="22"/>
        </w:rPr>
        <w:t xml:space="preserve">A feature showcase presenting Taaxbro Pay, Taaxbro Tax, and Taaxbro Books as three chapters of one story, not three separate products. Suggested layout: a tabbed or side-scrolling module where the user moves between pillars. Each pillar section: a brief positioning paragraph, 3–4 key capabilities, and a product screenshot or stylized illustration. The visual language between pillars should feel cohesive — same card style, same layout rhythm, different accent colour per pillar if using colour coding.</w:t>
      </w:r>
    </w:p>
    <w:p>
      <w:pPr>
        <w:spacing w:after="100" w:before="240"/>
      </w:pPr>
      <w:r>
        <w:rPr>
          <w:rFonts w:ascii="Arial" w:cs="Arial" w:eastAsia="Arial" w:hAnsi="Arial"/>
          <w:b/>
          <w:bCs/>
          <w:color w:val="2C2C2C"/>
          <w:sz w:val="24"/>
          <w:szCs w:val="24"/>
        </w:rPr>
        <w:t xml:space="preserve">Section 6 — AI-Powered Intelligence</w:t>
      </w:r>
    </w:p>
    <w:p>
      <w:pPr>
        <w:spacing w:after="120" w:before="80"/>
      </w:pPr>
      <w:r>
        <w:rPr>
          <w:rFonts w:ascii="Arial" w:cs="Arial" w:eastAsia="Arial" w:hAnsi="Arial"/>
          <w:color w:val="333333"/>
          <w:sz w:val="22"/>
          <w:szCs w:val="22"/>
        </w:rPr>
        <w:t xml:space="preserve">A dedicated section explaining how artificial intelligence runs throughout Taaxbro. This must be specific and credible — not a generic “Powered by AI” badge. The section communicates four things the AI actually does:</w:t>
      </w:r>
    </w:p>
    <w:p>
      <w:pPr>
        <w:pStyle w:val="ListParagraph"/>
        <w:numPr>
          <w:ilvl w:val="0"/>
          <w:numId w:val="2"/>
        </w:numPr>
        <w:spacing w:after="60" w:before="60"/>
      </w:pPr>
      <w:r>
        <w:rPr>
          <w:rFonts w:ascii="Arial" w:cs="Arial" w:eastAsia="Arial" w:hAnsi="Arial"/>
          <w:color w:val="333333"/>
          <w:sz w:val="22"/>
          <w:szCs w:val="22"/>
        </w:rPr>
        <w:t xml:space="preserve">Reads every transaction coming from connected bank accounts and automatically categorises it — income, expense, VAT-applicable, exempt, etc. — without any input from the user</w:t>
      </w:r>
    </w:p>
    <w:p>
      <w:pPr>
        <w:pStyle w:val="ListParagraph"/>
        <w:numPr>
          <w:ilvl w:val="0"/>
          <w:numId w:val="2"/>
        </w:numPr>
        <w:spacing w:after="60" w:before="60"/>
      </w:pPr>
      <w:r>
        <w:rPr>
          <w:rFonts w:ascii="Arial" w:cs="Arial" w:eastAsia="Arial" w:hAnsi="Arial"/>
          <w:color w:val="333333"/>
          <w:sz w:val="22"/>
          <w:szCs w:val="22"/>
        </w:rPr>
        <w:t xml:space="preserve">Computes VAT, WHT, CIT, PIT, Development Levy, and Stamp Duty liabilities in real time as transactions occur, not just at filing time</w:t>
      </w:r>
    </w:p>
    <w:p>
      <w:pPr>
        <w:pStyle w:val="ListParagraph"/>
        <w:numPr>
          <w:ilvl w:val="0"/>
          <w:numId w:val="2"/>
        </w:numPr>
        <w:spacing w:after="60" w:before="60"/>
      </w:pPr>
      <w:r>
        <w:rPr>
          <w:rFonts w:ascii="Arial" w:cs="Arial" w:eastAsia="Arial" w:hAnsi="Arial"/>
          <w:color w:val="333333"/>
          <w:sz w:val="22"/>
          <w:szCs w:val="22"/>
        </w:rPr>
        <w:t xml:space="preserve">Answers tax questions in plain conversational language, 24 hours a day, within the app and on WhatsApp — “Am I supposed to charge VAT on this service?” gets a clear, law-referenced answer in seconds</w:t>
      </w:r>
    </w:p>
    <w:p>
      <w:pPr>
        <w:pStyle w:val="ListParagraph"/>
        <w:numPr>
          <w:ilvl w:val="0"/>
          <w:numId w:val="2"/>
        </w:numPr>
        <w:spacing w:after="60" w:before="60"/>
      </w:pPr>
      <w:r>
        <w:rPr>
          <w:rFonts w:ascii="Arial" w:cs="Arial" w:eastAsia="Arial" w:hAnsi="Arial"/>
          <w:color w:val="333333"/>
          <w:sz w:val="22"/>
          <w:szCs w:val="22"/>
        </w:rPr>
        <w:t xml:space="preserve">Flags anomalies and compliance risks before they become penalties — underreporting patterns, missing filings, and suspicious discrepancies are surfaced with corrective action recommendations</w:t>
      </w:r>
    </w:p>
    <w:p>
      <w:pPr>
        <w:spacing w:after="120" w:before="80"/>
      </w:pPr>
      <w:r>
        <w:rPr>
          <w:rFonts w:ascii="Arial" w:cs="Arial" w:eastAsia="Arial" w:hAnsi="Arial"/>
          <w:color w:val="333333"/>
          <w:sz w:val="22"/>
          <w:szCs w:val="22"/>
        </w:rPr>
        <w:t xml:space="preserve">Design direction: a split layout. Left side: short explanatory paragraph and four capability cards, each with an icon, a bold title, and two concise sentences. Right side: a visual of the AI assistant in conversation — a chat panel showing a realistic Q&amp;A exchange in plain language about a Nigerian tax scenario. Tone: reassuring, not intimidating. The AI works for the business owner. It does not require configuration or technical understanding.</w:t>
      </w:r>
    </w:p>
    <w:p>
      <w:pPr>
        <w:spacing w:after="100" w:before="240"/>
      </w:pPr>
      <w:r>
        <w:rPr>
          <w:rFonts w:ascii="Arial" w:cs="Arial" w:eastAsia="Arial" w:hAnsi="Arial"/>
          <w:b/>
          <w:bCs/>
          <w:color w:val="2C2C2C"/>
          <w:sz w:val="24"/>
          <w:szCs w:val="24"/>
        </w:rPr>
        <w:t xml:space="preserve">Section 7 — WhatsApp Integration Highlight</w:t>
      </w:r>
    </w:p>
    <w:p>
      <w:pPr>
        <w:spacing w:after="120" w:before="80"/>
      </w:pPr>
      <w:r>
        <w:rPr>
          <w:rFonts w:ascii="Arial" w:cs="Arial" w:eastAsia="Arial" w:hAnsi="Arial"/>
          <w:color w:val="333333"/>
          <w:sz w:val="22"/>
          <w:szCs w:val="22"/>
        </w:rPr>
        <w:t xml:space="preserve">WhatsApp is not a nice-to-have for Nigerian SMEs — it is the primary business communication channel. This section must land the message that Taaxbro works inside WhatsApp, not just alongside it. The headline should communicate that Taaxbro is inside the app you already use every day.</w:t>
      </w:r>
    </w:p>
    <w:p>
      <w:pPr>
        <w:spacing w:after="120" w:before="80"/>
      </w:pPr>
      <w:r>
        <w:rPr>
          <w:rFonts w:ascii="Arial" w:cs="Arial" w:eastAsia="Arial" w:hAnsi="Arial"/>
          <w:color w:val="333333"/>
          <w:sz w:val="22"/>
          <w:szCs w:val="22"/>
        </w:rPr>
        <w:t xml:space="preserve">Below the headline, present eight specific capabilities the WhatsApp integration delivers, shown as a visual checklist or icon list:</w:t>
      </w:r>
    </w:p>
    <w:p>
      <w:pPr>
        <w:pStyle w:val="ListParagraph"/>
        <w:numPr>
          <w:ilvl w:val="0"/>
          <w:numId w:val="2"/>
        </w:numPr>
        <w:spacing w:after="60" w:before="60"/>
      </w:pPr>
      <w:r>
        <w:rPr>
          <w:rFonts w:ascii="Arial" w:cs="Arial" w:eastAsia="Arial" w:hAnsi="Arial"/>
          <w:color w:val="333333"/>
          <w:sz w:val="22"/>
          <w:szCs w:val="22"/>
        </w:rPr>
        <w:t xml:space="preserve">Receive an instant notification the moment a customer pays an invoice — including business name, invoice number, and amount</w:t>
      </w:r>
    </w:p>
    <w:p>
      <w:pPr>
        <w:pStyle w:val="ListParagraph"/>
        <w:numPr>
          <w:ilvl w:val="0"/>
          <w:numId w:val="2"/>
        </w:numPr>
        <w:spacing w:after="60" w:before="60"/>
      </w:pPr>
      <w:r>
        <w:rPr>
          <w:rFonts w:ascii="Arial" w:cs="Arial" w:eastAsia="Arial" w:hAnsi="Arial"/>
          <w:color w:val="333333"/>
          <w:sz w:val="22"/>
          <w:szCs w:val="22"/>
        </w:rPr>
        <w:t xml:space="preserve">Get tax deadline reminders with exact amounts owed sent directly to WhatsApp, days before the due date</w:t>
      </w:r>
    </w:p>
    <w:p>
      <w:pPr>
        <w:pStyle w:val="ListParagraph"/>
        <w:numPr>
          <w:ilvl w:val="0"/>
          <w:numId w:val="2"/>
        </w:numPr>
        <w:spacing w:after="60" w:before="60"/>
      </w:pPr>
      <w:r>
        <w:rPr>
          <w:rFonts w:ascii="Arial" w:cs="Arial" w:eastAsia="Arial" w:hAnsi="Arial"/>
          <w:color w:val="333333"/>
          <w:sz w:val="22"/>
          <w:szCs w:val="22"/>
        </w:rPr>
        <w:t xml:space="preserve">Send invoice payment links to clients via WhatsApp without leaving Taaxbro</w:t>
      </w:r>
    </w:p>
    <w:p>
      <w:pPr>
        <w:pStyle w:val="ListParagraph"/>
        <w:numPr>
          <w:ilvl w:val="0"/>
          <w:numId w:val="2"/>
        </w:numPr>
        <w:spacing w:after="60" w:before="60"/>
      </w:pPr>
      <w:r>
        <w:rPr>
          <w:rFonts w:ascii="Arial" w:cs="Arial" w:eastAsia="Arial" w:hAnsi="Arial"/>
          <w:color w:val="333333"/>
          <w:sz w:val="22"/>
          <w:szCs w:val="22"/>
        </w:rPr>
        <w:t xml:space="preserve">Photograph any receipt and send it to Taaxbro on WhatsApp — the AI reads it, records the expense, and confirms what VAT was charged</w:t>
      </w:r>
    </w:p>
    <w:p>
      <w:pPr>
        <w:pStyle w:val="ListParagraph"/>
        <w:numPr>
          <w:ilvl w:val="0"/>
          <w:numId w:val="2"/>
        </w:numPr>
        <w:spacing w:after="60" w:before="60"/>
      </w:pPr>
      <w:r>
        <w:rPr>
          <w:rFonts w:ascii="Arial" w:cs="Arial" w:eastAsia="Arial" w:hAnsi="Arial"/>
          <w:color w:val="333333"/>
          <w:sz w:val="22"/>
          <w:szCs w:val="22"/>
        </w:rPr>
        <w:t xml:space="preserve">Ask whether you’re being overcharged VAT at a shop, restaurant, or service provider by sending a photo of the receipt — Taaxbro checks Nigerian law and responds instantly</w:t>
      </w:r>
    </w:p>
    <w:p>
      <w:pPr>
        <w:pStyle w:val="ListParagraph"/>
        <w:numPr>
          <w:ilvl w:val="0"/>
          <w:numId w:val="2"/>
        </w:numPr>
        <w:spacing w:after="60" w:before="60"/>
      </w:pPr>
      <w:r>
        <w:rPr>
          <w:rFonts w:ascii="Arial" w:cs="Arial" w:eastAsia="Arial" w:hAnsi="Arial"/>
          <w:color w:val="333333"/>
          <w:sz w:val="22"/>
          <w:szCs w:val="22"/>
        </w:rPr>
        <w:t xml:space="preserve">Raise a support ticket by simply messaging Taaxbro’s WhatsApp number with your issue</w:t>
      </w:r>
    </w:p>
    <w:p>
      <w:pPr>
        <w:pStyle w:val="ListParagraph"/>
        <w:numPr>
          <w:ilvl w:val="0"/>
          <w:numId w:val="2"/>
        </w:numPr>
        <w:spacing w:after="60" w:before="60"/>
      </w:pPr>
      <w:r>
        <w:rPr>
          <w:rFonts w:ascii="Arial" w:cs="Arial" w:eastAsia="Arial" w:hAnsi="Arial"/>
          <w:color w:val="333333"/>
          <w:sz w:val="22"/>
          <w:szCs w:val="22"/>
        </w:rPr>
        <w:t xml:space="preserve">Ask the AI tax assistant questions and receive plain-language answers in your WhatsApp chat</w:t>
      </w:r>
    </w:p>
    <w:p>
      <w:pPr>
        <w:pStyle w:val="ListParagraph"/>
        <w:numPr>
          <w:ilvl w:val="0"/>
          <w:numId w:val="2"/>
        </w:numPr>
        <w:spacing w:after="60" w:before="60"/>
      </w:pPr>
      <w:r>
        <w:rPr>
          <w:rFonts w:ascii="Arial" w:cs="Arial" w:eastAsia="Arial" w:hAnsi="Arial"/>
          <w:color w:val="333333"/>
          <w:sz w:val="22"/>
          <w:szCs w:val="22"/>
        </w:rPr>
        <w:t xml:space="preserve">Send a voice note asking a tax question and receive a text response (Phase 3)</w:t>
      </w:r>
    </w:p>
    <w:p>
      <w:pPr>
        <w:spacing w:after="120" w:before="80"/>
      </w:pPr>
      <w:r>
        <w:rPr>
          <w:rFonts w:ascii="Arial" w:cs="Arial" w:eastAsia="Arial" w:hAnsi="Arial"/>
          <w:color w:val="333333"/>
          <w:sz w:val="22"/>
          <w:szCs w:val="22"/>
        </w:rPr>
        <w:t xml:space="preserve">Design direction: a phone mockup showing a realistic WhatsApp conversation thread with Taaxbro as the contact. Messages in the mockup should be specific, not placeholder text. Show at minimum: a payment notification, a receipt scan confirmation with VAT breakdown, and a tax deadline alert. The background of this section should use a distinct visual treatment — a rich green tint, a textured panel, or a full-bleed colour block — to separate it from surrounding sections and create immediate visual association with WhatsApp’s brand colour without directly copying it.</w:t>
      </w:r>
    </w:p>
    <w:p>
      <w:pPr>
        <w:spacing w:after="100" w:before="240"/>
      </w:pPr>
      <w:r>
        <w:rPr>
          <w:rFonts w:ascii="Arial" w:cs="Arial" w:eastAsia="Arial" w:hAnsi="Arial"/>
          <w:b/>
          <w:bCs/>
          <w:color w:val="2C2C2C"/>
          <w:sz w:val="24"/>
          <w:szCs w:val="24"/>
        </w:rPr>
        <w:t xml:space="preserve">Section 8 — OCR: Scan. Record. Verify.</w:t>
      </w:r>
    </w:p>
    <w:p>
      <w:pPr>
        <w:spacing w:after="120" w:before="80"/>
      </w:pPr>
      <w:r>
        <w:rPr>
          <w:rFonts w:ascii="Arial" w:cs="Arial" w:eastAsia="Arial" w:hAnsi="Arial"/>
          <w:color w:val="333333"/>
          <w:sz w:val="22"/>
          <w:szCs w:val="22"/>
        </w:rPr>
        <w:t xml:space="preserve">A dedicated section for the OCR receipt and invoice scanning feature, presented as a standalone capability rather than buried in the Books module. This feature has two use cases that need to be communicated clearly to different audiences:</w:t>
      </w:r>
    </w:p>
    <w:p>
      <w:pPr>
        <w:spacing w:after="120" w:before="80"/>
      </w:pPr>
      <w:r>
        <w:rPr>
          <w:rFonts w:ascii="Arial" w:cs="Arial" w:eastAsia="Arial" w:hAnsi="Arial"/>
          <w:color w:val="333333"/>
          <w:sz w:val="22"/>
          <w:szCs w:val="22"/>
        </w:rPr>
        <w:t xml:space="preserve">Use Case A — For Business Owners (Recording): Take a photo of any invoice or receipt on your phone camera, upload it from your file explorer, or send it via WhatsApp. Taaxbro reads the document, extracts the vendor name, date, line items, amounts, and applicable taxes, and records it directly in your Books as a categorised expense. No typing. No spreadsheets.</w:t>
      </w:r>
    </w:p>
    <w:p>
      <w:pPr>
        <w:spacing w:after="120" w:before="80"/>
      </w:pPr>
      <w:r>
        <w:rPr>
          <w:rFonts w:ascii="Arial" w:cs="Arial" w:eastAsia="Arial" w:hAnsi="Arial"/>
          <w:color w:val="333333"/>
          <w:sz w:val="22"/>
          <w:szCs w:val="22"/>
        </w:rPr>
        <w:t xml:space="preserve">Use Case B — For Anyone (VAT Verification): Photograph a receipt from any purchase — a supermarket, a service provider, a contractor. Taaxbro checks every VAT line against Nigerian tax law and tells you whether the amount charged was correct, whether you were overcharged, or whether the item should have been VAT-exempt. This is your protection against being overcharged at the till.</w:t>
      </w:r>
    </w:p>
    <w:p>
      <w:pPr>
        <w:spacing w:after="120" w:before="80"/>
      </w:pPr>
      <w:r>
        <w:rPr>
          <w:rFonts w:ascii="Arial" w:cs="Arial" w:eastAsia="Arial" w:hAnsi="Arial"/>
          <w:color w:val="333333"/>
          <w:sz w:val="22"/>
          <w:szCs w:val="22"/>
        </w:rPr>
        <w:t xml:space="preserve">Design direction: show the two use cases as two distinct visual lanes within the section, clearly labelled. For each lane, use a three-step mini-diagram: (1) capture / upload the image, (2) Taaxbro reads and processes it, (3) result appears. The capturing step should visually show all three input methods: phone camera, file upload, and WhatsApp. Keep the copy short and concrete. This feature is self-explanatory when shown — the design carries the message.</w:t>
      </w:r>
    </w:p>
    <w:p>
      <w:pPr>
        <w:spacing w:after="100" w:before="240"/>
      </w:pPr>
      <w:r>
        <w:rPr>
          <w:rFonts w:ascii="Arial" w:cs="Arial" w:eastAsia="Arial" w:hAnsi="Arial"/>
          <w:b/>
          <w:bCs/>
          <w:color w:val="2C2C2C"/>
          <w:sz w:val="24"/>
          <w:szCs w:val="24"/>
        </w:rPr>
        <w:t xml:space="preserve">Section 9 — Tax Escrow Wallet</w:t>
      </w:r>
    </w:p>
    <w:p>
      <w:pPr>
        <w:spacing w:after="120" w:before="80"/>
      </w:pPr>
      <w:r>
        <w:rPr>
          <w:rFonts w:ascii="Arial" w:cs="Arial" w:eastAsia="Arial" w:hAnsi="Arial"/>
          <w:color w:val="333333"/>
          <w:sz w:val="22"/>
          <w:szCs w:val="22"/>
        </w:rPr>
        <w:t xml:space="preserve">A section dedicated to the Tax Escrow Wallet — one of Taaxbro’s most commercially distinctive features. The concept: as revenue enters the business, Taaxbro automatically calculates the VAT portion of each transaction and moves it into a ring-fenced wallet so the money is ready at filing time. No scrambling. No borrowing from operational funds.</w:t>
      </w:r>
    </w:p>
    <w:p>
      <w:pPr>
        <w:spacing w:after="120" w:before="80"/>
      </w:pPr>
      <w:r>
        <w:rPr>
          <w:rFonts w:ascii="Arial" w:cs="Arial" w:eastAsia="Arial" w:hAnsi="Arial"/>
          <w:color w:val="333333"/>
          <w:sz w:val="22"/>
          <w:szCs w:val="22"/>
        </w:rPr>
        <w:t xml:space="preserve">Headline direction: something to the effect of “Your VAT is already saved. We did it the moment you got paid.” Below, a three-point explanation: how the escrow works, what taxes it covers, and how the funds are released at filing time. A visual of the wallet balance and recent contributions makes this tangible. This feature should feel like financial relief, not a technical mechanism.</w:t>
      </w:r>
    </w:p>
    <w:p>
      <w:pPr>
        <w:spacing w:after="100" w:before="240"/>
      </w:pPr>
      <w:r>
        <w:rPr>
          <w:rFonts w:ascii="Arial" w:cs="Arial" w:eastAsia="Arial" w:hAnsi="Arial"/>
          <w:b/>
          <w:bCs/>
          <w:color w:val="2C2C2C"/>
          <w:sz w:val="24"/>
          <w:szCs w:val="24"/>
        </w:rPr>
        <w:t xml:space="preserve">Section 10 — Compliance Score</w:t>
      </w:r>
    </w:p>
    <w:p>
      <w:pPr>
        <w:spacing w:after="120" w:before="80"/>
      </w:pPr>
      <w:r>
        <w:rPr>
          <w:rFonts w:ascii="Arial" w:cs="Arial" w:eastAsia="Arial" w:hAnsi="Arial"/>
          <w:color w:val="333333"/>
          <w:sz w:val="22"/>
          <w:szCs w:val="22"/>
        </w:rPr>
        <w:t xml:space="preserve">Introduce the Taaxbro Compliance Score — a real-time 0–100 rating of every business’s tax compliance posture. This is a hook for businesses that feel uncertain about their standing with the tax authority. The section headline should communicate that Taaxbro shows you exactly where you stand and what to fix. Below: a visual of the score gauge, a short explanation of what drives it up and down, and the promise that Taaxbro tells you what to do to improve it before anything becomes a penalty.</w:t>
      </w:r>
    </w:p>
    <w:p>
      <w:pPr>
        <w:spacing w:after="100" w:before="240"/>
      </w:pPr>
      <w:r>
        <w:rPr>
          <w:rFonts w:ascii="Arial" w:cs="Arial" w:eastAsia="Arial" w:hAnsi="Arial"/>
          <w:b/>
          <w:bCs/>
          <w:color w:val="2C2C2C"/>
          <w:sz w:val="24"/>
          <w:szCs w:val="24"/>
        </w:rPr>
        <w:t xml:space="preserve">Section 11 — How It Works</w:t>
      </w:r>
    </w:p>
    <w:p>
      <w:pPr>
        <w:spacing w:after="120" w:before="80"/>
      </w:pPr>
      <w:r>
        <w:rPr>
          <w:rFonts w:ascii="Arial" w:cs="Arial" w:eastAsia="Arial" w:hAnsi="Arial"/>
          <w:color w:val="333333"/>
          <w:sz w:val="22"/>
          <w:szCs w:val="22"/>
        </w:rPr>
        <w:t xml:space="preserve">A step-by-step visual walkthrough of how a new business gets started. Four steps:</w:t>
      </w:r>
    </w:p>
    <w:p>
      <w:pPr>
        <w:pStyle w:val="ListParagraph"/>
        <w:numPr>
          <w:ilvl w:val="0"/>
          <w:numId w:val="3"/>
        </w:numPr>
        <w:spacing w:after="60" w:before="60"/>
      </w:pPr>
      <w:r>
        <w:rPr>
          <w:rFonts w:ascii="Arial" w:cs="Arial" w:eastAsia="Arial" w:hAnsi="Arial"/>
          <w:color w:val="333333"/>
          <w:sz w:val="22"/>
          <w:szCs w:val="22"/>
        </w:rPr>
        <w:t xml:space="preserve">Connect your financial accounts — bank, POS, and accounting tools</w:t>
      </w:r>
    </w:p>
    <w:p>
      <w:pPr>
        <w:pStyle w:val="ListParagraph"/>
        <w:numPr>
          <w:ilvl w:val="0"/>
          <w:numId w:val="3"/>
        </w:numPr>
        <w:spacing w:after="60" w:before="60"/>
      </w:pPr>
      <w:r>
        <w:rPr>
          <w:rFonts w:ascii="Arial" w:cs="Arial" w:eastAsia="Arial" w:hAnsi="Arial"/>
          <w:color w:val="333333"/>
          <w:sz w:val="22"/>
          <w:szCs w:val="22"/>
        </w:rPr>
        <w:t xml:space="preserve">Taaxbro imports, reads, and organises all your financial data automatically</w:t>
      </w:r>
    </w:p>
    <w:p>
      <w:pPr>
        <w:pStyle w:val="ListParagraph"/>
        <w:numPr>
          <w:ilvl w:val="0"/>
          <w:numId w:val="3"/>
        </w:numPr>
        <w:spacing w:after="60" w:before="60"/>
      </w:pPr>
      <w:r>
        <w:rPr>
          <w:rFonts w:ascii="Arial" w:cs="Arial" w:eastAsia="Arial" w:hAnsi="Arial"/>
          <w:color w:val="333333"/>
          <w:sz w:val="22"/>
          <w:szCs w:val="22"/>
        </w:rPr>
        <w:t xml:space="preserve">Review your tax liabilities, compliance score, and payment activity on your dashboard</w:t>
      </w:r>
    </w:p>
    <w:p>
      <w:pPr>
        <w:pStyle w:val="ListParagraph"/>
        <w:numPr>
          <w:ilvl w:val="0"/>
          <w:numId w:val="3"/>
        </w:numPr>
        <w:spacing w:after="60" w:before="60"/>
      </w:pPr>
      <w:r>
        <w:rPr>
          <w:rFonts w:ascii="Arial" w:cs="Arial" w:eastAsia="Arial" w:hAnsi="Arial"/>
          <w:color w:val="333333"/>
          <w:sz w:val="22"/>
          <w:szCs w:val="22"/>
        </w:rPr>
        <w:t xml:space="preserve">Approve your returns, file with one tap, and get back to running your business</w:t>
      </w:r>
    </w:p>
    <w:p>
      <w:pPr>
        <w:spacing w:after="120" w:before="80"/>
      </w:pPr>
      <w:r>
        <w:rPr>
          <w:rFonts w:ascii="Arial" w:cs="Arial" w:eastAsia="Arial" w:hAnsi="Arial"/>
          <w:color w:val="333333"/>
          <w:sz w:val="22"/>
          <w:szCs w:val="22"/>
        </w:rPr>
        <w:t xml:space="preserve">Use a numbered horizontal timeline or a staggered vertical layout. Each step: number, short bold title, one-sentence explanation. Keep it frictionless-looking. The user should think “I can do this in an afternoon.”</w:t>
      </w:r>
    </w:p>
    <w:p>
      <w:pPr>
        <w:spacing w:after="100" w:before="240"/>
      </w:pPr>
      <w:r>
        <w:rPr>
          <w:rFonts w:ascii="Arial" w:cs="Arial" w:eastAsia="Arial" w:hAnsi="Arial"/>
          <w:b/>
          <w:bCs/>
          <w:color w:val="2C2C2C"/>
          <w:sz w:val="24"/>
          <w:szCs w:val="24"/>
        </w:rPr>
        <w:t xml:space="preserve">Section 12 — Integrations</w:t>
      </w:r>
    </w:p>
    <w:p>
      <w:pPr>
        <w:spacing w:after="120" w:before="80"/>
      </w:pPr>
      <w:r>
        <w:rPr>
          <w:rFonts w:ascii="Arial" w:cs="Arial" w:eastAsia="Arial" w:hAnsi="Arial"/>
          <w:color w:val="333333"/>
          <w:sz w:val="22"/>
          <w:szCs w:val="22"/>
        </w:rPr>
        <w:t xml:space="preserve">A visual grid or scrolling marquee of every platform Taaxbro connects with. Include logos for: major Nigerian commercial banks (GTBank, Access, Zenith, UBA, First Bank), POS systems (Moniepoint, Nomba, OPay), fintech wallets (Paystack, Flutterwave, Kuda), accounting software (QuickBooks, Sage, Xero, Zoho Books), email (Gmail, Outlook), and the Nigeria Revenue Service (NRS). Short copy above: “Taaxbro plugs into the financial tools your business already uses — and keeps them all talking to each other.”</w:t>
      </w:r>
    </w:p>
    <w:p>
      <w:pPr>
        <w:spacing w:after="100" w:before="240"/>
      </w:pPr>
      <w:r>
        <w:rPr>
          <w:rFonts w:ascii="Arial" w:cs="Arial" w:eastAsia="Arial" w:hAnsi="Arial"/>
          <w:b/>
          <w:bCs/>
          <w:color w:val="2C2C2C"/>
          <w:sz w:val="24"/>
          <w:szCs w:val="24"/>
        </w:rPr>
        <w:t xml:space="preserve">Section 13 — For Accountants</w:t>
      </w:r>
    </w:p>
    <w:p>
      <w:pPr>
        <w:spacing w:after="120" w:before="80"/>
      </w:pPr>
      <w:r>
        <w:rPr>
          <w:rFonts w:ascii="Arial" w:cs="Arial" w:eastAsia="Arial" w:hAnsi="Arial"/>
          <w:color w:val="333333"/>
          <w:sz w:val="22"/>
          <w:szCs w:val="22"/>
        </w:rPr>
        <w:t xml:space="preserve">A separate audience block on the homepage that speaks directly to tax professionals. Short headline: “One dashboard. All your clients.” Below: three capability points explaining the Accountant Portal — see all client compliance scores at a glance, bulk-file returns across multiple businesses, and onboard new clients in minutes. CTA: “Explore the Accountant Portal.” This block should link to the dedicated accountant landing section of the Pricing page.</w:t>
      </w:r>
    </w:p>
    <w:p>
      <w:pPr>
        <w:spacing w:after="100" w:before="240"/>
      </w:pPr>
      <w:r>
        <w:rPr>
          <w:rFonts w:ascii="Arial" w:cs="Arial" w:eastAsia="Arial" w:hAnsi="Arial"/>
          <w:b/>
          <w:bCs/>
          <w:color w:val="2C2C2C"/>
          <w:sz w:val="24"/>
          <w:szCs w:val="24"/>
        </w:rPr>
        <w:t xml:space="preserve">Section 14 — Testimonials &amp; Social Proof</w:t>
      </w:r>
    </w:p>
    <w:p>
      <w:pPr>
        <w:spacing w:after="120" w:before="80"/>
      </w:pPr>
      <w:r>
        <w:rPr>
          <w:rFonts w:ascii="Arial" w:cs="Arial" w:eastAsia="Arial" w:hAnsi="Arial"/>
          <w:color w:val="333333"/>
          <w:sz w:val="22"/>
          <w:szCs w:val="22"/>
        </w:rPr>
        <w:t xml:space="preserve">Two to three testimonials from business owners and one from an accountant. Each card: quote, name, business type or profession, and profile image placeholder. Below the cards: a metrics strip with three key statistics presented as large numbers — e.g., businesses served, tax returns filed, average time saved per month. Numbers should be aspirational but credible. Metrics design should feel bold and confident, not filler.</w:t>
      </w:r>
    </w:p>
    <w:p>
      <w:pPr>
        <w:spacing w:after="100" w:before="240"/>
      </w:pPr>
      <w:r>
        <w:rPr>
          <w:rFonts w:ascii="Arial" w:cs="Arial" w:eastAsia="Arial" w:hAnsi="Arial"/>
          <w:b/>
          <w:bCs/>
          <w:color w:val="2C2C2C"/>
          <w:sz w:val="24"/>
          <w:szCs w:val="24"/>
        </w:rPr>
        <w:t xml:space="preserve">Section 15 — Pricing Teaser</w:t>
      </w:r>
    </w:p>
    <w:p>
      <w:pPr>
        <w:spacing w:after="120" w:before="80"/>
      </w:pPr>
      <w:r>
        <w:rPr>
          <w:rFonts w:ascii="Arial" w:cs="Arial" w:eastAsia="Arial" w:hAnsi="Arial"/>
          <w:color w:val="333333"/>
          <w:sz w:val="22"/>
          <w:szCs w:val="22"/>
        </w:rPr>
        <w:t xml:space="preserve">A brief plan overview with three tier names and starting prices. A link to the full Pricing page. The recommended plan should be visually elevated. One sentence below each plan name positioning who it is for. CTA: “See full pricing.”</w:t>
      </w:r>
    </w:p>
    <w:p>
      <w:pPr>
        <w:spacing w:after="100" w:before="240"/>
      </w:pPr>
      <w:r>
        <w:rPr>
          <w:rFonts w:ascii="Arial" w:cs="Arial" w:eastAsia="Arial" w:hAnsi="Arial"/>
          <w:b/>
          <w:bCs/>
          <w:color w:val="2C2C2C"/>
          <w:sz w:val="24"/>
          <w:szCs w:val="24"/>
        </w:rPr>
        <w:t xml:space="preserve">Section 16 — FAQ Teaser</w:t>
      </w:r>
    </w:p>
    <w:p>
      <w:pPr>
        <w:spacing w:after="120" w:before="80"/>
      </w:pPr>
      <w:r>
        <w:rPr>
          <w:rFonts w:ascii="Arial" w:cs="Arial" w:eastAsia="Arial" w:hAnsi="Arial"/>
          <w:color w:val="333333"/>
          <w:sz w:val="22"/>
          <w:szCs w:val="22"/>
        </w:rPr>
        <w:t xml:space="preserve">Three to four of the most common questions in accordion or card format. A link to the full FAQ page. Questions should address the most common conversion blockers: Is this compliant with Nigerian law? Does Taaxbro file on my behalf without my permission? How does the VAT verification feature work?</w:t>
      </w:r>
    </w:p>
    <w:p>
      <w:pPr>
        <w:spacing w:after="100" w:before="240"/>
      </w:pPr>
      <w:r>
        <w:rPr>
          <w:rFonts w:ascii="Arial" w:cs="Arial" w:eastAsia="Arial" w:hAnsi="Arial"/>
          <w:b/>
          <w:bCs/>
          <w:color w:val="2C2C2C"/>
          <w:sz w:val="24"/>
          <w:szCs w:val="24"/>
        </w:rPr>
        <w:t xml:space="preserve">Section 17 — Final CTA</w:t>
      </w:r>
    </w:p>
    <w:p>
      <w:pPr>
        <w:spacing w:after="120" w:before="80"/>
      </w:pPr>
      <w:r>
        <w:rPr>
          <w:rFonts w:ascii="Arial" w:cs="Arial" w:eastAsia="Arial" w:hAnsi="Arial"/>
          <w:color w:val="333333"/>
          <w:sz w:val="22"/>
          <w:szCs w:val="22"/>
        </w:rPr>
        <w:t xml:space="preserve">A full-width closing section. Strong headline. One sentence of supporting copy. One prominent CTA button. This is the last chance to convert a visitor who has scrolled to the bottom. The design should feel conclusive, warm, and confident. Not generic. Consider a background that contrasts with the rest of the page to signal finality.</w:t>
      </w:r>
    </w:p>
    <w:p>
      <w:pPr>
        <w:spacing w:after="100" w:before="240"/>
      </w:pPr>
      <w:r>
        <w:rPr>
          <w:rFonts w:ascii="Arial" w:cs="Arial" w:eastAsia="Arial" w:hAnsi="Arial"/>
          <w:b/>
          <w:bCs/>
          <w:color w:val="2C2C2C"/>
          <w:sz w:val="24"/>
          <w:szCs w:val="24"/>
        </w:rPr>
        <w:t xml:space="preserve">Section 18 — Footer</w:t>
      </w:r>
    </w:p>
    <w:p>
      <w:pPr>
        <w:spacing w:after="120" w:before="80"/>
      </w:pPr>
      <w:r>
        <w:rPr>
          <w:rFonts w:ascii="Arial" w:cs="Arial" w:eastAsia="Arial" w:hAnsi="Arial"/>
          <w:color w:val="333333"/>
          <w:sz w:val="22"/>
          <w:szCs w:val="22"/>
        </w:rPr>
        <w:t xml:space="preserve">Four-column footer layout. Column 1: Taaxbro logo and one-line brand statement. Column 2: Product links (Features, Pricing, For Accountants, Integrations, Changelog). Column 3: Company links (About, Blog, Careers, Press, Contact). Column 4: Legal and support (Privacy Policy, Terms of Service, Help Centre, Security). Bottom bar: copyright notice, “Built for African businesses” tagline, and social media icons (LinkedIn, Twitter/X, Instagram). The footer must feel complete and professional — not an afterthought.</w:t>
      </w:r>
    </w:p>
    <w:p>
      <w:pPr>
        <w:pBdr>
          <w:bottom w:val="single" w:color="DDDDDD" w:sz="4" w:space="1"/>
        </w:pBdr>
        <w:spacing w:after="240" w:before="240"/>
      </w:pPr>
    </w:p>
    <w:p>
      <w:pPr>
        <w:pStyle w:val="Heading2"/>
        <w:spacing w:after="160" w:before="320"/>
      </w:pPr>
      <w:r>
        <w:rPr>
          <w:rFonts w:ascii="Arial" w:cs="Arial" w:eastAsia="Arial" w:hAnsi="Arial"/>
          <w:b/>
          <w:bCs/>
          <w:color w:val="222222"/>
          <w:sz w:val="28"/>
          <w:szCs w:val="28"/>
        </w:rPr>
        <w:t xml:space="preserve">4.2 Features Page</w:t>
      </w:r>
    </w:p>
    <w:p>
      <w:pPr>
        <w:spacing w:after="120" w:before="80"/>
      </w:pPr>
      <w:r>
        <w:rPr>
          <w:rFonts w:ascii="Arial" w:cs="Arial" w:eastAsia="Arial" w:hAnsi="Arial"/>
          <w:color w:val="333333"/>
          <w:sz w:val="22"/>
          <w:szCs w:val="22"/>
        </w:rPr>
        <w:t xml:space="preserve">A dedicated deep-dive page for visitors who want more detail before converting. A short hero at the top: headline (“Everything your business needs to stay financially in control” or similar) and a two-sentence description. Below: tab or anchor navigation letting users jump between Payments, Tax, Books, Compliance, OCR, and WhatsApp. Each tab section shows feature cards — icon, title, two-sentence description — with one product screenshot per major feature group. The OCR and WhatsApp sections on this page should be more detailed than on the homepage.</w:t>
      </w:r>
    </w:p>
    <w:p>
      <w:pPr>
        <w:pStyle w:val="Heading2"/>
        <w:spacing w:after="160" w:before="320"/>
      </w:pPr>
      <w:r>
        <w:rPr>
          <w:rFonts w:ascii="Arial" w:cs="Arial" w:eastAsia="Arial" w:hAnsi="Arial"/>
          <w:b/>
          <w:bCs/>
          <w:color w:val="222222"/>
          <w:sz w:val="28"/>
          <w:szCs w:val="28"/>
        </w:rPr>
        <w:t xml:space="preserve">4.3 Pricing Page</w:t>
      </w:r>
    </w:p>
    <w:p>
      <w:pPr>
        <w:spacing w:after="120" w:before="80"/>
      </w:pPr>
      <w:r>
        <w:rPr>
          <w:rFonts w:ascii="Arial" w:cs="Arial" w:eastAsia="Arial" w:hAnsi="Arial"/>
          <w:color w:val="333333"/>
          <w:sz w:val="22"/>
          <w:szCs w:val="22"/>
        </w:rPr>
        <w:t xml:space="preserve">A clean page with four plan tiers displayed side by side. Tiers should cover: Freelancer / Sole Trader (basic PIT and invoice tracking), SME Starter (full three pillars for small businesses), SME Growth (advanced compliance, escrow wallet, priority support), and Accountant / Multi-Business (the Accountant Portal, multi-tenant management, bulk filing). Each pricing card: plan name, monthly price, positioning line, feature list, and CTA button. The most popular SME plan should be visually elevated — a distinct border, background, or “Most Popular” badge.</w:t>
      </w:r>
    </w:p>
    <w:p>
      <w:pPr>
        <w:spacing w:after="120" w:before="80"/>
      </w:pPr>
      <w:r>
        <w:rPr>
          <w:rFonts w:ascii="Arial" w:cs="Arial" w:eastAsia="Arial" w:hAnsi="Arial"/>
          <w:color w:val="333333"/>
          <w:sz w:val="22"/>
          <w:szCs w:val="22"/>
        </w:rPr>
        <w:t xml:space="preserve">Below the pricing cards: a full feature comparison table showing exactly what each plan includes. At the bottom: a billing FAQ section addressing: free trial availability, plan switching, cancellation policy, and whether the accountant portal requires a separate subscription.</w:t>
      </w:r>
    </w:p>
    <w:p>
      <w:pPr>
        <w:pStyle w:val="Heading2"/>
        <w:spacing w:after="160" w:before="320"/>
      </w:pPr>
      <w:r>
        <w:rPr>
          <w:rFonts w:ascii="Arial" w:cs="Arial" w:eastAsia="Arial" w:hAnsi="Arial"/>
          <w:b/>
          <w:bCs/>
          <w:color w:val="222222"/>
          <w:sz w:val="28"/>
          <w:szCs w:val="28"/>
        </w:rPr>
        <w:t xml:space="preserve">4.4 FAQ Page</w:t>
      </w:r>
    </w:p>
    <w:p>
      <w:pPr>
        <w:spacing w:after="120" w:before="80"/>
      </w:pPr>
      <w:r>
        <w:rPr>
          <w:rFonts w:ascii="Arial" w:cs="Arial" w:eastAsia="Arial" w:hAnsi="Arial"/>
          <w:color w:val="333333"/>
          <w:sz w:val="22"/>
          <w:szCs w:val="22"/>
        </w:rPr>
        <w:t xml:space="preserve">A full dedicated FAQ page organised by category. Categories: Getting Started, Payments, Tax Compliance, OCR &amp; Receipt Scanning, WhatsApp Integration, Accounting &amp; Invoicing, Integrations, Billing &amp; Subscriptions, Security &amp; Privacy, The 2025 Tax Reform. A search bar at the top filters questions by keyword. Each category has a clear heading and accordion-format questions collapsed by default. At the bottom: “Couldn’t find your answer?” with a link to the support widget or contact page.</w:t>
      </w:r>
    </w:p>
    <w:p>
      <w:pPr>
        <w:pStyle w:val="Heading2"/>
        <w:spacing w:after="160" w:before="320"/>
      </w:pPr>
      <w:r>
        <w:rPr>
          <w:rFonts w:ascii="Arial" w:cs="Arial" w:eastAsia="Arial" w:hAnsi="Arial"/>
          <w:b/>
          <w:bCs/>
          <w:color w:val="222222"/>
          <w:sz w:val="28"/>
          <w:szCs w:val="28"/>
        </w:rPr>
        <w:t xml:space="preserve">4.5 About / Company Page</w:t>
      </w:r>
    </w:p>
    <w:p>
      <w:pPr>
        <w:spacing w:after="120" w:before="80"/>
      </w:pPr>
      <w:r>
        <w:rPr>
          <w:rFonts w:ascii="Arial" w:cs="Arial" w:eastAsia="Arial" w:hAnsi="Arial"/>
          <w:color w:val="333333"/>
          <w:sz w:val="22"/>
          <w:szCs w:val="22"/>
        </w:rPr>
        <w:t xml:space="preserve">The About page builds trust and communicates the mission behind Taaxbro. It is not a generic “We are a passionate team” page. It tells a specific story about why this product exists, who built it, and why they are the right people to solve this problem for African businesses.</w:t>
      </w:r>
    </w:p>
    <w:p>
      <w:pPr>
        <w:spacing w:after="100" w:before="240"/>
      </w:pPr>
      <w:r>
        <w:rPr>
          <w:rFonts w:ascii="Arial" w:cs="Arial" w:eastAsia="Arial" w:hAnsi="Arial"/>
          <w:b/>
          <w:bCs/>
          <w:color w:val="2C2C2C"/>
          <w:sz w:val="24"/>
          <w:szCs w:val="24"/>
        </w:rPr>
        <w:t xml:space="preserve">Section: Mission Statement</w:t>
      </w:r>
    </w:p>
    <w:p>
      <w:pPr>
        <w:spacing w:after="120" w:before="80"/>
      </w:pPr>
      <w:r>
        <w:rPr>
          <w:rFonts w:ascii="Arial" w:cs="Arial" w:eastAsia="Arial" w:hAnsi="Arial"/>
          <w:color w:val="333333"/>
          <w:sz w:val="22"/>
          <w:szCs w:val="22"/>
        </w:rPr>
        <w:t xml:space="preserve">A bold, one-paragraph mission statement at the top of the page. It should communicate Taaxbro’s ambition without being corporate or generic. The language should feel like it was written by someone who understands the pain of running a Nigerian business, not by a PR agency. Suggested direction: something about giving African businesses the financial infrastructure that was previously only available to large corporations.</w:t>
      </w:r>
    </w:p>
    <w:p>
      <w:pPr>
        <w:spacing w:after="100" w:before="240"/>
      </w:pPr>
      <w:r>
        <w:rPr>
          <w:rFonts w:ascii="Arial" w:cs="Arial" w:eastAsia="Arial" w:hAnsi="Arial"/>
          <w:b/>
          <w:bCs/>
          <w:color w:val="2C2C2C"/>
          <w:sz w:val="24"/>
          <w:szCs w:val="24"/>
        </w:rPr>
        <w:t xml:space="preserve">Section: The Problem We Exist to Solve</w:t>
      </w:r>
    </w:p>
    <w:p>
      <w:pPr>
        <w:spacing w:after="120" w:before="80"/>
      </w:pPr>
      <w:r>
        <w:rPr>
          <w:rFonts w:ascii="Arial" w:cs="Arial" w:eastAsia="Arial" w:hAnsi="Arial"/>
          <w:color w:val="333333"/>
          <w:sz w:val="22"/>
          <w:szCs w:val="22"/>
        </w:rPr>
        <w:t xml:space="preserve">A short narrative section explaining the market gap — fragmented financial tools, manual tax processes, expensive accountants, the 2025 reform creating new urgency. This is the origin story of the product, told with conviction.</w:t>
      </w:r>
    </w:p>
    <w:p>
      <w:pPr>
        <w:spacing w:after="100" w:before="240"/>
      </w:pPr>
      <w:r>
        <w:rPr>
          <w:rFonts w:ascii="Arial" w:cs="Arial" w:eastAsia="Arial" w:hAnsi="Arial"/>
          <w:b/>
          <w:bCs/>
          <w:color w:val="2C2C2C"/>
          <w:sz w:val="24"/>
          <w:szCs w:val="24"/>
        </w:rPr>
        <w:t xml:space="preserve">Section: The Team</w:t>
      </w:r>
    </w:p>
    <w:p>
      <w:pPr>
        <w:spacing w:after="120" w:before="80"/>
      </w:pPr>
      <w:r>
        <w:rPr>
          <w:rFonts w:ascii="Arial" w:cs="Arial" w:eastAsia="Arial" w:hAnsi="Arial"/>
          <w:color w:val="333333"/>
          <w:sz w:val="22"/>
          <w:szCs w:val="22"/>
        </w:rPr>
        <w:t xml:space="preserve">Team member cards with: name, role, one-sentence bio, and a profile image placeholder. Cards should feel warm and human, not stock-photo corporate. If team bios reference relevant professional experience (tax law, fintech engineering, African market expertise), that builds immediate credibility.</w:t>
      </w:r>
    </w:p>
    <w:p>
      <w:pPr>
        <w:spacing w:after="100" w:before="240"/>
      </w:pPr>
      <w:r>
        <w:rPr>
          <w:rFonts w:ascii="Arial" w:cs="Arial" w:eastAsia="Arial" w:hAnsi="Arial"/>
          <w:b/>
          <w:bCs/>
          <w:color w:val="2C2C2C"/>
          <w:sz w:val="24"/>
          <w:szCs w:val="24"/>
        </w:rPr>
        <w:t xml:space="preserve">Section: Values</w:t>
      </w:r>
    </w:p>
    <w:p>
      <w:pPr>
        <w:spacing w:after="120" w:before="80"/>
      </w:pPr>
      <w:r>
        <w:rPr>
          <w:rFonts w:ascii="Arial" w:cs="Arial" w:eastAsia="Arial" w:hAnsi="Arial"/>
          <w:color w:val="333333"/>
          <w:sz w:val="22"/>
          <w:szCs w:val="22"/>
        </w:rPr>
        <w:t xml:space="preserve">Three to four company values displayed as short cards or paragraphs. These should be specific, not generic platitudes. For example: “We build for the business owner who cannot afford to get it wrong” is more powerful than “We believe in integrity.”</w:t>
      </w:r>
    </w:p>
    <w:p>
      <w:pPr>
        <w:spacing w:after="100" w:before="240"/>
      </w:pPr>
      <w:r>
        <w:rPr>
          <w:rFonts w:ascii="Arial" w:cs="Arial" w:eastAsia="Arial" w:hAnsi="Arial"/>
          <w:b/>
          <w:bCs/>
          <w:color w:val="2C2C2C"/>
          <w:sz w:val="24"/>
          <w:szCs w:val="24"/>
        </w:rPr>
        <w:t xml:space="preserve">Section: Press &amp; Recognition</w:t>
      </w:r>
    </w:p>
    <w:p>
      <w:pPr>
        <w:spacing w:after="120" w:before="80"/>
      </w:pPr>
      <w:r>
        <w:rPr>
          <w:rFonts w:ascii="Arial" w:cs="Arial" w:eastAsia="Arial" w:hAnsi="Arial"/>
          <w:color w:val="333333"/>
          <w:sz w:val="22"/>
          <w:szCs w:val="22"/>
        </w:rPr>
        <w:t xml:space="preserve">Logos of any press mentions, awards, or notable backers, with short quote snippets where available. If none yet, this section is designed as a placeholder to be filled when coverage arrives.</w:t>
      </w:r>
    </w:p>
    <w:p>
      <w:pPr>
        <w:spacing w:after="100" w:before="240"/>
      </w:pPr>
      <w:r>
        <w:rPr>
          <w:rFonts w:ascii="Arial" w:cs="Arial" w:eastAsia="Arial" w:hAnsi="Arial"/>
          <w:b/>
          <w:bCs/>
          <w:color w:val="2C2C2C"/>
          <w:sz w:val="24"/>
          <w:szCs w:val="24"/>
        </w:rPr>
        <w:t xml:space="preserve">Section: Contact CTA</w:t>
      </w:r>
    </w:p>
    <w:p>
      <w:pPr>
        <w:spacing w:after="120" w:before="80"/>
      </w:pPr>
      <w:r>
        <w:rPr>
          <w:rFonts w:ascii="Arial" w:cs="Arial" w:eastAsia="Arial" w:hAnsi="Arial"/>
          <w:color w:val="333333"/>
          <w:sz w:val="22"/>
          <w:szCs w:val="22"/>
        </w:rPr>
        <w:t xml:space="preserve">A closing block with a “Get in touch” prompt and a link to the Contact page.</w:t>
      </w:r>
    </w:p>
    <w:p>
      <w:pPr>
        <w:pBdr>
          <w:bottom w:val="single" w:color="DDDDDD" w:sz="4" w:space="1"/>
        </w:pBdr>
        <w:spacing w:after="240" w:before="240"/>
      </w:pPr>
    </w:p>
    <w:p>
      <w:pPr>
        <w:pStyle w:val="Heading2"/>
        <w:spacing w:after="160" w:before="320"/>
      </w:pPr>
      <w:r>
        <w:rPr>
          <w:rFonts w:ascii="Arial" w:cs="Arial" w:eastAsia="Arial" w:hAnsi="Arial"/>
          <w:b/>
          <w:bCs/>
          <w:color w:val="222222"/>
          <w:sz w:val="28"/>
          <w:szCs w:val="28"/>
        </w:rPr>
        <w:t xml:space="preserve">4.6 Blog Pages</w:t>
      </w:r>
    </w:p>
    <w:p>
      <w:pPr>
        <w:spacing w:after="120" w:before="80"/>
      </w:pPr>
      <w:r>
        <w:rPr>
          <w:rFonts w:ascii="Arial" w:cs="Arial" w:eastAsia="Arial" w:hAnsi="Arial"/>
          <w:color w:val="333333"/>
          <w:sz w:val="22"/>
          <w:szCs w:val="22"/>
        </w:rPr>
        <w:t xml:space="preserve">Two templates are needed: the blog listing page and the single post template.</w:t>
      </w:r>
    </w:p>
    <w:p>
      <w:pPr>
        <w:spacing w:after="100" w:before="240"/>
      </w:pPr>
      <w:r>
        <w:rPr>
          <w:rFonts w:ascii="Arial" w:cs="Arial" w:eastAsia="Arial" w:hAnsi="Arial"/>
          <w:b/>
          <w:bCs/>
          <w:color w:val="2C2C2C"/>
          <w:sz w:val="24"/>
          <w:szCs w:val="24"/>
        </w:rPr>
        <w:t xml:space="preserve">Blog Listing Page</w:t>
      </w:r>
    </w:p>
    <w:p>
      <w:pPr>
        <w:spacing w:after="120" w:before="80"/>
      </w:pPr>
      <w:r>
        <w:rPr>
          <w:rFonts w:ascii="Arial" w:cs="Arial" w:eastAsia="Arial" w:hAnsi="Arial"/>
          <w:color w:val="333333"/>
          <w:sz w:val="22"/>
          <w:szCs w:val="22"/>
        </w:rPr>
        <w:t xml:space="preserve">A grid or list of blog posts, each card showing: post thumbnail image, category tag (e.g., Tax Tips, Platform Updates, SME Finance, 2025 Reform), title, one-sentence excerpt, author name and avatar, and publication date. Filtering by category and a search bar at the top. A featured post at the top of the page sits in a wider hero-style card. Pagination or infinite scroll at the bottom.</w:t>
      </w:r>
    </w:p>
    <w:p>
      <w:pPr>
        <w:spacing w:after="100" w:before="240"/>
      </w:pPr>
      <w:r>
        <w:rPr>
          <w:rFonts w:ascii="Arial" w:cs="Arial" w:eastAsia="Arial" w:hAnsi="Arial"/>
          <w:b/>
          <w:bCs/>
          <w:color w:val="2C2C2C"/>
          <w:sz w:val="24"/>
          <w:szCs w:val="24"/>
        </w:rPr>
        <w:t xml:space="preserve">Single Blog Post Template</w:t>
      </w:r>
    </w:p>
    <w:p>
      <w:pPr>
        <w:spacing w:after="120" w:before="80"/>
      </w:pPr>
      <w:r>
        <w:rPr>
          <w:rFonts w:ascii="Arial" w:cs="Arial" w:eastAsia="Arial" w:hAnsi="Arial"/>
          <w:color w:val="333333"/>
          <w:sz w:val="22"/>
          <w:szCs w:val="22"/>
        </w:rPr>
        <w:t xml:space="preserve">A focused reading experience. The top of the post shows: category tag, title, author with avatar and date, and an estimated read time. The body content area is a clean single-column reading layout with generous line spacing. A sticky sidebar or floating element on desktop shows: table of contents (anchor links to headings within the post) and related posts. At the bottom of each post: author bio card, social sharing buttons, and three related post cards. The newsletter signup prompt sits between the article body and the related posts, not as a full-page takeover.</w:t>
      </w:r>
    </w:p>
    <w:p>
      <w:pPr>
        <w:pStyle w:val="Heading2"/>
        <w:spacing w:after="160" w:before="320"/>
      </w:pPr>
      <w:r>
        <w:rPr>
          <w:rFonts w:ascii="Arial" w:cs="Arial" w:eastAsia="Arial" w:hAnsi="Arial"/>
          <w:b/>
          <w:bCs/>
          <w:color w:val="222222"/>
          <w:sz w:val="28"/>
          <w:szCs w:val="28"/>
        </w:rPr>
        <w:t xml:space="preserve">4.7 Legal Pages Template</w:t>
      </w:r>
    </w:p>
    <w:p>
      <w:pPr>
        <w:spacing w:after="120" w:before="80"/>
      </w:pPr>
      <w:r>
        <w:rPr>
          <w:rFonts w:ascii="Arial" w:cs="Arial" w:eastAsia="Arial" w:hAnsi="Arial"/>
          <w:color w:val="333333"/>
          <w:sz w:val="22"/>
          <w:szCs w:val="22"/>
        </w:rPr>
        <w:t xml:space="preserve">A shared template used for both the Terms of Service and Privacy Policy pages. Design requirements: a left sidebar with a sticky table of contents linking to each major section of the document. The right content area renders structured legal text with clear heading hierarchy, readable line length (not full-width), and adequate leading. The page header includes the page title, the last updated date, and a one-sentence plain-language summary of what the document covers. At the bottom: a contact prompt for legal enquiries and links to the other legal documents.</w:t>
      </w:r>
    </w:p>
    <w:p>
      <w:pPr>
        <w:shd w:fill="FFF8EC" w:val="clear"/>
        <w:spacing w:after="100" w:before="100"/>
      </w:pPr>
      <w:r>
        <w:rPr>
          <w:rFonts w:ascii="Arial" w:cs="Arial" w:eastAsia="Arial" w:hAnsi="Arial"/>
          <w:i/>
          <w:iCs/>
          <w:color w:val="7A5C00"/>
          <w:sz w:val="20"/>
          <w:szCs w:val="20"/>
        </w:rPr>
        <w:t xml:space="preserve">Note: The legal template does not need to render the actual legal content — only the structural layout. The client’s legal team will provide the document text.</w:t>
      </w:r>
    </w:p>
    <w:p>
      <w:pPr>
        <w:pStyle w:val="Heading2"/>
        <w:spacing w:after="160" w:before="320"/>
      </w:pPr>
      <w:r>
        <w:rPr>
          <w:rFonts w:ascii="Arial" w:cs="Arial" w:eastAsia="Arial" w:hAnsi="Arial"/>
          <w:b/>
          <w:bCs/>
          <w:color w:val="222222"/>
          <w:sz w:val="28"/>
          <w:szCs w:val="28"/>
        </w:rPr>
        <w:t xml:space="preserve">4.8 Contact Page &amp; Support Widget</w:t>
      </w:r>
    </w:p>
    <w:p>
      <w:pPr>
        <w:spacing w:after="120" w:before="80"/>
      </w:pPr>
      <w:r>
        <w:rPr>
          <w:rFonts w:ascii="Arial" w:cs="Arial" w:eastAsia="Arial" w:hAnsi="Arial"/>
          <w:color w:val="333333"/>
          <w:sz w:val="22"/>
          <w:szCs w:val="22"/>
        </w:rPr>
        <w:t xml:space="preserve">The Contact page includes the company’s email address, an optional phone number, office location if applicable, and an embedded support widget. The widget appears on every page of the marketing site (bottom-right corner, fixed) and also has a dedicated expanded view on the Contact page itself.</w:t>
      </w:r>
    </w:p>
    <w:p>
      <w:pPr>
        <w:spacing w:after="100" w:before="240"/>
      </w:pPr>
      <w:r>
        <w:rPr>
          <w:rFonts w:ascii="Arial" w:cs="Arial" w:eastAsia="Arial" w:hAnsi="Arial"/>
          <w:b/>
          <w:bCs/>
          <w:color w:val="2C2C2C"/>
          <w:sz w:val="24"/>
          <w:szCs w:val="24"/>
        </w:rPr>
        <w:t xml:space="preserve">Support Widget States</w:t>
      </w:r>
    </w:p>
    <w:p>
      <w:pPr>
        <w:spacing w:after="120" w:before="80"/>
      </w:pPr>
      <w:r>
        <w:rPr>
          <w:rFonts w:ascii="Arial" w:cs="Arial" w:eastAsia="Arial" w:hAnsi="Arial"/>
          <w:color w:val="333333"/>
          <w:sz w:val="22"/>
          <w:szCs w:val="22"/>
        </w:rPr>
        <w:t xml:space="preserve">The designer must deliver the following widget states as separate frames:</w:t>
      </w:r>
    </w:p>
    <w:p>
      <w:pPr>
        <w:pStyle w:val="ListParagraph"/>
        <w:numPr>
          <w:ilvl w:val="0"/>
          <w:numId w:val="2"/>
        </w:numPr>
        <w:spacing w:after="60" w:before="60"/>
      </w:pPr>
      <w:r>
        <w:rPr>
          <w:rFonts w:ascii="Arial" w:cs="Arial" w:eastAsia="Arial" w:hAnsi="Arial"/>
          <w:color w:val="333333"/>
          <w:sz w:val="22"/>
          <w:szCs w:val="22"/>
        </w:rPr>
        <w:t xml:space="preserve">Closed / bubble state — small branded icon in the bottom-right corner with an unread count badge when applicable</w:t>
      </w:r>
    </w:p>
    <w:p>
      <w:pPr>
        <w:pStyle w:val="ListParagraph"/>
        <w:numPr>
          <w:ilvl w:val="0"/>
          <w:numId w:val="2"/>
        </w:numPr>
        <w:spacing w:after="60" w:before="60"/>
      </w:pPr>
      <w:r>
        <w:rPr>
          <w:rFonts w:ascii="Arial" w:cs="Arial" w:eastAsia="Arial" w:hAnsi="Arial"/>
          <w:color w:val="333333"/>
          <w:sz w:val="22"/>
          <w:szCs w:val="22"/>
        </w:rPr>
        <w:t xml:space="preserve">Open / idle state — greeting message (“Hello! How can we help?”), optional pre-form (name, email, subject), and a message compose area</w:t>
      </w:r>
    </w:p>
    <w:p>
      <w:pPr>
        <w:pStyle w:val="ListParagraph"/>
        <w:numPr>
          <w:ilvl w:val="0"/>
          <w:numId w:val="2"/>
        </w:numPr>
        <w:spacing w:after="60" w:before="60"/>
      </w:pPr>
      <w:r>
        <w:rPr>
          <w:rFonts w:ascii="Arial" w:cs="Arial" w:eastAsia="Arial" w:hAnsi="Arial"/>
          <w:color w:val="333333"/>
          <w:sz w:val="22"/>
          <w:szCs w:val="22"/>
        </w:rPr>
        <w:t xml:space="preserve">Open / compose state — the main chat-style interface with message input field and send button</w:t>
      </w:r>
    </w:p>
    <w:p>
      <w:pPr>
        <w:pStyle w:val="ListParagraph"/>
        <w:numPr>
          <w:ilvl w:val="0"/>
          <w:numId w:val="2"/>
        </w:numPr>
        <w:spacing w:after="60" w:before="60"/>
      </w:pPr>
      <w:r>
        <w:rPr>
          <w:rFonts w:ascii="Arial" w:cs="Arial" w:eastAsia="Arial" w:hAnsi="Arial"/>
          <w:color w:val="333333"/>
          <w:sz w:val="22"/>
          <w:szCs w:val="22"/>
        </w:rPr>
        <w:t xml:space="preserve">Submitted / success state — confirmation message with ticket reference number and expected response time</w:t>
      </w:r>
    </w:p>
    <w:p>
      <w:pPr>
        <w:pStyle w:val="ListParagraph"/>
        <w:numPr>
          <w:ilvl w:val="0"/>
          <w:numId w:val="2"/>
        </w:numPr>
        <w:spacing w:after="60" w:before="60"/>
      </w:pPr>
      <w:r>
        <w:rPr>
          <w:rFonts w:ascii="Arial" w:cs="Arial" w:eastAsia="Arial" w:hAnsi="Arial"/>
          <w:color w:val="333333"/>
          <w:sz w:val="22"/>
          <w:szCs w:val="22"/>
        </w:rPr>
        <w:t xml:space="preserve">Error state — clear error message with a retry option if submission fails</w:t>
      </w:r>
    </w:p>
    <w:p>
      <w:pPr>
        <w:pStyle w:val="ListParagraph"/>
        <w:numPr>
          <w:ilvl w:val="0"/>
          <w:numId w:val="2"/>
        </w:numPr>
        <w:spacing w:after="60" w:before="60"/>
      </w:pPr>
      <w:r>
        <w:rPr>
          <w:rFonts w:ascii="Arial" w:cs="Arial" w:eastAsia="Arial" w:hAnsi="Arial"/>
          <w:color w:val="333333"/>
          <w:sz w:val="22"/>
          <w:szCs w:val="22"/>
        </w:rPr>
        <w:t xml:space="preserve">Loading state — brief animation between submit and confirmation</w:t>
      </w:r>
    </w:p>
    <w:p>
      <w:pPr>
        <w:shd w:fill="FFF8EC" w:val="clear"/>
        <w:spacing w:after="100" w:before="100"/>
      </w:pPr>
      <w:r>
        <w:rPr>
          <w:rFonts w:ascii="Arial" w:cs="Arial" w:eastAsia="Arial" w:hAnsi="Arial"/>
          <w:i/>
          <w:iCs/>
          <w:color w:val="7A5C00"/>
          <w:sz w:val="20"/>
          <w:szCs w:val="20"/>
        </w:rPr>
        <w:t xml:space="preserve">Note: The widget must work visually on both light and dark page backgrounds since it appears across multiple page types with different colour treatments.</w:t>
      </w:r>
    </w:p>
    <w:p>
      <w:pPr>
        <w:pBdr>
          <w:bottom w:val="single" w:color="DDDDDD" w:sz="4" w:space="1"/>
        </w:pBdr>
        <w:spacing w:after="240" w:before="240"/>
      </w:pPr>
    </w:p>
    <w:p>
      <w:r>
        <w:br w:type="page"/>
      </w:r>
    </w:p>
    <w:p>
      <w:pPr>
        <w:pStyle w:val="Heading1"/>
        <w:spacing w:after="200" w:before="480"/>
      </w:pPr>
      <w:r>
        <w:rPr>
          <w:rFonts w:ascii="Arial" w:cs="Arial" w:eastAsia="Arial" w:hAnsi="Arial"/>
          <w:b/>
          <w:bCs/>
          <w:color w:val="111111"/>
          <w:sz w:val="36"/>
          <w:szCs w:val="36"/>
        </w:rPr>
        <w:t xml:space="preserve">5. User Web Application — Detailed Screen Specifications</w:t>
      </w:r>
    </w:p>
    <w:p>
      <w:pPr>
        <w:pStyle w:val="Heading2"/>
        <w:spacing w:after="160" w:before="320"/>
      </w:pPr>
      <w:r>
        <w:rPr>
          <w:rFonts w:ascii="Arial" w:cs="Arial" w:eastAsia="Arial" w:hAnsi="Arial"/>
          <w:b/>
          <w:bCs/>
          <w:color w:val="222222"/>
          <w:sz w:val="28"/>
          <w:szCs w:val="28"/>
        </w:rPr>
        <w:t xml:space="preserve">5.1 Onboarding Flow</w:t>
      </w:r>
    </w:p>
    <w:p>
      <w:pPr>
        <w:spacing w:after="120" w:before="80"/>
      </w:pPr>
      <w:r>
        <w:rPr>
          <w:rFonts w:ascii="Arial" w:cs="Arial" w:eastAsia="Arial" w:hAnsi="Arial"/>
          <w:color w:val="333333"/>
          <w:sz w:val="22"/>
          <w:szCs w:val="22"/>
        </w:rPr>
        <w:t xml:space="preserve">The onboarding flow is the business’s first real experience of Taaxbro. It must feel effortless and professional. Every screen has a progress indicator, a back option, and minimal fields per step. Critically, the flow includes a persona detection step that routes each user type to the right dashboard configuration.</w:t>
      </w:r>
    </w:p>
    <w:p>
      <w:pPr>
        <w:spacing w:after="100" w:before="240"/>
      </w:pPr>
      <w:r>
        <w:rPr>
          <w:rFonts w:ascii="Arial" w:cs="Arial" w:eastAsia="Arial" w:hAnsi="Arial"/>
          <w:b/>
          <w:bCs/>
          <w:color w:val="2C2C2C"/>
          <w:sz w:val="24"/>
          <w:szCs w:val="24"/>
        </w:rPr>
        <w:t xml:space="preserve">Step 1 — Sign Up</w:t>
      </w:r>
    </w:p>
    <w:p>
      <w:pPr>
        <w:spacing w:after="120" w:before="80"/>
      </w:pPr>
      <w:r>
        <w:rPr>
          <w:rFonts w:ascii="Arial" w:cs="Arial" w:eastAsia="Arial" w:hAnsi="Arial"/>
          <w:color w:val="333333"/>
          <w:sz w:val="22"/>
          <w:szCs w:val="22"/>
        </w:rPr>
        <w:t xml:space="preserve">Email address, password, and confirm password fields. A “Sign up with Google” option. Terms of service checkbox. CTA: “Create Account.”</w:t>
      </w:r>
    </w:p>
    <w:p>
      <w:pPr>
        <w:spacing w:after="100" w:before="240"/>
      </w:pPr>
      <w:r>
        <w:rPr>
          <w:rFonts w:ascii="Arial" w:cs="Arial" w:eastAsia="Arial" w:hAnsi="Arial"/>
          <w:b/>
          <w:bCs/>
          <w:color w:val="2C2C2C"/>
          <w:sz w:val="24"/>
          <w:szCs w:val="24"/>
        </w:rPr>
        <w:t xml:space="preserve">Step 2 — Email Verification</w:t>
      </w:r>
    </w:p>
    <w:p>
      <w:pPr>
        <w:spacing w:after="120" w:before="80"/>
      </w:pPr>
      <w:r>
        <w:rPr>
          <w:rFonts w:ascii="Arial" w:cs="Arial" w:eastAsia="Arial" w:hAnsi="Arial"/>
          <w:color w:val="333333"/>
          <w:sz w:val="22"/>
          <w:szCs w:val="22"/>
        </w:rPr>
        <w:t xml:space="preserve">A single screen confirming that a verification email has been sent. Resend option and a text link to check spam folder.</w:t>
      </w:r>
    </w:p>
    <w:p>
      <w:pPr>
        <w:spacing w:after="100" w:before="240"/>
      </w:pPr>
      <w:r>
        <w:rPr>
          <w:rFonts w:ascii="Arial" w:cs="Arial" w:eastAsia="Arial" w:hAnsi="Arial"/>
          <w:b/>
          <w:bCs/>
          <w:color w:val="2C2C2C"/>
          <w:sz w:val="24"/>
          <w:szCs w:val="24"/>
        </w:rPr>
        <w:t xml:space="preserve">Step 3 — Who Are You?</w:t>
      </w:r>
    </w:p>
    <w:p>
      <w:pPr>
        <w:spacing w:after="120" w:before="80"/>
      </w:pPr>
      <w:r>
        <w:rPr>
          <w:rFonts w:ascii="Arial" w:cs="Arial" w:eastAsia="Arial" w:hAnsi="Arial"/>
          <w:color w:val="333333"/>
          <w:sz w:val="22"/>
          <w:szCs w:val="22"/>
        </w:rPr>
        <w:t xml:space="preserve">Persona selection. Three large, visually distinct cards: “I run a business,” “I’m a freelancer or self-employed,” and “I’m a tax professional.” Each card has an icon, a title, and a one-sentence description. Selecting a card routes the user to persona-specific subsequent steps and configures their dashboard layout on first login. Tax professionals selecting the third card are directed to the Accountant Portal signup, not the standard user app.</w:t>
      </w:r>
    </w:p>
    <w:p>
      <w:pPr>
        <w:spacing w:after="100" w:before="240"/>
      </w:pPr>
      <w:r>
        <w:rPr>
          <w:rFonts w:ascii="Arial" w:cs="Arial" w:eastAsia="Arial" w:hAnsi="Arial"/>
          <w:b/>
          <w:bCs/>
          <w:color w:val="2C2C2C"/>
          <w:sz w:val="24"/>
          <w:szCs w:val="24"/>
        </w:rPr>
        <w:t xml:space="preserve">Step 4 — Business / Personal Information</w:t>
      </w:r>
    </w:p>
    <w:p>
      <w:pPr>
        <w:spacing w:after="120" w:before="80"/>
      </w:pPr>
      <w:r>
        <w:rPr>
          <w:rFonts w:ascii="Arial" w:cs="Arial" w:eastAsia="Arial" w:hAnsi="Arial"/>
          <w:color w:val="333333"/>
          <w:sz w:val="22"/>
          <w:szCs w:val="22"/>
        </w:rPr>
        <w:t xml:space="preserve">For SME owners: business name, business type (dropdown), industry, state of operation, and year of incorporation. For freelancers: full name, primary income type (local services, FX income, mixed), and estimated annual income band. These fields determine applicable tax types and compliance requirements.</w:t>
      </w:r>
    </w:p>
    <w:p>
      <w:pPr>
        <w:spacing w:after="100" w:before="240"/>
      </w:pPr>
      <w:r>
        <w:rPr>
          <w:rFonts w:ascii="Arial" w:cs="Arial" w:eastAsia="Arial" w:hAnsi="Arial"/>
          <w:b/>
          <w:bCs/>
          <w:color w:val="2C2C2C"/>
          <w:sz w:val="24"/>
          <w:szCs w:val="24"/>
        </w:rPr>
        <w:t xml:space="preserve">Step 5 — Tax Identification</w:t>
      </w:r>
    </w:p>
    <w:p>
      <w:pPr>
        <w:spacing w:after="120" w:before="80"/>
      </w:pPr>
      <w:r>
        <w:rPr>
          <w:rFonts w:ascii="Arial" w:cs="Arial" w:eastAsia="Arial" w:hAnsi="Arial"/>
          <w:color w:val="333333"/>
          <w:sz w:val="22"/>
          <w:szCs w:val="22"/>
        </w:rPr>
        <w:t xml:space="preserve">TIN entry with an explanation of why it is needed and a help link for users who do not yet have one. Optional skip with a prompt to complete later. For freelancers, the NIN (National Identification Number) is also requested as an alternative identifier.</w:t>
      </w:r>
    </w:p>
    <w:p>
      <w:pPr>
        <w:spacing w:after="100" w:before="240"/>
      </w:pPr>
      <w:r>
        <w:rPr>
          <w:rFonts w:ascii="Arial" w:cs="Arial" w:eastAsia="Arial" w:hAnsi="Arial"/>
          <w:b/>
          <w:bCs/>
          <w:color w:val="2C2C2C"/>
          <w:sz w:val="24"/>
          <w:szCs w:val="24"/>
        </w:rPr>
        <w:t xml:space="preserve">Step 6 — Connect Financial Accounts</w:t>
      </w:r>
    </w:p>
    <w:p>
      <w:pPr>
        <w:spacing w:after="120" w:before="80"/>
      </w:pPr>
      <w:r>
        <w:rPr>
          <w:rFonts w:ascii="Arial" w:cs="Arial" w:eastAsia="Arial" w:hAnsi="Arial"/>
          <w:color w:val="333333"/>
          <w:sz w:val="22"/>
          <w:szCs w:val="22"/>
        </w:rPr>
        <w:t xml:space="preserve">A card-based selector showing supported integrations grouped by category: bank accounts, POS systems, email inbox (Gmail / Outlook), and accounting software. Each integration card shows the platform logo and a short description of what connecting it enables. The user selects which to connect now and which to skip. At least one bank account connection is strongly encouraged before proceeding — a progress indicator shows how much richer their dashboard becomes with each connection.</w:t>
      </w:r>
    </w:p>
    <w:p>
      <w:pPr>
        <w:spacing w:after="100" w:before="240"/>
      </w:pPr>
      <w:r>
        <w:rPr>
          <w:rFonts w:ascii="Arial" w:cs="Arial" w:eastAsia="Arial" w:hAnsi="Arial"/>
          <w:b/>
          <w:bCs/>
          <w:color w:val="2C2C2C"/>
          <w:sz w:val="24"/>
          <w:szCs w:val="24"/>
        </w:rPr>
        <w:t xml:space="preserve">Step 7 — WhatsApp Setup</w:t>
      </w:r>
    </w:p>
    <w:p>
      <w:pPr>
        <w:spacing w:after="120" w:before="80"/>
      </w:pPr>
      <w:r>
        <w:rPr>
          <w:rFonts w:ascii="Arial" w:cs="Arial" w:eastAsia="Arial" w:hAnsi="Arial"/>
          <w:color w:val="333333"/>
          <w:sz w:val="22"/>
          <w:szCs w:val="22"/>
        </w:rPr>
        <w:t xml:space="preserve">An optional but prominently encouraged step to connect the user’s WhatsApp number to Taaxbro. Shows a QR code or phone number linking flow. Lists the five most valuable WhatsApp notifications they will receive. A toggle to enable or skip. The framing: “Get notified the moment a customer pays you.”</w:t>
      </w:r>
    </w:p>
    <w:p>
      <w:pPr>
        <w:spacing w:after="100" w:before="240"/>
      </w:pPr>
      <w:r>
        <w:rPr>
          <w:rFonts w:ascii="Arial" w:cs="Arial" w:eastAsia="Arial" w:hAnsi="Arial"/>
          <w:b/>
          <w:bCs/>
          <w:color w:val="2C2C2C"/>
          <w:sz w:val="24"/>
          <w:szCs w:val="24"/>
        </w:rPr>
        <w:t xml:space="preserve">Step 8 — Setup Complete</w:t>
      </w:r>
    </w:p>
    <w:p>
      <w:pPr>
        <w:spacing w:after="120" w:before="80"/>
      </w:pPr>
      <w:r>
        <w:rPr>
          <w:rFonts w:ascii="Arial" w:cs="Arial" w:eastAsia="Arial" w:hAnsi="Arial"/>
          <w:color w:val="333333"/>
          <w:sz w:val="22"/>
          <w:szCs w:val="22"/>
        </w:rPr>
        <w:t xml:space="preserve">A success screen summarising what has been connected, what is pending, and what the user can do first. A prominent CTA: “Go to my Dashboard.” A secondary link: “Finish setting up later.”</w:t>
      </w:r>
    </w:p>
    <w:p>
      <w:pPr>
        <w:pStyle w:val="Heading2"/>
        <w:spacing w:after="160" w:before="320"/>
      </w:pPr>
      <w:r>
        <w:rPr>
          <w:rFonts w:ascii="Arial" w:cs="Arial" w:eastAsia="Arial" w:hAnsi="Arial"/>
          <w:b/>
          <w:bCs/>
          <w:color w:val="222222"/>
          <w:sz w:val="28"/>
          <w:szCs w:val="28"/>
        </w:rPr>
        <w:t xml:space="preserve">5.2 Dashboard</w:t>
      </w:r>
    </w:p>
    <w:p>
      <w:pPr>
        <w:spacing w:after="120" w:before="80"/>
      </w:pPr>
      <w:r>
        <w:rPr>
          <w:rFonts w:ascii="Arial" w:cs="Arial" w:eastAsia="Arial" w:hAnsi="Arial"/>
          <w:color w:val="333333"/>
          <w:sz w:val="22"/>
          <w:szCs w:val="22"/>
        </w:rPr>
        <w:t xml:space="preserve">The dashboard is the control centre of the authenticated app. The user should understand the financial and compliance health of their business within seconds of landing here. The layout adapts slightly by persona: the SME dashboard is the fullest version; the freelancer dashboard is simplified and PIT-focused.</w:t>
      </w:r>
    </w:p>
    <w:p>
      <w:pPr>
        <w:spacing w:after="100" w:before="240"/>
      </w:pPr>
      <w:r>
        <w:rPr>
          <w:rFonts w:ascii="Arial" w:cs="Arial" w:eastAsia="Arial" w:hAnsi="Arial"/>
          <w:b/>
          <w:bCs/>
          <w:color w:val="2C2C2C"/>
          <w:sz w:val="24"/>
          <w:szCs w:val="24"/>
        </w:rPr>
        <w:t xml:space="preserve">Layout</w:t>
      </w:r>
    </w:p>
    <w:p>
      <w:pPr>
        <w:spacing w:after="120" w:before="80"/>
      </w:pPr>
      <w:r>
        <w:rPr>
          <w:rFonts w:ascii="Arial" w:cs="Arial" w:eastAsia="Arial" w:hAnsi="Arial"/>
          <w:color w:val="333333"/>
          <w:sz w:val="22"/>
          <w:szCs w:val="22"/>
        </w:rPr>
        <w:t xml:space="preserve">Left sidebar navigation: Taaxbro logo at top, navigation links (Dashboard, Pay, Tax, Books, Compliance, Integrations, Settings), and user account section at the bottom with display mode toggle (Light / Dark / Warm). Main content area to the right.</w:t>
      </w:r>
    </w:p>
    <w:p>
      <w:pPr>
        <w:spacing w:after="100" w:before="240"/>
      </w:pPr>
      <w:r>
        <w:rPr>
          <w:rFonts w:ascii="Arial" w:cs="Arial" w:eastAsia="Arial" w:hAnsi="Arial"/>
          <w:b/>
          <w:bCs/>
          <w:color w:val="2C2C2C"/>
          <w:sz w:val="24"/>
          <w:szCs w:val="24"/>
        </w:rPr>
        <w:t xml:space="preserve">Dashboard Widgets</w:t>
      </w:r>
    </w:p>
    <w:p>
      <w:pPr>
        <w:pStyle w:val="ListParagraph"/>
        <w:numPr>
          <w:ilvl w:val="0"/>
          <w:numId w:val="2"/>
        </w:numPr>
        <w:spacing w:after="60" w:before="60"/>
      </w:pPr>
      <w:r>
        <w:rPr>
          <w:rFonts w:ascii="Arial" w:cs="Arial" w:eastAsia="Arial" w:hAnsi="Arial"/>
          <w:color w:val="333333"/>
          <w:sz w:val="22"/>
          <w:szCs w:val="22"/>
        </w:rPr>
        <w:t xml:space="preserve">Total revenue this month — large number, trend vs. last month</w:t>
      </w:r>
    </w:p>
    <w:p>
      <w:pPr>
        <w:pStyle w:val="ListParagraph"/>
        <w:numPr>
          <w:ilvl w:val="0"/>
          <w:numId w:val="2"/>
        </w:numPr>
        <w:spacing w:after="60" w:before="60"/>
      </w:pPr>
      <w:r>
        <w:rPr>
          <w:rFonts w:ascii="Arial" w:cs="Arial" w:eastAsia="Arial" w:hAnsi="Arial"/>
          <w:color w:val="333333"/>
          <w:sz w:val="22"/>
          <w:szCs w:val="22"/>
        </w:rPr>
        <w:t xml:space="preserve">Compliance Score — prominent 0–100 ring or gauge, colour-coded (green above 80, amber 50–80, red below 50), with a one-line status message and a link to the full Compliance Hub</w:t>
      </w:r>
    </w:p>
    <w:p>
      <w:pPr>
        <w:pStyle w:val="ListParagraph"/>
        <w:numPr>
          <w:ilvl w:val="0"/>
          <w:numId w:val="2"/>
        </w:numPr>
        <w:spacing w:after="60" w:before="60"/>
      </w:pPr>
      <w:r>
        <w:rPr>
          <w:rFonts w:ascii="Arial" w:cs="Arial" w:eastAsia="Arial" w:hAnsi="Arial"/>
          <w:color w:val="333333"/>
          <w:sz w:val="22"/>
          <w:szCs w:val="22"/>
        </w:rPr>
        <w:t xml:space="preserve">Tax Escrow Wallet — current balance of funds automatically set aside for VAT, with the next filing date shown</w:t>
      </w:r>
    </w:p>
    <w:p>
      <w:pPr>
        <w:pStyle w:val="ListParagraph"/>
        <w:numPr>
          <w:ilvl w:val="0"/>
          <w:numId w:val="2"/>
        </w:numPr>
        <w:spacing w:after="60" w:before="60"/>
      </w:pPr>
      <w:r>
        <w:rPr>
          <w:rFonts w:ascii="Arial" w:cs="Arial" w:eastAsia="Arial" w:hAnsi="Arial"/>
          <w:color w:val="333333"/>
          <w:sz w:val="22"/>
          <w:szCs w:val="22"/>
        </w:rPr>
        <w:t xml:space="preserve">Pending tax liabilities — total amount due, next deadline highlighted, status (On Track / At Risk / Overdue)</w:t>
      </w:r>
    </w:p>
    <w:p>
      <w:pPr>
        <w:pStyle w:val="ListParagraph"/>
        <w:numPr>
          <w:ilvl w:val="0"/>
          <w:numId w:val="2"/>
        </w:numPr>
        <w:spacing w:after="60" w:before="60"/>
      </w:pPr>
      <w:r>
        <w:rPr>
          <w:rFonts w:ascii="Arial" w:cs="Arial" w:eastAsia="Arial" w:hAnsi="Arial"/>
          <w:color w:val="333333"/>
          <w:sz w:val="22"/>
          <w:szCs w:val="22"/>
        </w:rPr>
        <w:t xml:space="preserve">Outstanding invoices — count and total value of unpaid invoices</w:t>
      </w:r>
    </w:p>
    <w:p>
      <w:pPr>
        <w:pStyle w:val="ListParagraph"/>
        <w:numPr>
          <w:ilvl w:val="0"/>
          <w:numId w:val="2"/>
        </w:numPr>
        <w:spacing w:after="60" w:before="60"/>
      </w:pPr>
      <w:r>
        <w:rPr>
          <w:rFonts w:ascii="Arial" w:cs="Arial" w:eastAsia="Arial" w:hAnsi="Arial"/>
          <w:color w:val="333333"/>
          <w:sz w:val="22"/>
          <w:szCs w:val="22"/>
        </w:rPr>
        <w:t xml:space="preserve">Recent transactions — last 5–7 transactions with date, counterparty, and amount</w:t>
      </w:r>
    </w:p>
    <w:p>
      <w:pPr>
        <w:pStyle w:val="ListParagraph"/>
        <w:numPr>
          <w:ilvl w:val="0"/>
          <w:numId w:val="2"/>
        </w:numPr>
        <w:spacing w:after="60" w:before="60"/>
      </w:pPr>
      <w:r>
        <w:rPr>
          <w:rFonts w:ascii="Arial" w:cs="Arial" w:eastAsia="Arial" w:hAnsi="Arial"/>
          <w:color w:val="333333"/>
          <w:sz w:val="22"/>
          <w:szCs w:val="22"/>
        </w:rPr>
        <w:t xml:space="preserve">Upcoming tax deadlines — calendar-style widget showing next 2–3 filing dates with days remaining</w:t>
      </w:r>
    </w:p>
    <w:p>
      <w:pPr>
        <w:pStyle w:val="ListParagraph"/>
        <w:numPr>
          <w:ilvl w:val="0"/>
          <w:numId w:val="2"/>
        </w:numPr>
        <w:spacing w:after="60" w:before="60"/>
      </w:pPr>
      <w:r>
        <w:rPr>
          <w:rFonts w:ascii="Arial" w:cs="Arial" w:eastAsia="Arial" w:hAnsi="Arial"/>
          <w:color w:val="333333"/>
          <w:sz w:val="22"/>
          <w:szCs w:val="22"/>
        </w:rPr>
        <w:t xml:space="preserve">Quick actions — shortcut buttons: Send Invoice, Record Expense, Scan Receipt, View Tax Status</w:t>
      </w:r>
    </w:p>
    <w:p>
      <w:pPr>
        <w:spacing w:after="100" w:before="240"/>
      </w:pPr>
      <w:r>
        <w:rPr>
          <w:rFonts w:ascii="Arial" w:cs="Arial" w:eastAsia="Arial" w:hAnsi="Arial"/>
          <w:b/>
          <w:bCs/>
          <w:color w:val="2C2C2C"/>
          <w:sz w:val="24"/>
          <w:szCs w:val="24"/>
        </w:rPr>
        <w:t xml:space="preserve">Notifications Bar</w:t>
      </w:r>
    </w:p>
    <w:p>
      <w:pPr>
        <w:spacing w:after="120" w:before="80"/>
      </w:pPr>
      <w:r>
        <w:rPr>
          <w:rFonts w:ascii="Arial" w:cs="Arial" w:eastAsia="Arial" w:hAnsi="Arial"/>
          <w:color w:val="333333"/>
          <w:sz w:val="22"/>
          <w:szCs w:val="22"/>
        </w:rPr>
        <w:t xml:space="preserve">A right-side panel or top bar showing recent alerts: payment received, invoice overdue, upcoming deadline, integration sync status, compliance score change, anomaly detected. Each notification: timestamp, brief description, action link. Unread notifications are visually distinct.</w:t>
      </w:r>
    </w:p>
    <w:p>
      <w:pPr>
        <w:pStyle w:val="Heading2"/>
        <w:spacing w:after="160" w:before="320"/>
      </w:pPr>
      <w:r>
        <w:rPr>
          <w:rFonts w:ascii="Arial" w:cs="Arial" w:eastAsia="Arial" w:hAnsi="Arial"/>
          <w:b/>
          <w:bCs/>
          <w:color w:val="222222"/>
          <w:sz w:val="28"/>
          <w:szCs w:val="28"/>
        </w:rPr>
        <w:t xml:space="preserve">5.3 Taaxbro Pay — Payments Module</w:t>
      </w:r>
    </w:p>
    <w:p>
      <w:pPr>
        <w:spacing w:after="120" w:before="80"/>
      </w:pPr>
      <w:r>
        <w:rPr>
          <w:rFonts w:ascii="Arial" w:cs="Arial" w:eastAsia="Arial" w:hAnsi="Arial"/>
          <w:color w:val="333333"/>
          <w:sz w:val="22"/>
          <w:szCs w:val="22"/>
        </w:rPr>
        <w:t xml:space="preserve">The Payments module handles all money movement in and out of the business. It is adapted to Nigerian business realities: POS, bank transfers, fintech wallets, and manual cash records all exist simultaneously.</w:t>
      </w:r>
    </w:p>
    <w:p>
      <w:pPr>
        <w:spacing w:after="100" w:before="240"/>
      </w:pPr>
      <w:r>
        <w:rPr>
          <w:rFonts w:ascii="Arial" w:cs="Arial" w:eastAsia="Arial" w:hAnsi="Arial"/>
          <w:b/>
          <w:bCs/>
          <w:color w:val="2C2C2C"/>
          <w:sz w:val="24"/>
          <w:szCs w:val="24"/>
        </w:rPr>
        <w:t xml:space="preserve">Sub-screens</w:t>
      </w:r>
    </w:p>
    <w:p>
      <w:pPr>
        <w:pStyle w:val="ListParagraph"/>
        <w:numPr>
          <w:ilvl w:val="0"/>
          <w:numId w:val="2"/>
        </w:numPr>
        <w:spacing w:after="60" w:before="60"/>
      </w:pPr>
      <w:r>
        <w:rPr>
          <w:rFonts w:ascii="Arial" w:cs="Arial" w:eastAsia="Arial" w:hAnsi="Arial"/>
          <w:color w:val="333333"/>
          <w:sz w:val="22"/>
          <w:szCs w:val="22"/>
        </w:rPr>
        <w:t xml:space="preserve">Payments Overview — total received, total sent, net flow for selected period</w:t>
      </w:r>
    </w:p>
    <w:p>
      <w:pPr>
        <w:pStyle w:val="ListParagraph"/>
        <w:numPr>
          <w:ilvl w:val="0"/>
          <w:numId w:val="2"/>
        </w:numPr>
        <w:spacing w:after="60" w:before="60"/>
      </w:pPr>
      <w:r>
        <w:rPr>
          <w:rFonts w:ascii="Arial" w:cs="Arial" w:eastAsia="Arial" w:hAnsi="Arial"/>
          <w:color w:val="333333"/>
          <w:sz w:val="22"/>
          <w:szCs w:val="22"/>
        </w:rPr>
        <w:t xml:space="preserve">Transactions List — filterable and searchable table of all payment transactions</w:t>
      </w:r>
    </w:p>
    <w:p>
      <w:pPr>
        <w:pStyle w:val="ListParagraph"/>
        <w:numPr>
          <w:ilvl w:val="0"/>
          <w:numId w:val="2"/>
        </w:numPr>
        <w:spacing w:after="60" w:before="60"/>
      </w:pPr>
      <w:r>
        <w:rPr>
          <w:rFonts w:ascii="Arial" w:cs="Arial" w:eastAsia="Arial" w:hAnsi="Arial"/>
          <w:color w:val="333333"/>
          <w:sz w:val="22"/>
          <w:szCs w:val="22"/>
        </w:rPr>
        <w:t xml:space="preserve">Transaction Detail — full metadata view of a single transaction, with the invoice it reconciled against (if any) and the tax impact</w:t>
      </w:r>
    </w:p>
    <w:p>
      <w:pPr>
        <w:pStyle w:val="ListParagraph"/>
        <w:numPr>
          <w:ilvl w:val="0"/>
          <w:numId w:val="2"/>
        </w:numPr>
        <w:spacing w:after="60" w:before="60"/>
      </w:pPr>
      <w:r>
        <w:rPr>
          <w:rFonts w:ascii="Arial" w:cs="Arial" w:eastAsia="Arial" w:hAnsi="Arial"/>
          <w:color w:val="333333"/>
          <w:sz w:val="22"/>
          <w:szCs w:val="22"/>
        </w:rPr>
        <w:t xml:space="preserve">Payment Links — create and manage shareable payment links for collecting from customers</w:t>
      </w:r>
    </w:p>
    <w:p>
      <w:pPr>
        <w:pStyle w:val="ListParagraph"/>
        <w:numPr>
          <w:ilvl w:val="0"/>
          <w:numId w:val="2"/>
        </w:numPr>
        <w:spacing w:after="60" w:before="60"/>
      </w:pPr>
      <w:r>
        <w:rPr>
          <w:rFonts w:ascii="Arial" w:cs="Arial" w:eastAsia="Arial" w:hAnsi="Arial"/>
          <w:color w:val="333333"/>
          <w:sz w:val="22"/>
          <w:szCs w:val="22"/>
        </w:rPr>
        <w:t xml:space="preserve">Send Payment — form to initiate a bank transfer to a vendor</w:t>
      </w:r>
    </w:p>
    <w:p>
      <w:pPr>
        <w:pStyle w:val="ListParagraph"/>
        <w:numPr>
          <w:ilvl w:val="0"/>
          <w:numId w:val="2"/>
        </w:numPr>
        <w:spacing w:after="60" w:before="60"/>
      </w:pPr>
      <w:r>
        <w:rPr>
          <w:rFonts w:ascii="Arial" w:cs="Arial" w:eastAsia="Arial" w:hAnsi="Arial"/>
          <w:color w:val="333333"/>
          <w:sz w:val="22"/>
          <w:szCs w:val="22"/>
        </w:rPr>
        <w:t xml:space="preserve">Connected Accounts — linked bank accounts and POS terminals with sync status and last sync time</w:t>
      </w:r>
    </w:p>
    <w:p>
      <w:pPr>
        <w:pStyle w:val="ListParagraph"/>
        <w:numPr>
          <w:ilvl w:val="0"/>
          <w:numId w:val="2"/>
        </w:numPr>
        <w:spacing w:after="60" w:before="60"/>
      </w:pPr>
      <w:r>
        <w:rPr>
          <w:rFonts w:ascii="Arial" w:cs="Arial" w:eastAsia="Arial" w:hAnsi="Arial"/>
          <w:color w:val="333333"/>
          <w:sz w:val="22"/>
          <w:szCs w:val="22"/>
        </w:rPr>
        <w:t xml:space="preserve">Payment Settings — default currency, reconciliation preferences, notification settings</w:t>
      </w:r>
    </w:p>
    <w:p>
      <w:pPr>
        <w:spacing w:after="100" w:before="240"/>
      </w:pPr>
      <w:r>
        <w:rPr>
          <w:rFonts w:ascii="Arial" w:cs="Arial" w:eastAsia="Arial" w:hAnsi="Arial"/>
          <w:b/>
          <w:bCs/>
          <w:color w:val="2C2C2C"/>
          <w:sz w:val="24"/>
          <w:szCs w:val="24"/>
        </w:rPr>
        <w:t xml:space="preserve">Invoice Payment Status &amp; Reconciliation</w:t>
      </w:r>
    </w:p>
    <w:p>
      <w:pPr>
        <w:spacing w:after="120" w:before="80"/>
      </w:pPr>
      <w:r>
        <w:rPr>
          <w:rFonts w:ascii="Arial" w:cs="Arial" w:eastAsia="Arial" w:hAnsi="Arial"/>
          <w:color w:val="333333"/>
          <w:sz w:val="22"/>
          <w:szCs w:val="22"/>
        </w:rPr>
        <w:t xml:space="preserve">Every invoice in Taaxbro has one of three statuses: Unpaid, Partial, or Paid. The designer must create distinct visual treatments for all three status states on the invoice list and invoice detail screens.</w:t>
      </w:r>
    </w:p>
    <w:p>
      <w:pPr>
        <w:spacing w:after="120" w:before="80"/>
      </w:pPr>
      <w:r>
        <w:rPr>
          <w:rFonts w:ascii="Arial" w:cs="Arial" w:eastAsia="Arial" w:hAnsi="Arial"/>
          <w:color w:val="333333"/>
          <w:sz w:val="22"/>
          <w:szCs w:val="22"/>
        </w:rPr>
        <w:t xml:space="preserve">Automatic reconciliation: when a connected bank account receives a credit that matches an outstanding invoice amount and/or customer reference, Taaxbro detects the match and presents a reconciliation confirmation banner on the invoice detail screen: “We detected a payment that matches this invoice. Mark as Paid?” with Confirm and Dismiss options. If confirmed, the invoice status updates to Paid and a WhatsApp notification is dispatched to the business owner immediately.</w:t>
      </w:r>
    </w:p>
    <w:p>
      <w:pPr>
        <w:spacing w:after="120" w:before="80"/>
      </w:pPr>
      <w:r>
        <w:rPr>
          <w:rFonts w:ascii="Arial" w:cs="Arial" w:eastAsia="Arial" w:hAnsi="Arial"/>
          <w:color w:val="333333"/>
          <w:sz w:val="22"/>
          <w:szCs w:val="22"/>
        </w:rPr>
        <w:t xml:space="preserve">Manual status update: a “Mark as” action menu on the invoice detail screen allows the user to manually set the status to Unpaid, Partial, or Paid. For Partial, a secondary input field appears to capture the amount received so far and the remaining balance is shown.</w:t>
      </w:r>
    </w:p>
    <w:p>
      <w:pPr>
        <w:pStyle w:val="Heading2"/>
        <w:spacing w:after="160" w:before="320"/>
      </w:pPr>
      <w:r>
        <w:rPr>
          <w:rFonts w:ascii="Arial" w:cs="Arial" w:eastAsia="Arial" w:hAnsi="Arial"/>
          <w:b/>
          <w:bCs/>
          <w:color w:val="222222"/>
          <w:sz w:val="28"/>
          <w:szCs w:val="28"/>
        </w:rPr>
        <w:t xml:space="preserve">5.4 Taaxbro Tax — Tax Compliance Module</w:t>
      </w:r>
    </w:p>
    <w:p>
      <w:pPr>
        <w:spacing w:after="120" w:before="80"/>
      </w:pPr>
      <w:r>
        <w:rPr>
          <w:rFonts w:ascii="Arial" w:cs="Arial" w:eastAsia="Arial" w:hAnsi="Arial"/>
          <w:color w:val="333333"/>
          <w:sz w:val="22"/>
          <w:szCs w:val="22"/>
        </w:rPr>
        <w:t xml:space="preserve">The most technically complex module and the clearest differentiator. The design must make something inherently complicated feel manageable and routine. The core UX principle of this module: Taaxbro prepares everything, the human decides, then Taaxbro executes.</w:t>
      </w:r>
    </w:p>
    <w:p>
      <w:pPr>
        <w:spacing w:after="100" w:before="240"/>
      </w:pPr>
      <w:r>
        <w:rPr>
          <w:rFonts w:ascii="Arial" w:cs="Arial" w:eastAsia="Arial" w:hAnsi="Arial"/>
          <w:b/>
          <w:bCs/>
          <w:color w:val="2C2C2C"/>
          <w:sz w:val="24"/>
          <w:szCs w:val="24"/>
        </w:rPr>
        <w:t xml:space="preserve">Tax Types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60"/>
            </w:tcMar>
          </w:tcPr>
          <w:p>
            <w:r>
              <w:rPr>
                <w:rFonts w:ascii="Arial" w:cs="Arial" w:eastAsia="Arial" w:hAnsi="Arial"/>
                <w:b/>
                <w:bCs/>
                <w:color w:val="1A1A2E"/>
                <w:sz w:val="20"/>
                <w:szCs w:val="20"/>
              </w:rPr>
              <w:t xml:space="preserve">VAT</w:t>
            </w:r>
          </w:p>
        </w:tc>
        <w:tc>
          <w:tcPr>
            <w:tcW w:type="dxa" w:w="69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Value Added Tax — 7.5% on applicable goods and services. Monthly filing.</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60"/>
            </w:tcMar>
          </w:tcPr>
          <w:p>
            <w:r>
              <w:rPr>
                <w:rFonts w:ascii="Arial" w:cs="Arial" w:eastAsia="Arial" w:hAnsi="Arial"/>
                <w:b/>
                <w:bCs/>
                <w:color w:val="1A1A2E"/>
                <w:sz w:val="20"/>
                <w:szCs w:val="20"/>
              </w:rPr>
              <w:t xml:space="preserve">WHT</w:t>
            </w:r>
          </w:p>
        </w:tc>
        <w:tc>
          <w:tcPr>
            <w:tcW w:type="dxa" w:w="69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Withholding Tax — deducted at source based on recipient type and service. Monthly remittance.</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60"/>
            </w:tcMar>
          </w:tcPr>
          <w:p>
            <w:r>
              <w:rPr>
                <w:rFonts w:ascii="Arial" w:cs="Arial" w:eastAsia="Arial" w:hAnsi="Arial"/>
                <w:b/>
                <w:bCs/>
                <w:color w:val="1A1A2E"/>
                <w:sz w:val="20"/>
                <w:szCs w:val="20"/>
              </w:rPr>
              <w:t xml:space="preserve">CIT</w:t>
            </w:r>
          </w:p>
        </w:tc>
        <w:tc>
          <w:tcPr>
            <w:tcW w:type="dxa" w:w="69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Company Income Tax — annual filing, 30% for companies above threshold.</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60"/>
            </w:tcMar>
          </w:tcPr>
          <w:p>
            <w:r>
              <w:rPr>
                <w:rFonts w:ascii="Arial" w:cs="Arial" w:eastAsia="Arial" w:hAnsi="Arial"/>
                <w:b/>
                <w:bCs/>
                <w:color w:val="1A1A2E"/>
                <w:sz w:val="20"/>
                <w:szCs w:val="20"/>
              </w:rPr>
              <w:t xml:space="preserve">PIT</w:t>
            </w:r>
          </w:p>
        </w:tc>
        <w:tc>
          <w:tcPr>
            <w:tcW w:type="dxa" w:w="69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Personal Income Tax — for freelancers and self-employed individuals, including FX earners.</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60"/>
            </w:tcMar>
          </w:tcPr>
          <w:p>
            <w:r>
              <w:rPr>
                <w:rFonts w:ascii="Arial" w:cs="Arial" w:eastAsia="Arial" w:hAnsi="Arial"/>
                <w:b/>
                <w:bCs/>
                <w:color w:val="1A1A2E"/>
                <w:sz w:val="20"/>
                <w:szCs w:val="20"/>
              </w:rPr>
              <w:t xml:space="preserve">Dev. Levy</w:t>
            </w:r>
          </w:p>
        </w:tc>
        <w:tc>
          <w:tcPr>
            <w:tcW w:type="dxa" w:w="69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Development Levy — 4% on net profit for qualifying businesses.</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60"/>
            </w:tcMar>
          </w:tcPr>
          <w:p>
            <w:r>
              <w:rPr>
                <w:rFonts w:ascii="Arial" w:cs="Arial" w:eastAsia="Arial" w:hAnsi="Arial"/>
                <w:b/>
                <w:bCs/>
                <w:color w:val="1A1A2E"/>
                <w:sz w:val="20"/>
                <w:szCs w:val="20"/>
              </w:rPr>
              <w:t xml:space="preserve">Stamp Duty</w:t>
            </w:r>
          </w:p>
        </w:tc>
        <w:tc>
          <w:tcPr>
            <w:tcW w:type="dxa" w:w="69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Applied on specific instruments and transactions as specified by law.</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60"/>
            </w:tcMar>
          </w:tcPr>
          <w:p>
            <w:r>
              <w:rPr>
                <w:rFonts w:ascii="Arial" w:cs="Arial" w:eastAsia="Arial" w:hAnsi="Arial"/>
                <w:b/>
                <w:bCs/>
                <w:color w:val="1A1A2E"/>
                <w:sz w:val="20"/>
                <w:szCs w:val="20"/>
              </w:rPr>
              <w:t xml:space="preserve">State Taxes</w:t>
            </w:r>
          </w:p>
        </w:tc>
        <w:tc>
          <w:tcPr>
            <w:tcW w:type="dxa" w:w="69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LIRS (Lagos), RIRS (Rivers), FCT-IRS and other applicable State Revenue Services.</w:t>
            </w:r>
          </w:p>
        </w:tc>
      </w:tr>
    </w:tbl>
    <w:p>
      <w:pPr>
        <w:spacing w:before="160"/>
      </w:pPr>
    </w:p>
    <w:p>
      <w:pPr>
        <w:spacing w:after="100" w:before="240"/>
      </w:pPr>
      <w:r>
        <w:rPr>
          <w:rFonts w:ascii="Arial" w:cs="Arial" w:eastAsia="Arial" w:hAnsi="Arial"/>
          <w:b/>
          <w:bCs/>
          <w:color w:val="2C2C2C"/>
          <w:sz w:val="24"/>
          <w:szCs w:val="24"/>
        </w:rPr>
        <w:t xml:space="preserve">Sub-screens</w:t>
      </w:r>
    </w:p>
    <w:p>
      <w:pPr>
        <w:pStyle w:val="ListParagraph"/>
        <w:numPr>
          <w:ilvl w:val="0"/>
          <w:numId w:val="2"/>
        </w:numPr>
        <w:spacing w:after="60" w:before="60"/>
      </w:pPr>
      <w:r>
        <w:rPr>
          <w:rFonts w:ascii="Arial" w:cs="Arial" w:eastAsia="Arial" w:hAnsi="Arial"/>
          <w:color w:val="333333"/>
          <w:sz w:val="22"/>
          <w:szCs w:val="22"/>
        </w:rPr>
        <w:t xml:space="preserve">Tax Overview — summary of all active obligations, filed returns, and upcoming deadlines across federal and state</w:t>
      </w:r>
    </w:p>
    <w:p>
      <w:pPr>
        <w:pStyle w:val="ListParagraph"/>
        <w:numPr>
          <w:ilvl w:val="0"/>
          <w:numId w:val="2"/>
        </w:numPr>
        <w:spacing w:after="60" w:before="60"/>
      </w:pPr>
      <w:r>
        <w:rPr>
          <w:rFonts w:ascii="Arial" w:cs="Arial" w:eastAsia="Arial" w:hAnsi="Arial"/>
          <w:color w:val="333333"/>
          <w:sz w:val="22"/>
          <w:szCs w:val="22"/>
        </w:rPr>
        <w:t xml:space="preserve">VAT — monthly input/output VAT breakdown, computation, and filing status. OCR receipts appear here as VAT-verified inputs.</w:t>
      </w:r>
    </w:p>
    <w:p>
      <w:pPr>
        <w:pStyle w:val="ListParagraph"/>
        <w:numPr>
          <w:ilvl w:val="0"/>
          <w:numId w:val="2"/>
        </w:numPr>
        <w:spacing w:after="60" w:before="60"/>
      </w:pPr>
      <w:r>
        <w:rPr>
          <w:rFonts w:ascii="Arial" w:cs="Arial" w:eastAsia="Arial" w:hAnsi="Arial"/>
          <w:color w:val="333333"/>
          <w:sz w:val="22"/>
          <w:szCs w:val="22"/>
        </w:rPr>
        <w:t xml:space="preserve">WHT — transactions subject to WHT, computed amounts, remittance status</w:t>
      </w:r>
    </w:p>
    <w:p>
      <w:pPr>
        <w:pStyle w:val="ListParagraph"/>
        <w:numPr>
          <w:ilvl w:val="0"/>
          <w:numId w:val="2"/>
        </w:numPr>
        <w:spacing w:after="60" w:before="60"/>
      </w:pPr>
      <w:r>
        <w:rPr>
          <w:rFonts w:ascii="Arial" w:cs="Arial" w:eastAsia="Arial" w:hAnsi="Arial"/>
          <w:color w:val="333333"/>
          <w:sz w:val="22"/>
          <w:szCs w:val="22"/>
        </w:rPr>
        <w:t xml:space="preserve">CIT — annual income tax position, estimated liability, filing timeline</w:t>
      </w:r>
    </w:p>
    <w:p>
      <w:pPr>
        <w:pStyle w:val="ListParagraph"/>
        <w:numPr>
          <w:ilvl w:val="0"/>
          <w:numId w:val="2"/>
        </w:numPr>
        <w:spacing w:after="60" w:before="60"/>
      </w:pPr>
      <w:r>
        <w:rPr>
          <w:rFonts w:ascii="Arial" w:cs="Arial" w:eastAsia="Arial" w:hAnsi="Arial"/>
          <w:color w:val="333333"/>
          <w:sz w:val="22"/>
          <w:szCs w:val="22"/>
        </w:rPr>
        <w:t xml:space="preserve">PIT — personal income tax tracker for freelancers, including FX income converted at CBN rate</w:t>
      </w:r>
    </w:p>
    <w:p>
      <w:pPr>
        <w:pStyle w:val="ListParagraph"/>
        <w:numPr>
          <w:ilvl w:val="0"/>
          <w:numId w:val="2"/>
        </w:numPr>
        <w:spacing w:after="60" w:before="60"/>
      </w:pPr>
      <w:r>
        <w:rPr>
          <w:rFonts w:ascii="Arial" w:cs="Arial" w:eastAsia="Arial" w:hAnsi="Arial"/>
          <w:color w:val="333333"/>
          <w:sz w:val="22"/>
          <w:szCs w:val="22"/>
        </w:rPr>
        <w:t xml:space="preserve">State Filing — separate sub-screen per active state authority (LIRS, RIRS, FCT-IRS), each with its own deadlines and filing history</w:t>
      </w:r>
    </w:p>
    <w:p>
      <w:pPr>
        <w:pStyle w:val="ListParagraph"/>
        <w:numPr>
          <w:ilvl w:val="0"/>
          <w:numId w:val="2"/>
        </w:numPr>
        <w:spacing w:after="60" w:before="60"/>
      </w:pPr>
      <w:r>
        <w:rPr>
          <w:rFonts w:ascii="Arial" w:cs="Arial" w:eastAsia="Arial" w:hAnsi="Arial"/>
          <w:color w:val="333333"/>
          <w:sz w:val="22"/>
          <w:szCs w:val="22"/>
        </w:rPr>
        <w:t xml:space="preserve">Filing History — complete log of all past filings with status indicators: Computed, Pending Approval, Approved, Submitted, Confirmed</w:t>
      </w:r>
    </w:p>
    <w:p>
      <w:pPr>
        <w:pStyle w:val="ListParagraph"/>
        <w:numPr>
          <w:ilvl w:val="0"/>
          <w:numId w:val="2"/>
        </w:numPr>
        <w:spacing w:after="60" w:before="60"/>
      </w:pPr>
      <w:r>
        <w:rPr>
          <w:rFonts w:ascii="Arial" w:cs="Arial" w:eastAsia="Arial" w:hAnsi="Arial"/>
          <w:color w:val="333333"/>
          <w:sz w:val="22"/>
          <w:szCs w:val="22"/>
        </w:rPr>
        <w:t xml:space="preserve">Deadline Calendar — calendar view of all upcoming deadlines, colour-coded by tax type and urgency. Federal and state deadlines are visually distinguished.</w:t>
      </w:r>
    </w:p>
    <w:p>
      <w:pPr>
        <w:pStyle w:val="ListParagraph"/>
        <w:numPr>
          <w:ilvl w:val="0"/>
          <w:numId w:val="2"/>
        </w:numPr>
        <w:spacing w:after="60" w:before="60"/>
      </w:pPr>
      <w:r>
        <w:rPr>
          <w:rFonts w:ascii="Arial" w:cs="Arial" w:eastAsia="Arial" w:hAnsi="Arial"/>
          <w:color w:val="333333"/>
          <w:sz w:val="22"/>
          <w:szCs w:val="22"/>
        </w:rPr>
        <w:t xml:space="preserve">Tax Settings — registration details, applicable tax authorities, and per-tax-type automation preferences (see Filing Approval Flow below)</w:t>
      </w:r>
    </w:p>
    <w:p>
      <w:pPr>
        <w:spacing w:after="100" w:before="240"/>
      </w:pPr>
      <w:r>
        <w:rPr>
          <w:rFonts w:ascii="Arial" w:cs="Arial" w:eastAsia="Arial" w:hAnsi="Arial"/>
          <w:b/>
          <w:bCs/>
          <w:color w:val="2C2C2C"/>
          <w:sz w:val="24"/>
          <w:szCs w:val="24"/>
        </w:rPr>
        <w:t xml:space="preserve">Filing Approval Flow</w:t>
      </w:r>
    </w:p>
    <w:p>
      <w:pPr>
        <w:spacing w:after="120" w:before="80"/>
      </w:pPr>
      <w:r>
        <w:rPr>
          <w:rFonts w:ascii="Arial" w:cs="Arial" w:eastAsia="Arial" w:hAnsi="Arial"/>
          <w:color w:val="333333"/>
          <w:sz w:val="22"/>
          <w:szCs w:val="22"/>
        </w:rPr>
        <w:t xml:space="preserve">Taaxbro never files a return silently. The complete filing flow must be designed as a distinct, step-by-step experience:</w:t>
      </w:r>
    </w:p>
    <w:p>
      <w:pPr>
        <w:pStyle w:val="ListParagraph"/>
        <w:numPr>
          <w:ilvl w:val="0"/>
          <w:numId w:val="3"/>
        </w:numPr>
        <w:spacing w:after="60" w:before="60"/>
      </w:pPr>
      <w:r>
        <w:rPr>
          <w:rFonts w:ascii="Arial" w:cs="Arial" w:eastAsia="Arial" w:hAnsi="Arial"/>
          <w:color w:val="333333"/>
          <w:sz w:val="22"/>
          <w:szCs w:val="22"/>
        </w:rPr>
        <w:t xml:space="preserve">Taaxbro computes the liability and marks it as “Ready for Review”</w:t>
      </w:r>
    </w:p>
    <w:p>
      <w:pPr>
        <w:pStyle w:val="ListParagraph"/>
        <w:numPr>
          <w:ilvl w:val="0"/>
          <w:numId w:val="3"/>
        </w:numPr>
        <w:spacing w:after="60" w:before="60"/>
      </w:pPr>
      <w:r>
        <w:rPr>
          <w:rFonts w:ascii="Arial" w:cs="Arial" w:eastAsia="Arial" w:hAnsi="Arial"/>
          <w:color w:val="333333"/>
          <w:sz w:val="22"/>
          <w:szCs w:val="22"/>
        </w:rPr>
        <w:t xml:space="preserve">The user receives an in-app notification and a WhatsApp alert: “Your VAT return for [month] is ready. Total liability: ₦[X]. Review and approve by [deadline].”</w:t>
      </w:r>
    </w:p>
    <w:p>
      <w:pPr>
        <w:pStyle w:val="ListParagraph"/>
        <w:numPr>
          <w:ilvl w:val="0"/>
          <w:numId w:val="3"/>
        </w:numPr>
        <w:spacing w:after="60" w:before="60"/>
      </w:pPr>
      <w:r>
        <w:rPr>
          <w:rFonts w:ascii="Arial" w:cs="Arial" w:eastAsia="Arial" w:hAnsi="Arial"/>
          <w:color w:val="333333"/>
          <w:sz w:val="22"/>
          <w:szCs w:val="22"/>
        </w:rPr>
        <w:t xml:space="preserve">The user opens the Filing Review screen, which shows a full breakdown of how the liability was calculated — every transaction that contributed, every input and output VAT line, the net position, and the deadline</w:t>
      </w:r>
    </w:p>
    <w:p>
      <w:pPr>
        <w:pStyle w:val="ListParagraph"/>
        <w:numPr>
          <w:ilvl w:val="0"/>
          <w:numId w:val="3"/>
        </w:numPr>
        <w:spacing w:after="60" w:before="60"/>
      </w:pPr>
      <w:r>
        <w:rPr>
          <w:rFonts w:ascii="Arial" w:cs="Arial" w:eastAsia="Arial" w:hAnsi="Arial"/>
          <w:color w:val="333333"/>
          <w:sz w:val="22"/>
          <w:szCs w:val="22"/>
        </w:rPr>
        <w:t xml:space="preserve">The user reads the breakdown and clicks “Approve and File” — a confirmation dialog appears with the amount, the authority it will be filed with, and a final confirm button</w:t>
      </w:r>
    </w:p>
    <w:p>
      <w:pPr>
        <w:pStyle w:val="ListParagraph"/>
        <w:numPr>
          <w:ilvl w:val="0"/>
          <w:numId w:val="3"/>
        </w:numPr>
        <w:spacing w:after="60" w:before="60"/>
      </w:pPr>
      <w:r>
        <w:rPr>
          <w:rFonts w:ascii="Arial" w:cs="Arial" w:eastAsia="Arial" w:hAnsi="Arial"/>
          <w:color w:val="333333"/>
          <w:sz w:val="22"/>
          <w:szCs w:val="22"/>
        </w:rPr>
        <w:t xml:space="preserve">Taaxbro submits the return to NRS or the applicable state authority and displays the submission confirmation with a reference number</w:t>
      </w:r>
    </w:p>
    <w:p>
      <w:pPr>
        <w:spacing w:after="120" w:before="80"/>
      </w:pPr>
      <w:r>
        <w:rPr>
          <w:rFonts w:ascii="Arial" w:cs="Arial" w:eastAsia="Arial" w:hAnsi="Arial"/>
          <w:color w:val="333333"/>
          <w:sz w:val="22"/>
          <w:szCs w:val="22"/>
        </w:rPr>
        <w:t xml:space="preserve">In the Tax Settings screen, the user can configure per-tax-type automation toggles: for example, “Prepare VAT return automatically and notify me” vs “Require my approval before preparing any WHT submission.” These are preferences, not overrides of the human approval step — approval is always required before filing.</w:t>
      </w:r>
    </w:p>
    <w:p>
      <w:pPr>
        <w:spacing w:after="100" w:before="240"/>
      </w:pPr>
      <w:r>
        <w:rPr>
          <w:rFonts w:ascii="Arial" w:cs="Arial" w:eastAsia="Arial" w:hAnsi="Arial"/>
          <w:b/>
          <w:bCs/>
          <w:color w:val="2C2C2C"/>
          <w:sz w:val="24"/>
          <w:szCs w:val="24"/>
        </w:rPr>
        <w:t xml:space="preserve">AI Tax Assistant</w:t>
      </w:r>
    </w:p>
    <w:p>
      <w:pPr>
        <w:spacing w:after="120" w:before="80"/>
      </w:pPr>
      <w:r>
        <w:rPr>
          <w:rFonts w:ascii="Arial" w:cs="Arial" w:eastAsia="Arial" w:hAnsi="Arial"/>
          <w:color w:val="333333"/>
          <w:sz w:val="22"/>
          <w:szCs w:val="22"/>
        </w:rPr>
        <w:t xml:space="preserve">An in-module conversational interface accessible via a persistent button within the Tax module. Opens as a side panel or modal so the user never loses context of what they were viewing. The assistant answers Nigerian tax law questions in plain language, explains specific line items in the user’s current filing, and can reference the user’s own transaction data when answering questions like “Why is my VAT liability higher this month than last month?”</w:t>
      </w:r>
    </w:p>
    <w:p>
      <w:pPr>
        <w:pStyle w:val="Heading2"/>
        <w:spacing w:after="160" w:before="320"/>
      </w:pPr>
      <w:r>
        <w:rPr>
          <w:rFonts w:ascii="Arial" w:cs="Arial" w:eastAsia="Arial" w:hAnsi="Arial"/>
          <w:b/>
          <w:bCs/>
          <w:color w:val="222222"/>
          <w:sz w:val="28"/>
          <w:szCs w:val="28"/>
        </w:rPr>
        <w:t xml:space="preserve">5.5 Taaxbro Books — Accounting Module</w:t>
      </w:r>
    </w:p>
    <w:p>
      <w:pPr>
        <w:spacing w:after="120" w:before="80"/>
      </w:pPr>
      <w:r>
        <w:rPr>
          <w:rFonts w:ascii="Arial" w:cs="Arial" w:eastAsia="Arial" w:hAnsi="Arial"/>
          <w:color w:val="333333"/>
          <w:sz w:val="22"/>
          <w:szCs w:val="22"/>
        </w:rPr>
        <w:t xml:space="preserve">Speed and clarity are the design priorities here. Creating an invoice or recording an expense should take under a minute. OCR removes the most painful part of bookkeeping — manual data entry from paper receipts and supplier invoices.</w:t>
      </w:r>
    </w:p>
    <w:p>
      <w:pPr>
        <w:spacing w:after="100" w:before="240"/>
      </w:pPr>
      <w:r>
        <w:rPr>
          <w:rFonts w:ascii="Arial" w:cs="Arial" w:eastAsia="Arial" w:hAnsi="Arial"/>
          <w:b/>
          <w:bCs/>
          <w:color w:val="2C2C2C"/>
          <w:sz w:val="24"/>
          <w:szCs w:val="24"/>
        </w:rPr>
        <w:t xml:space="preserve">Sub-screens</w:t>
      </w:r>
    </w:p>
    <w:p>
      <w:pPr>
        <w:pStyle w:val="ListParagraph"/>
        <w:numPr>
          <w:ilvl w:val="0"/>
          <w:numId w:val="2"/>
        </w:numPr>
        <w:spacing w:after="60" w:before="60"/>
      </w:pPr>
      <w:r>
        <w:rPr>
          <w:rFonts w:ascii="Arial" w:cs="Arial" w:eastAsia="Arial" w:hAnsi="Arial"/>
          <w:color w:val="333333"/>
          <w:sz w:val="22"/>
          <w:szCs w:val="22"/>
        </w:rPr>
        <w:t xml:space="preserve">Books Overview — revenue, expenses, and net profit for selected period with chart visualisations</w:t>
      </w:r>
    </w:p>
    <w:p>
      <w:pPr>
        <w:pStyle w:val="ListParagraph"/>
        <w:numPr>
          <w:ilvl w:val="0"/>
          <w:numId w:val="2"/>
        </w:numPr>
        <w:spacing w:after="60" w:before="60"/>
      </w:pPr>
      <w:r>
        <w:rPr>
          <w:rFonts w:ascii="Arial" w:cs="Arial" w:eastAsia="Arial" w:hAnsi="Arial"/>
          <w:color w:val="333333"/>
          <w:sz w:val="22"/>
          <w:szCs w:val="22"/>
        </w:rPr>
        <w:t xml:space="preserve">Invoices — list with status filters: Draft, Sent, Unpaid, Partial, Paid, Overdue</w:t>
      </w:r>
    </w:p>
    <w:p>
      <w:pPr>
        <w:pStyle w:val="ListParagraph"/>
        <w:numPr>
          <w:ilvl w:val="0"/>
          <w:numId w:val="2"/>
        </w:numPr>
        <w:spacing w:after="60" w:before="60"/>
      </w:pPr>
      <w:r>
        <w:rPr>
          <w:rFonts w:ascii="Arial" w:cs="Arial" w:eastAsia="Arial" w:hAnsi="Arial"/>
          <w:color w:val="333333"/>
          <w:sz w:val="22"/>
          <w:szCs w:val="22"/>
        </w:rPr>
        <w:t xml:space="preserve">Create Invoice — form for generating a professional invoice with line items, VAT lines, due date, client details, and payment instructions. Option to generate as a standard invoice or a QR-code invoice for field/POS use. Preview mode before sending.</w:t>
      </w:r>
    </w:p>
    <w:p>
      <w:pPr>
        <w:pStyle w:val="ListParagraph"/>
        <w:numPr>
          <w:ilvl w:val="0"/>
          <w:numId w:val="2"/>
        </w:numPr>
        <w:spacing w:after="60" w:before="60"/>
      </w:pPr>
      <w:r>
        <w:rPr>
          <w:rFonts w:ascii="Arial" w:cs="Arial" w:eastAsia="Arial" w:hAnsi="Arial"/>
          <w:color w:val="333333"/>
          <w:sz w:val="22"/>
          <w:szCs w:val="22"/>
        </w:rPr>
        <w:t xml:space="preserve">Invoice Detail — full view with payment status, history, reconciliation banner (if auto-match detected), and the “Mark as” action menu</w:t>
      </w:r>
    </w:p>
    <w:p>
      <w:pPr>
        <w:pStyle w:val="ListParagraph"/>
        <w:numPr>
          <w:ilvl w:val="0"/>
          <w:numId w:val="2"/>
        </w:numPr>
        <w:spacing w:after="60" w:before="60"/>
      </w:pPr>
      <w:r>
        <w:rPr>
          <w:rFonts w:ascii="Arial" w:cs="Arial" w:eastAsia="Arial" w:hAnsi="Arial"/>
          <w:color w:val="333333"/>
          <w:sz w:val="22"/>
          <w:szCs w:val="22"/>
        </w:rPr>
        <w:t xml:space="preserve">Scan Receipt / OCR — see full specification below</w:t>
      </w:r>
    </w:p>
    <w:p>
      <w:pPr>
        <w:pStyle w:val="ListParagraph"/>
        <w:numPr>
          <w:ilvl w:val="0"/>
          <w:numId w:val="2"/>
        </w:numPr>
        <w:spacing w:after="60" w:before="60"/>
      </w:pPr>
      <w:r>
        <w:rPr>
          <w:rFonts w:ascii="Arial" w:cs="Arial" w:eastAsia="Arial" w:hAnsi="Arial"/>
          <w:color w:val="333333"/>
          <w:sz w:val="22"/>
          <w:szCs w:val="22"/>
        </w:rPr>
        <w:t xml:space="preserve">Expenses — log and categorise business expenses; upload receipts; filter by category and period</w:t>
      </w:r>
    </w:p>
    <w:p>
      <w:pPr>
        <w:pStyle w:val="ListParagraph"/>
        <w:numPr>
          <w:ilvl w:val="0"/>
          <w:numId w:val="2"/>
        </w:numPr>
        <w:spacing w:after="60" w:before="60"/>
      </w:pPr>
      <w:r>
        <w:rPr>
          <w:rFonts w:ascii="Arial" w:cs="Arial" w:eastAsia="Arial" w:hAnsi="Arial"/>
          <w:color w:val="333333"/>
          <w:sz w:val="22"/>
          <w:szCs w:val="22"/>
        </w:rPr>
        <w:t xml:space="preserve">Profit &amp; Loss Statement — generated P&amp;L for any selected date range; exportable as PDF or CSV</w:t>
      </w:r>
    </w:p>
    <w:p>
      <w:pPr>
        <w:pStyle w:val="ListParagraph"/>
        <w:numPr>
          <w:ilvl w:val="0"/>
          <w:numId w:val="2"/>
        </w:numPr>
        <w:spacing w:after="60" w:before="60"/>
      </w:pPr>
      <w:r>
        <w:rPr>
          <w:rFonts w:ascii="Arial" w:cs="Arial" w:eastAsia="Arial" w:hAnsi="Arial"/>
          <w:color w:val="333333"/>
          <w:sz w:val="22"/>
          <w:szCs w:val="22"/>
        </w:rPr>
        <w:t xml:space="preserve">Balance Sheet — snapshot of assets, liabilities, and equity auto-generated from transaction data</w:t>
      </w:r>
    </w:p>
    <w:p>
      <w:pPr>
        <w:pStyle w:val="ListParagraph"/>
        <w:numPr>
          <w:ilvl w:val="0"/>
          <w:numId w:val="2"/>
        </w:numPr>
        <w:spacing w:after="60" w:before="60"/>
      </w:pPr>
      <w:r>
        <w:rPr>
          <w:rFonts w:ascii="Arial" w:cs="Arial" w:eastAsia="Arial" w:hAnsi="Arial"/>
          <w:color w:val="333333"/>
          <w:sz w:val="22"/>
          <w:szCs w:val="22"/>
        </w:rPr>
        <w:t xml:space="preserve">Clients — directory with invoice history per client</w:t>
      </w:r>
    </w:p>
    <w:p>
      <w:pPr>
        <w:pStyle w:val="ListParagraph"/>
        <w:numPr>
          <w:ilvl w:val="0"/>
          <w:numId w:val="2"/>
        </w:numPr>
        <w:spacing w:after="60" w:before="60"/>
      </w:pPr>
      <w:r>
        <w:rPr>
          <w:rFonts w:ascii="Arial" w:cs="Arial" w:eastAsia="Arial" w:hAnsi="Arial"/>
          <w:color w:val="333333"/>
          <w:sz w:val="22"/>
          <w:szCs w:val="22"/>
        </w:rPr>
        <w:t xml:space="preserve">Vendors — directory of suppliers with payment and expense history</w:t>
      </w:r>
    </w:p>
    <w:p>
      <w:pPr>
        <w:spacing w:after="100" w:before="240"/>
      </w:pPr>
      <w:r>
        <w:rPr>
          <w:rFonts w:ascii="Arial" w:cs="Arial" w:eastAsia="Arial" w:hAnsi="Arial"/>
          <w:b/>
          <w:bCs/>
          <w:color w:val="2C2C2C"/>
          <w:sz w:val="24"/>
          <w:szCs w:val="24"/>
        </w:rPr>
        <w:t xml:space="preserve">OCR Receipt &amp; Invoice Scanner</w:t>
      </w:r>
    </w:p>
    <w:p>
      <w:pPr>
        <w:spacing w:after="120" w:before="80"/>
      </w:pPr>
      <w:r>
        <w:rPr>
          <w:rFonts w:ascii="Arial" w:cs="Arial" w:eastAsia="Arial" w:hAnsi="Arial"/>
          <w:color w:val="333333"/>
          <w:sz w:val="22"/>
          <w:szCs w:val="22"/>
        </w:rPr>
        <w:t xml:space="preserve">This feature must be accessible from multiple entry points: the Quick Actions shortcut on the dashboard, the Scan Receipt button inside the Expenses screen, and via the WhatsApp integration. The designer must produce all screens and states of the full OCR flow:</w:t>
      </w:r>
    </w:p>
    <w:p>
      <w:pPr>
        <w:pStyle w:val="ListParagraph"/>
        <w:numPr>
          <w:ilvl w:val="0"/>
          <w:numId w:val="2"/>
        </w:numPr>
        <w:spacing w:after="60" w:before="60"/>
      </w:pPr>
      <w:r>
        <w:rPr>
          <w:rFonts w:ascii="Arial" w:cs="Arial" w:eastAsia="Arial" w:hAnsi="Arial"/>
          <w:color w:val="333333"/>
          <w:sz w:val="22"/>
          <w:szCs w:val="22"/>
        </w:rPr>
        <w:t xml:space="preserve">Capture screen — three input methods presented with equal visual weight: “Open Camera” (mobile camera, for mobile viewports), “Upload File” (file explorer for JPG, PNG, or PDF), and “From WhatsApp” (showing a log of images recently sent to the Taaxbro WhatsApp number that have not yet been processed). A fourth tab, “Paste from Email,” appears if the user’s email inbox is connected.</w:t>
      </w:r>
    </w:p>
    <w:p>
      <w:pPr>
        <w:pStyle w:val="ListParagraph"/>
        <w:numPr>
          <w:ilvl w:val="0"/>
          <w:numId w:val="2"/>
        </w:numPr>
        <w:spacing w:after="60" w:before="60"/>
      </w:pPr>
      <w:r>
        <w:rPr>
          <w:rFonts w:ascii="Arial" w:cs="Arial" w:eastAsia="Arial" w:hAnsi="Arial"/>
          <w:color w:val="333333"/>
          <w:sz w:val="22"/>
          <w:szCs w:val="22"/>
        </w:rPr>
        <w:t xml:space="preserve">Processing state — a brief loading screen while the OCR engine reads the document. Clear visual feedback that this is in progress. Duration: typically under 5 seconds.</w:t>
      </w:r>
    </w:p>
    <w:p>
      <w:pPr>
        <w:pStyle w:val="ListParagraph"/>
        <w:numPr>
          <w:ilvl w:val="0"/>
          <w:numId w:val="2"/>
        </w:numPr>
        <w:spacing w:after="60" w:before="60"/>
      </w:pPr>
      <w:r>
        <w:rPr>
          <w:rFonts w:ascii="Arial" w:cs="Arial" w:eastAsia="Arial" w:hAnsi="Arial"/>
          <w:color w:val="333333"/>
          <w:sz w:val="22"/>
          <w:szCs w:val="22"/>
        </w:rPr>
        <w:t xml:space="preserve">Review &amp; Confirm screen — the extracted data is presented in an editable form: vendor name, date, total amount, currency, line items (if extracted), and VAT amount. A side-by-side view showing the original image alongside the extracted fields helps the user verify accuracy. Any field the system is less than confident about is highlighted with an amber indicator. The user corrects if needed, then clicks “Save to Books.”</w:t>
      </w:r>
    </w:p>
    <w:p>
      <w:pPr>
        <w:pStyle w:val="ListParagraph"/>
        <w:numPr>
          <w:ilvl w:val="0"/>
          <w:numId w:val="2"/>
        </w:numPr>
        <w:spacing w:after="60" w:before="60"/>
      </w:pPr>
      <w:r>
        <w:rPr>
          <w:rFonts w:ascii="Arial" w:cs="Arial" w:eastAsia="Arial" w:hAnsi="Arial"/>
          <w:color w:val="333333"/>
          <w:sz w:val="22"/>
          <w:szCs w:val="22"/>
        </w:rPr>
        <w:t xml:space="preserve">VAT Verification mode — a toggle at the top of the Review &amp; Confirm screen. When enabled, Taaxbro checks each line item against Nigerian tax law and returns a verdict for each: “VAT Correct,” “Overcharged — this item is VAT-exempt,” or “Vat-exempt item — no VAT should have been applied.” The verification result is displayed prominently, with a total overcharge amount calculated if applicable. The user can save the receipt with or without saving to Books — verification is useful even for personal receipts.</w:t>
      </w:r>
    </w:p>
    <w:p>
      <w:pPr>
        <w:pStyle w:val="ListParagraph"/>
        <w:numPr>
          <w:ilvl w:val="0"/>
          <w:numId w:val="2"/>
        </w:numPr>
        <w:spacing w:after="60" w:before="60"/>
      </w:pPr>
      <w:r>
        <w:rPr>
          <w:rFonts w:ascii="Arial" w:cs="Arial" w:eastAsia="Arial" w:hAnsi="Arial"/>
          <w:color w:val="333333"/>
          <w:sz w:val="22"/>
          <w:szCs w:val="22"/>
        </w:rPr>
        <w:t xml:space="preserve">Confirmation screen — expense saved to Books with the category, date, and amount confirmed. A shortcut to the Expenses list and the option to scan another receipt.</w:t>
      </w:r>
    </w:p>
    <w:p>
      <w:pPr>
        <w:pStyle w:val="Heading2"/>
        <w:spacing w:after="160" w:before="320"/>
      </w:pPr>
      <w:r>
        <w:rPr>
          <w:rFonts w:ascii="Arial" w:cs="Arial" w:eastAsia="Arial" w:hAnsi="Arial"/>
          <w:b/>
          <w:bCs/>
          <w:color w:val="222222"/>
          <w:sz w:val="28"/>
          <w:szCs w:val="28"/>
        </w:rPr>
        <w:t xml:space="preserve">5.6 Compliance Hub</w:t>
      </w:r>
    </w:p>
    <w:p>
      <w:pPr>
        <w:spacing w:after="120" w:before="80"/>
      </w:pPr>
      <w:r>
        <w:rPr>
          <w:rFonts w:ascii="Arial" w:cs="Arial" w:eastAsia="Arial" w:hAnsi="Arial"/>
          <w:color w:val="333333"/>
          <w:sz w:val="22"/>
          <w:szCs w:val="22"/>
        </w:rPr>
        <w:t xml:space="preserve">A dedicated module that surfaces the business’s overall compliance health. Previously buried in the Tax module; now a top-level navigation item because it drives the most high-value behaviour.</w:t>
      </w:r>
    </w:p>
    <w:p>
      <w:pPr>
        <w:pStyle w:val="ListParagraph"/>
        <w:numPr>
          <w:ilvl w:val="0"/>
          <w:numId w:val="2"/>
        </w:numPr>
        <w:spacing w:after="60" w:before="60"/>
      </w:pPr>
      <w:r>
        <w:rPr>
          <w:rFonts w:ascii="Arial" w:cs="Arial" w:eastAsia="Arial" w:hAnsi="Arial"/>
          <w:color w:val="333333"/>
          <w:sz w:val="22"/>
          <w:szCs w:val="22"/>
        </w:rPr>
        <w:t xml:space="preserve">Compliance Score — the 0–100 score presented as a large visual element (ring, gauge, or bar), with a breakdown of the five factors that contribute to it: filing on time, no missing returns, VAT records complete, bank account connected, and no open anomaly flags</w:t>
      </w:r>
    </w:p>
    <w:p>
      <w:pPr>
        <w:pStyle w:val="ListParagraph"/>
        <w:numPr>
          <w:ilvl w:val="0"/>
          <w:numId w:val="2"/>
        </w:numPr>
        <w:spacing w:after="60" w:before="60"/>
      </w:pPr>
      <w:r>
        <w:rPr>
          <w:rFonts w:ascii="Arial" w:cs="Arial" w:eastAsia="Arial" w:hAnsi="Arial"/>
          <w:color w:val="333333"/>
          <w:sz w:val="22"/>
          <w:szCs w:val="22"/>
        </w:rPr>
        <w:t xml:space="preserve">Score History — a chart showing how the compliance score has changed over the past 6 months</w:t>
      </w:r>
    </w:p>
    <w:p>
      <w:pPr>
        <w:pStyle w:val="ListParagraph"/>
        <w:numPr>
          <w:ilvl w:val="0"/>
          <w:numId w:val="2"/>
        </w:numPr>
        <w:spacing w:after="60" w:before="60"/>
      </w:pPr>
      <w:r>
        <w:rPr>
          <w:rFonts w:ascii="Arial" w:cs="Arial" w:eastAsia="Arial" w:hAnsi="Arial"/>
          <w:color w:val="333333"/>
          <w:sz w:val="22"/>
          <w:szCs w:val="22"/>
        </w:rPr>
        <w:t xml:space="preserve">Open Anomalies — a list of detected anomalies: transactions not matched to invoices, income periods with missing expense records, VAT amounts that appear inconsistent with declared revenue, etc. Each anomaly has a severity level and a recommended action.</w:t>
      </w:r>
    </w:p>
    <w:p>
      <w:pPr>
        <w:pStyle w:val="ListParagraph"/>
        <w:numPr>
          <w:ilvl w:val="0"/>
          <w:numId w:val="2"/>
        </w:numPr>
        <w:spacing w:after="60" w:before="60"/>
      </w:pPr>
      <w:r>
        <w:rPr>
          <w:rFonts w:ascii="Arial" w:cs="Arial" w:eastAsia="Arial" w:hAnsi="Arial"/>
          <w:color w:val="333333"/>
          <w:sz w:val="22"/>
          <w:szCs w:val="22"/>
        </w:rPr>
        <w:t xml:space="preserve">Penalty Forecast — a predictive calculator showing estimated penalties if current deficiencies are not resolved before the next deadline. Dollar amount shown prominently as a motivator.</w:t>
      </w:r>
    </w:p>
    <w:p>
      <w:pPr>
        <w:pStyle w:val="ListParagraph"/>
        <w:numPr>
          <w:ilvl w:val="0"/>
          <w:numId w:val="2"/>
        </w:numPr>
        <w:spacing w:after="60" w:before="60"/>
      </w:pPr>
      <w:r>
        <w:rPr>
          <w:rFonts w:ascii="Arial" w:cs="Arial" w:eastAsia="Arial" w:hAnsi="Arial"/>
          <w:color w:val="333333"/>
          <w:sz w:val="22"/>
          <w:szCs w:val="22"/>
        </w:rPr>
        <w:t xml:space="preserve">Corrective Actions — a prioritised checklist of specific actions the user can take to improve their compliance score. Each item links directly to the relevant screen.</w:t>
      </w:r>
    </w:p>
    <w:p>
      <w:pPr>
        <w:pStyle w:val="ListParagraph"/>
        <w:numPr>
          <w:ilvl w:val="0"/>
          <w:numId w:val="2"/>
        </w:numPr>
        <w:spacing w:after="60" w:before="60"/>
      </w:pPr>
      <w:r>
        <w:rPr>
          <w:rFonts w:ascii="Arial" w:cs="Arial" w:eastAsia="Arial" w:hAnsi="Arial"/>
          <w:color w:val="333333"/>
          <w:sz w:val="22"/>
          <w:szCs w:val="22"/>
        </w:rPr>
        <w:t xml:space="preserve">Tax Escrow Wallet — the ring-fenced wallet detail view: current balance, breakdown of contributions by transaction, the tax types being set aside for (VAT, CIT), and the projected filing date when the funds will be released to NRS.</w:t>
      </w:r>
    </w:p>
    <w:p>
      <w:pPr>
        <w:pStyle w:val="Heading2"/>
        <w:spacing w:after="160" w:before="320"/>
      </w:pPr>
      <w:r>
        <w:rPr>
          <w:rFonts w:ascii="Arial" w:cs="Arial" w:eastAsia="Arial" w:hAnsi="Arial"/>
          <w:b/>
          <w:bCs/>
          <w:color w:val="222222"/>
          <w:sz w:val="28"/>
          <w:szCs w:val="28"/>
        </w:rPr>
        <w:t xml:space="preserve">5.7 Integrations Module</w:t>
      </w:r>
    </w:p>
    <w:p>
      <w:pPr>
        <w:spacing w:after="120" w:before="80"/>
      </w:pPr>
      <w:r>
        <w:rPr>
          <w:rFonts w:ascii="Arial" w:cs="Arial" w:eastAsia="Arial" w:hAnsi="Arial"/>
          <w:color w:val="333333"/>
          <w:sz w:val="22"/>
          <w:szCs w:val="22"/>
        </w:rPr>
        <w:t xml:space="preserve">The Integrations module is where users connect Taaxbro to every external tool and data source. The more integrations active, the more automated and accurate the entire platform becomes. Design this as a control panel, not a form.</w:t>
      </w:r>
    </w:p>
    <w:p>
      <w:pPr>
        <w:spacing w:after="100" w:before="240"/>
      </w:pPr>
      <w:r>
        <w:rPr>
          <w:rFonts w:ascii="Arial" w:cs="Arial" w:eastAsia="Arial" w:hAnsi="Arial"/>
          <w:b/>
          <w:bCs/>
          <w:color w:val="2C2C2C"/>
          <w:sz w:val="24"/>
          <w:szCs w:val="24"/>
        </w:rPr>
        <w:t xml:space="preserve">Integration Categories</w:t>
      </w:r>
    </w:p>
    <w:p>
      <w:pPr>
        <w:pStyle w:val="ListParagraph"/>
        <w:numPr>
          <w:ilvl w:val="0"/>
          <w:numId w:val="2"/>
        </w:numPr>
        <w:spacing w:after="60" w:before="60"/>
      </w:pPr>
      <w:r>
        <w:rPr>
          <w:rFonts w:ascii="Arial" w:cs="Arial" w:eastAsia="Arial" w:hAnsi="Arial"/>
          <w:color w:val="333333"/>
          <w:sz w:val="22"/>
          <w:szCs w:val="22"/>
        </w:rPr>
        <w:t xml:space="preserve">Banking &amp; Finance — Nigerian commercial banks via Mono/Okra open banking (GTBank, Access, Zenith, UBA, First Bank, and 15+ others). Real-time transaction ingestion and reconciliation.</w:t>
      </w:r>
    </w:p>
    <w:p>
      <w:pPr>
        <w:pStyle w:val="ListParagraph"/>
        <w:numPr>
          <w:ilvl w:val="0"/>
          <w:numId w:val="2"/>
        </w:numPr>
        <w:spacing w:after="60" w:before="60"/>
      </w:pPr>
      <w:r>
        <w:rPr>
          <w:rFonts w:ascii="Arial" w:cs="Arial" w:eastAsia="Arial" w:hAnsi="Arial"/>
          <w:color w:val="333333"/>
          <w:sz w:val="22"/>
          <w:szCs w:val="22"/>
        </w:rPr>
        <w:t xml:space="preserve">POS Systems — Moniepoint, Nomba, OPay, Paystack Terminal. Daily sales data pulled directly into Books and the VAT computation engine.</w:t>
      </w:r>
    </w:p>
    <w:p>
      <w:pPr>
        <w:pStyle w:val="ListParagraph"/>
        <w:numPr>
          <w:ilvl w:val="0"/>
          <w:numId w:val="2"/>
        </w:numPr>
        <w:spacing w:after="60" w:before="60"/>
      </w:pPr>
      <w:r>
        <w:rPr>
          <w:rFonts w:ascii="Arial" w:cs="Arial" w:eastAsia="Arial" w:hAnsi="Arial"/>
          <w:color w:val="333333"/>
          <w:sz w:val="22"/>
          <w:szCs w:val="22"/>
        </w:rPr>
        <w:t xml:space="preserve">Accounting Software — QuickBooks, Sage, Xero, Zoho Books. Bi-directional sync. Taaxbro can sit on top of an existing accounting tool rather than requiring full migration.</w:t>
      </w:r>
    </w:p>
    <w:p>
      <w:pPr>
        <w:pStyle w:val="ListParagraph"/>
        <w:numPr>
          <w:ilvl w:val="0"/>
          <w:numId w:val="2"/>
        </w:numPr>
        <w:spacing w:after="60" w:before="60"/>
      </w:pPr>
      <w:r>
        <w:rPr>
          <w:rFonts w:ascii="Arial" w:cs="Arial" w:eastAsia="Arial" w:hAnsi="Arial"/>
          <w:color w:val="333333"/>
          <w:sz w:val="22"/>
          <w:szCs w:val="22"/>
        </w:rPr>
        <w:t xml:space="preserve">Email Inbox — Gmail and Outlook (Microsoft Graph). Taaxbro reads incoming invoices and payment confirmations from the connected inbox and suggests auto-recording them in Books. The user approves before any record is created.</w:t>
      </w:r>
    </w:p>
    <w:p>
      <w:pPr>
        <w:pStyle w:val="ListParagraph"/>
        <w:numPr>
          <w:ilvl w:val="0"/>
          <w:numId w:val="2"/>
        </w:numPr>
        <w:spacing w:after="60" w:before="60"/>
      </w:pPr>
      <w:r>
        <w:rPr>
          <w:rFonts w:ascii="Arial" w:cs="Arial" w:eastAsia="Arial" w:hAnsi="Arial"/>
          <w:color w:val="333333"/>
          <w:sz w:val="22"/>
          <w:szCs w:val="22"/>
        </w:rPr>
        <w:t xml:space="preserve">WhatsApp — Two-way integration. Receive notifications, send messages, process OCR images, and interact with the AI assistant — all via the business’s existing WhatsApp number. See WhatsApp Integration detail screen spec below.</w:t>
      </w:r>
    </w:p>
    <w:p>
      <w:pPr>
        <w:pStyle w:val="ListParagraph"/>
        <w:numPr>
          <w:ilvl w:val="0"/>
          <w:numId w:val="2"/>
        </w:numPr>
        <w:spacing w:after="60" w:before="60"/>
      </w:pPr>
      <w:r>
        <w:rPr>
          <w:rFonts w:ascii="Arial" w:cs="Arial" w:eastAsia="Arial" w:hAnsi="Arial"/>
          <w:color w:val="333333"/>
          <w:sz w:val="22"/>
          <w:szCs w:val="22"/>
        </w:rPr>
        <w:t xml:space="preserve">Tax Authorities — Direct API connection to the Nigeria Revenue Service (NRS) for automated e-filing. State-level connections to LIRS, RIRS, and FCT-IRS as they are activated.</w:t>
      </w:r>
    </w:p>
    <w:p>
      <w:pPr>
        <w:spacing w:after="100" w:before="240"/>
      </w:pPr>
      <w:r>
        <w:rPr>
          <w:rFonts w:ascii="Arial" w:cs="Arial" w:eastAsia="Arial" w:hAnsi="Arial"/>
          <w:b/>
          <w:bCs/>
          <w:color w:val="2C2C2C"/>
          <w:sz w:val="24"/>
          <w:szCs w:val="24"/>
        </w:rPr>
        <w:t xml:space="preserve">Integration Card Design</w:t>
      </w:r>
    </w:p>
    <w:p>
      <w:pPr>
        <w:spacing w:after="120" w:before="80"/>
      </w:pPr>
      <w:r>
        <w:rPr>
          <w:rFonts w:ascii="Arial" w:cs="Arial" w:eastAsia="Arial" w:hAnsi="Arial"/>
          <w:color w:val="333333"/>
          <w:sz w:val="22"/>
          <w:szCs w:val="22"/>
        </w:rPr>
        <w:t xml:space="preserve">Each integration is displayed as a card with: platform logo, platform name, one-line description of what connecting it enables, a connection status indicator (Connected / Not Connected / Error / Syncing), and a Connect or Manage button. Error state cards are visually distinct with a red or amber border and a short error message with a Retry option.</w:t>
      </w:r>
    </w:p>
    <w:p>
      <w:pPr>
        <w:spacing w:after="100" w:before="240"/>
      </w:pPr>
      <w:r>
        <w:rPr>
          <w:rFonts w:ascii="Arial" w:cs="Arial" w:eastAsia="Arial" w:hAnsi="Arial"/>
          <w:b/>
          <w:bCs/>
          <w:color w:val="2C2C2C"/>
          <w:sz w:val="24"/>
          <w:szCs w:val="24"/>
        </w:rPr>
        <w:t xml:space="preserve">WhatsApp Integration Detail Screen</w:t>
      </w:r>
    </w:p>
    <w:p>
      <w:pPr>
        <w:spacing w:after="120" w:before="80"/>
      </w:pPr>
      <w:r>
        <w:rPr>
          <w:rFonts w:ascii="Arial" w:cs="Arial" w:eastAsia="Arial" w:hAnsi="Arial"/>
          <w:color w:val="333333"/>
          <w:sz w:val="22"/>
          <w:szCs w:val="22"/>
        </w:rPr>
        <w:t xml:space="preserve">The WhatsApp integration has its own detailed settings screen. Elements:</w:t>
      </w:r>
    </w:p>
    <w:p>
      <w:pPr>
        <w:pStyle w:val="ListParagraph"/>
        <w:numPr>
          <w:ilvl w:val="0"/>
          <w:numId w:val="2"/>
        </w:numPr>
        <w:spacing w:after="60" w:before="60"/>
      </w:pPr>
      <w:r>
        <w:rPr>
          <w:rFonts w:ascii="Arial" w:cs="Arial" w:eastAsia="Arial" w:hAnsi="Arial"/>
          <w:color w:val="333333"/>
          <w:sz w:val="22"/>
          <w:szCs w:val="22"/>
        </w:rPr>
        <w:t xml:space="preserve">Connection status — linked phone number, connection date, last activity</w:t>
      </w:r>
    </w:p>
    <w:p>
      <w:pPr>
        <w:pStyle w:val="ListParagraph"/>
        <w:numPr>
          <w:ilvl w:val="0"/>
          <w:numId w:val="2"/>
        </w:numPr>
        <w:spacing w:after="60" w:before="60"/>
      </w:pPr>
      <w:r>
        <w:rPr>
          <w:rFonts w:ascii="Arial" w:cs="Arial" w:eastAsia="Arial" w:hAnsi="Arial"/>
          <w:color w:val="333333"/>
          <w:sz w:val="22"/>
          <w:szCs w:val="22"/>
        </w:rPr>
        <w:t xml:space="preserve">Notification toggles — per-event on/off controls: Payment Received, Invoice Overdue, Tax Deadline Reminder, Compliance Score Change, Filing Ready for Approval, Anomaly Detected</w:t>
      </w:r>
    </w:p>
    <w:p>
      <w:pPr>
        <w:pStyle w:val="ListParagraph"/>
        <w:numPr>
          <w:ilvl w:val="0"/>
          <w:numId w:val="2"/>
        </w:numPr>
        <w:spacing w:after="60" w:before="60"/>
      </w:pPr>
      <w:r>
        <w:rPr>
          <w:rFonts w:ascii="Arial" w:cs="Arial" w:eastAsia="Arial" w:hAnsi="Arial"/>
          <w:color w:val="333333"/>
          <w:sz w:val="22"/>
          <w:szCs w:val="22"/>
        </w:rPr>
        <w:t xml:space="preserve">OCR settings — toggle for auto-processing images sent to the Taaxbro WhatsApp number vs. manual review queue. Option to set whether OCR images default to Record mode or Verify mode.</w:t>
      </w:r>
    </w:p>
    <w:p>
      <w:pPr>
        <w:pStyle w:val="ListParagraph"/>
        <w:numPr>
          <w:ilvl w:val="0"/>
          <w:numId w:val="2"/>
        </w:numPr>
        <w:spacing w:after="60" w:before="60"/>
      </w:pPr>
      <w:r>
        <w:rPr>
          <w:rFonts w:ascii="Arial" w:cs="Arial" w:eastAsia="Arial" w:hAnsi="Arial"/>
          <w:color w:val="333333"/>
          <w:sz w:val="22"/>
          <w:szCs w:val="22"/>
        </w:rPr>
        <w:t xml:space="preserve">Message log — a recent history of messages sent and received through the integration</w:t>
      </w:r>
    </w:p>
    <w:p>
      <w:pPr>
        <w:pStyle w:val="ListParagraph"/>
        <w:numPr>
          <w:ilvl w:val="0"/>
          <w:numId w:val="2"/>
        </w:numPr>
        <w:spacing w:after="60" w:before="60"/>
      </w:pPr>
      <w:r>
        <w:rPr>
          <w:rFonts w:ascii="Arial" w:cs="Arial" w:eastAsia="Arial" w:hAnsi="Arial"/>
          <w:color w:val="333333"/>
          <w:sz w:val="22"/>
          <w:szCs w:val="22"/>
        </w:rPr>
        <w:t xml:space="preserve">Disconnect option with a confirmation dialog</w:t>
      </w:r>
    </w:p>
    <w:p>
      <w:pPr>
        <w:spacing w:after="100" w:before="240"/>
      </w:pPr>
      <w:r>
        <w:rPr>
          <w:rFonts w:ascii="Arial" w:cs="Arial" w:eastAsia="Arial" w:hAnsi="Arial"/>
          <w:b/>
          <w:bCs/>
          <w:color w:val="2C2C2C"/>
          <w:sz w:val="24"/>
          <w:szCs w:val="24"/>
        </w:rPr>
        <w:t xml:space="preserve">Integration Detail Screen (General)</w:t>
      </w:r>
    </w:p>
    <w:p>
      <w:pPr>
        <w:spacing w:after="120" w:before="80"/>
      </w:pPr>
      <w:r>
        <w:rPr>
          <w:rFonts w:ascii="Arial" w:cs="Arial" w:eastAsia="Arial" w:hAnsi="Arial"/>
          <w:color w:val="333333"/>
          <w:sz w:val="22"/>
          <w:szCs w:val="22"/>
        </w:rPr>
        <w:t xml:space="preserve">Clicking any integration card opens a detail screen: connection status and last sync time, permissions granted, sync history log, and options to disconnect or re-authenticate.</w:t>
      </w:r>
    </w:p>
    <w:p>
      <w:pPr>
        <w:pStyle w:val="Heading2"/>
        <w:spacing w:after="160" w:before="320"/>
      </w:pPr>
      <w:r>
        <w:rPr>
          <w:rFonts w:ascii="Arial" w:cs="Arial" w:eastAsia="Arial" w:hAnsi="Arial"/>
          <w:b/>
          <w:bCs/>
          <w:color w:val="222222"/>
          <w:sz w:val="28"/>
          <w:szCs w:val="28"/>
        </w:rPr>
        <w:t xml:space="preserve">5.8 Settings</w:t>
      </w:r>
    </w:p>
    <w:p>
      <w:pPr>
        <w:pStyle w:val="ListParagraph"/>
        <w:numPr>
          <w:ilvl w:val="0"/>
          <w:numId w:val="2"/>
        </w:numPr>
        <w:spacing w:after="60" w:before="60"/>
      </w:pPr>
      <w:r>
        <w:rPr>
          <w:rFonts w:ascii="Arial" w:cs="Arial" w:eastAsia="Arial" w:hAnsi="Arial"/>
          <w:color w:val="333333"/>
          <w:sz w:val="22"/>
          <w:szCs w:val="22"/>
        </w:rPr>
        <w:t xml:space="preserve">Profile &amp; Business Details — editable business name, address, TIN, NIN (for freelancers), logo upload</w:t>
      </w:r>
    </w:p>
    <w:p>
      <w:pPr>
        <w:pStyle w:val="ListParagraph"/>
        <w:numPr>
          <w:ilvl w:val="0"/>
          <w:numId w:val="2"/>
        </w:numPr>
        <w:spacing w:after="60" w:before="60"/>
      </w:pPr>
      <w:r>
        <w:rPr>
          <w:rFonts w:ascii="Arial" w:cs="Arial" w:eastAsia="Arial" w:hAnsi="Arial"/>
          <w:color w:val="333333"/>
          <w:sz w:val="22"/>
          <w:szCs w:val="22"/>
        </w:rPr>
        <w:t xml:space="preserve">Display Mode — three-option toggle: Light Mode, Dark Mode, Warm Mode. Light is default. See Section 8 for full display mode specification.</w:t>
      </w:r>
    </w:p>
    <w:p>
      <w:pPr>
        <w:pStyle w:val="ListParagraph"/>
        <w:numPr>
          <w:ilvl w:val="0"/>
          <w:numId w:val="2"/>
        </w:numPr>
        <w:spacing w:after="60" w:before="60"/>
      </w:pPr>
      <w:r>
        <w:rPr>
          <w:rFonts w:ascii="Arial" w:cs="Arial" w:eastAsia="Arial" w:hAnsi="Arial"/>
          <w:color w:val="333333"/>
          <w:sz w:val="22"/>
          <w:szCs w:val="22"/>
        </w:rPr>
        <w:t xml:space="preserve">Team &amp; Access — invite team members, assign roles (Admin, Accountant, Viewer). See Section 9 for role-based access notes.</w:t>
      </w:r>
    </w:p>
    <w:p>
      <w:pPr>
        <w:pStyle w:val="ListParagraph"/>
        <w:numPr>
          <w:ilvl w:val="0"/>
          <w:numId w:val="2"/>
        </w:numPr>
        <w:spacing w:after="60" w:before="60"/>
      </w:pPr>
      <w:r>
        <w:rPr>
          <w:rFonts w:ascii="Arial" w:cs="Arial" w:eastAsia="Arial" w:hAnsi="Arial"/>
          <w:color w:val="333333"/>
          <w:sz w:val="22"/>
          <w:szCs w:val="22"/>
        </w:rPr>
        <w:t xml:space="preserve">Integrations — shortcut to the Integrations module</w:t>
      </w:r>
    </w:p>
    <w:p>
      <w:pPr>
        <w:pStyle w:val="ListParagraph"/>
        <w:numPr>
          <w:ilvl w:val="0"/>
          <w:numId w:val="2"/>
        </w:numPr>
        <w:spacing w:after="60" w:before="60"/>
      </w:pPr>
      <w:r>
        <w:rPr>
          <w:rFonts w:ascii="Arial" w:cs="Arial" w:eastAsia="Arial" w:hAnsi="Arial"/>
          <w:color w:val="333333"/>
          <w:sz w:val="22"/>
          <w:szCs w:val="22"/>
        </w:rPr>
        <w:t xml:space="preserve">Notifications — configure which alerts to receive and via which channels: in-app, email, WhatsApp, SMS</w:t>
      </w:r>
    </w:p>
    <w:p>
      <w:pPr>
        <w:pStyle w:val="ListParagraph"/>
        <w:numPr>
          <w:ilvl w:val="0"/>
          <w:numId w:val="2"/>
        </w:numPr>
        <w:spacing w:after="60" w:before="60"/>
      </w:pPr>
      <w:r>
        <w:rPr>
          <w:rFonts w:ascii="Arial" w:cs="Arial" w:eastAsia="Arial" w:hAnsi="Arial"/>
          <w:color w:val="333333"/>
          <w:sz w:val="22"/>
          <w:szCs w:val="22"/>
        </w:rPr>
        <w:t xml:space="preserve">Tax Automation Preferences — per-tax-type filing preparation toggles (separate from the approval step, which is always required)</w:t>
      </w:r>
    </w:p>
    <w:p>
      <w:pPr>
        <w:pStyle w:val="ListParagraph"/>
        <w:numPr>
          <w:ilvl w:val="0"/>
          <w:numId w:val="2"/>
        </w:numPr>
        <w:spacing w:after="60" w:before="60"/>
      </w:pPr>
      <w:r>
        <w:rPr>
          <w:rFonts w:ascii="Arial" w:cs="Arial" w:eastAsia="Arial" w:hAnsi="Arial"/>
          <w:color w:val="333333"/>
          <w:sz w:val="22"/>
          <w:szCs w:val="22"/>
        </w:rPr>
        <w:t xml:space="preserve">Billing &amp; Subscription — current plan, usage, payment method, invoice history</w:t>
      </w:r>
    </w:p>
    <w:p>
      <w:pPr>
        <w:pStyle w:val="ListParagraph"/>
        <w:numPr>
          <w:ilvl w:val="0"/>
          <w:numId w:val="2"/>
        </w:numPr>
        <w:spacing w:after="60" w:before="60"/>
      </w:pPr>
      <w:r>
        <w:rPr>
          <w:rFonts w:ascii="Arial" w:cs="Arial" w:eastAsia="Arial" w:hAnsi="Arial"/>
          <w:color w:val="333333"/>
          <w:sz w:val="22"/>
          <w:szCs w:val="22"/>
        </w:rPr>
        <w:t xml:space="preserve">Security — password change, two-factor authentication, active sessions management</w:t>
      </w:r>
    </w:p>
    <w:p>
      <w:pPr>
        <w:pStyle w:val="Heading2"/>
        <w:spacing w:after="160" w:before="320"/>
      </w:pPr>
      <w:r>
        <w:rPr>
          <w:rFonts w:ascii="Arial" w:cs="Arial" w:eastAsia="Arial" w:hAnsi="Arial"/>
          <w:b/>
          <w:bCs/>
          <w:color w:val="222222"/>
          <w:sz w:val="28"/>
          <w:szCs w:val="28"/>
        </w:rPr>
        <w:t xml:space="preserve">5.9 Notifications Centre</w:t>
      </w:r>
    </w:p>
    <w:p>
      <w:pPr>
        <w:spacing w:after="120" w:before="80"/>
      </w:pPr>
      <w:r>
        <w:rPr>
          <w:rFonts w:ascii="Arial" w:cs="Arial" w:eastAsia="Arial" w:hAnsi="Arial"/>
          <w:color w:val="333333"/>
          <w:sz w:val="22"/>
          <w:szCs w:val="22"/>
        </w:rPr>
        <w:t xml:space="preserve">A dedicated screen for all platform alerts. Filterable by: unread, payment events, tax events, compliance events, and system messages. Each notification shows the event type icon, a description, a timestamp, and an action link. Bulk mark-as-read and delete options. The notification bell in the navigation bar shows an unread count badge.</w:t>
      </w:r>
    </w:p>
    <w:p>
      <w:pPr>
        <w:pStyle w:val="Heading2"/>
        <w:spacing w:after="160" w:before="320"/>
      </w:pPr>
      <w:r>
        <w:rPr>
          <w:rFonts w:ascii="Arial" w:cs="Arial" w:eastAsia="Arial" w:hAnsi="Arial"/>
          <w:b/>
          <w:bCs/>
          <w:color w:val="222222"/>
          <w:sz w:val="28"/>
          <w:szCs w:val="28"/>
        </w:rPr>
        <w:t xml:space="preserve">5.10 In-App Support — Help Centre &amp; Ticket Creation</w:t>
      </w:r>
    </w:p>
    <w:p>
      <w:pPr>
        <w:pStyle w:val="ListParagraph"/>
        <w:numPr>
          <w:ilvl w:val="0"/>
          <w:numId w:val="2"/>
        </w:numPr>
        <w:spacing w:after="60" w:before="60"/>
      </w:pPr>
      <w:r>
        <w:rPr>
          <w:rFonts w:ascii="Arial" w:cs="Arial" w:eastAsia="Arial" w:hAnsi="Arial"/>
          <w:color w:val="333333"/>
          <w:sz w:val="22"/>
          <w:szCs w:val="22"/>
        </w:rPr>
        <w:t xml:space="preserve">Help Centre home — searchable knowledge base with articles grouped by module</w:t>
      </w:r>
    </w:p>
    <w:p>
      <w:pPr>
        <w:pStyle w:val="ListParagraph"/>
        <w:numPr>
          <w:ilvl w:val="0"/>
          <w:numId w:val="2"/>
        </w:numPr>
        <w:spacing w:after="60" w:before="60"/>
      </w:pPr>
      <w:r>
        <w:rPr>
          <w:rFonts w:ascii="Arial" w:cs="Arial" w:eastAsia="Arial" w:hAnsi="Arial"/>
          <w:color w:val="333333"/>
          <w:sz w:val="22"/>
          <w:szCs w:val="22"/>
        </w:rPr>
        <w:t xml:space="preserve">Article view — single article with breadcrumb, body content, and related articles</w:t>
      </w:r>
    </w:p>
    <w:p>
      <w:pPr>
        <w:pStyle w:val="ListParagraph"/>
        <w:numPr>
          <w:ilvl w:val="0"/>
          <w:numId w:val="2"/>
        </w:numPr>
        <w:spacing w:after="60" w:before="60"/>
      </w:pPr>
      <w:r>
        <w:rPr>
          <w:rFonts w:ascii="Arial" w:cs="Arial" w:eastAsia="Arial" w:hAnsi="Arial"/>
          <w:color w:val="333333"/>
          <w:sz w:val="22"/>
          <w:szCs w:val="22"/>
        </w:rPr>
        <w:t xml:space="preserve">Create Support Ticket — fields: subject, module affected (dropdown), description, file attachment. On submission, ticket created in CRM and user receives confirmation with reference number.</w:t>
      </w:r>
    </w:p>
    <w:p>
      <w:pPr>
        <w:pStyle w:val="ListParagraph"/>
        <w:numPr>
          <w:ilvl w:val="0"/>
          <w:numId w:val="2"/>
        </w:numPr>
        <w:spacing w:after="60" w:before="60"/>
      </w:pPr>
      <w:r>
        <w:rPr>
          <w:rFonts w:ascii="Arial" w:cs="Arial" w:eastAsia="Arial" w:hAnsi="Arial"/>
          <w:color w:val="333333"/>
          <w:sz w:val="22"/>
          <w:szCs w:val="22"/>
        </w:rPr>
        <w:t xml:space="preserve">My Tickets — list of open and resolved tickets with status indicators</w:t>
      </w:r>
    </w:p>
    <w:p>
      <w:pPr>
        <w:pStyle w:val="ListParagraph"/>
        <w:numPr>
          <w:ilvl w:val="0"/>
          <w:numId w:val="2"/>
        </w:numPr>
        <w:spacing w:after="60" w:before="60"/>
      </w:pPr>
      <w:r>
        <w:rPr>
          <w:rFonts w:ascii="Arial" w:cs="Arial" w:eastAsia="Arial" w:hAnsi="Arial"/>
          <w:color w:val="333333"/>
          <w:sz w:val="22"/>
          <w:szCs w:val="22"/>
        </w:rPr>
        <w:t xml:space="preserve">Ticket Detail — full conversation thread, messages from both sides, file attachments</w:t>
      </w:r>
    </w:p>
    <w:p>
      <w:pPr>
        <w:pBdr>
          <w:bottom w:val="single" w:color="DDDDDD" w:sz="4" w:space="1"/>
        </w:pBdr>
        <w:spacing w:after="240" w:before="240"/>
      </w:pPr>
    </w:p>
    <w:p>
      <w:r>
        <w:br w:type="page"/>
      </w:r>
    </w:p>
    <w:p>
      <w:pPr>
        <w:pStyle w:val="Heading1"/>
        <w:spacing w:after="200" w:before="480"/>
      </w:pPr>
      <w:r>
        <w:rPr>
          <w:rFonts w:ascii="Arial" w:cs="Arial" w:eastAsia="Arial" w:hAnsi="Arial"/>
          <w:b/>
          <w:bCs/>
          <w:color w:val="111111"/>
          <w:sz w:val="36"/>
          <w:szCs w:val="36"/>
        </w:rPr>
        <w:t xml:space="preserve">6. Accountant Portal — accountant.taaxbro.com</w:t>
      </w:r>
    </w:p>
    <w:p>
      <w:pPr>
        <w:spacing w:after="120" w:before="80"/>
      </w:pPr>
      <w:r>
        <w:rPr>
          <w:rFonts w:ascii="Arial" w:cs="Arial" w:eastAsia="Arial" w:hAnsi="Arial"/>
          <w:color w:val="333333"/>
          <w:sz w:val="22"/>
          <w:szCs w:val="22"/>
        </w:rPr>
        <w:t xml:space="preserve">The Accountant Portal is a separate multi-tenant surface for tax professionals managing multiple client businesses. It is not accessible to regular business users. It lives on its own subdomain, has its own authentication system, and is purpose-built for density, bulk actions, and multi-client management. Think of this as a professional-grade command centre — the equivalent of a Bloomberg terminal for Nigerian tax compliance.</w:t>
      </w:r>
    </w:p>
    <w:p>
      <w:pPr>
        <w:spacing w:after="120" w:before="80"/>
      </w:pPr>
      <w:r>
        <w:rPr>
          <w:rFonts w:ascii="Arial" w:cs="Arial" w:eastAsia="Arial" w:hAnsi="Arial"/>
          <w:color w:val="333333"/>
          <w:sz w:val="22"/>
          <w:szCs w:val="22"/>
        </w:rPr>
        <w:t xml:space="preserve">The visual language is shared with the main app but the UX priorities are different: accountants need information density over simplicity, bulk actions over guided flows, and the ability to context-switch between clients without losing their place.</w:t>
      </w:r>
    </w:p>
    <w:p>
      <w:pPr>
        <w:pStyle w:val="Heading2"/>
        <w:spacing w:after="160" w:before="320"/>
      </w:pPr>
      <w:r>
        <w:rPr>
          <w:rFonts w:ascii="Arial" w:cs="Arial" w:eastAsia="Arial" w:hAnsi="Arial"/>
          <w:b/>
          <w:bCs/>
          <w:color w:val="222222"/>
          <w:sz w:val="28"/>
          <w:szCs w:val="28"/>
        </w:rPr>
        <w:t xml:space="preserve">6.1 Accountant Login</w:t>
      </w:r>
    </w:p>
    <w:p>
      <w:pPr>
        <w:spacing w:after="120" w:before="80"/>
      </w:pPr>
      <w:r>
        <w:rPr>
          <w:rFonts w:ascii="Arial" w:cs="Arial" w:eastAsia="Arial" w:hAnsi="Arial"/>
          <w:color w:val="333333"/>
          <w:sz w:val="22"/>
          <w:szCs w:val="22"/>
        </w:rPr>
        <w:t xml:space="preserve">A standalone login page at accountant.taaxbro.com. Visually distinct from the standard user login — it signals that this is a professional tool. Email and password followed by a mandatory MFA step. A “Request Access” link for new accountants who have not yet been invited to the portal.</w:t>
      </w:r>
    </w:p>
    <w:p>
      <w:pPr>
        <w:pStyle w:val="Heading2"/>
        <w:spacing w:after="160" w:before="320"/>
      </w:pPr>
      <w:r>
        <w:rPr>
          <w:rFonts w:ascii="Arial" w:cs="Arial" w:eastAsia="Arial" w:hAnsi="Arial"/>
          <w:b/>
          <w:bCs/>
          <w:color w:val="222222"/>
          <w:sz w:val="28"/>
          <w:szCs w:val="28"/>
        </w:rPr>
        <w:t xml:space="preserve">6.2 Accountant Overview Dashboard</w:t>
      </w:r>
    </w:p>
    <w:p>
      <w:pPr>
        <w:spacing w:after="120" w:before="80"/>
      </w:pPr>
      <w:r>
        <w:rPr>
          <w:rFonts w:ascii="Arial" w:cs="Arial" w:eastAsia="Arial" w:hAnsi="Arial"/>
          <w:color w:val="333333"/>
          <w:sz w:val="22"/>
          <w:szCs w:val="22"/>
        </w:rPr>
        <w:t xml:space="preserve">The first screen after login. All clients, all compliance states, all urgent items — visible at once. The design must be information-dense without being chaotic.</w:t>
      </w:r>
    </w:p>
    <w:p>
      <w:pPr>
        <w:pStyle w:val="ListParagraph"/>
        <w:numPr>
          <w:ilvl w:val="0"/>
          <w:numId w:val="2"/>
        </w:numPr>
        <w:spacing w:after="60" w:before="60"/>
      </w:pPr>
      <w:r>
        <w:rPr>
          <w:rFonts w:ascii="Arial" w:cs="Arial" w:eastAsia="Arial" w:hAnsi="Arial"/>
          <w:color w:val="333333"/>
          <w:sz w:val="22"/>
          <w:szCs w:val="22"/>
        </w:rPr>
        <w:t xml:space="preserve">Client list panel — all managed client businesses shown in a compact table or card grid, each showing: business name, compliance score (colour-coded), next deadline, filing status, and a quick-action button</w:t>
      </w:r>
    </w:p>
    <w:p>
      <w:pPr>
        <w:pStyle w:val="ListParagraph"/>
        <w:numPr>
          <w:ilvl w:val="0"/>
          <w:numId w:val="2"/>
        </w:numPr>
        <w:spacing w:after="60" w:before="60"/>
      </w:pPr>
      <w:r>
        <w:rPr>
          <w:rFonts w:ascii="Arial" w:cs="Arial" w:eastAsia="Arial" w:hAnsi="Arial"/>
          <w:color w:val="333333"/>
          <w:sz w:val="22"/>
          <w:szCs w:val="22"/>
        </w:rPr>
        <w:t xml:space="preserve">Urgent items strip — a prioritised list of actions required across all clients: returns due within 7 days, overdue filings, anomalies flagged, approvals waiting</w:t>
      </w:r>
    </w:p>
    <w:p>
      <w:pPr>
        <w:pStyle w:val="ListParagraph"/>
        <w:numPr>
          <w:ilvl w:val="0"/>
          <w:numId w:val="2"/>
        </w:numPr>
        <w:spacing w:after="60" w:before="60"/>
      </w:pPr>
      <w:r>
        <w:rPr>
          <w:rFonts w:ascii="Arial" w:cs="Arial" w:eastAsia="Arial" w:hAnsi="Arial"/>
          <w:color w:val="333333"/>
          <w:sz w:val="22"/>
          <w:szCs w:val="22"/>
        </w:rPr>
        <w:t xml:space="preserve">Portfolio compliance score — an aggregate score across all managed clients shown as a single number or bar to give the accountant a quick sense of their portfolio health</w:t>
      </w:r>
    </w:p>
    <w:p>
      <w:pPr>
        <w:pStyle w:val="ListParagraph"/>
        <w:numPr>
          <w:ilvl w:val="0"/>
          <w:numId w:val="2"/>
        </w:numPr>
        <w:spacing w:after="60" w:before="60"/>
      </w:pPr>
      <w:r>
        <w:rPr>
          <w:rFonts w:ascii="Arial" w:cs="Arial" w:eastAsia="Arial" w:hAnsi="Arial"/>
          <w:color w:val="333333"/>
          <w:sz w:val="22"/>
          <w:szCs w:val="22"/>
        </w:rPr>
        <w:t xml:space="preserve">Recent activity feed — a log of significant events across all clients in the past 48 hours</w:t>
      </w:r>
    </w:p>
    <w:p>
      <w:pPr>
        <w:pStyle w:val="Heading2"/>
        <w:spacing w:after="160" w:before="320"/>
      </w:pPr>
      <w:r>
        <w:rPr>
          <w:rFonts w:ascii="Arial" w:cs="Arial" w:eastAsia="Arial" w:hAnsi="Arial"/>
          <w:b/>
          <w:bCs/>
          <w:color w:val="222222"/>
          <w:sz w:val="28"/>
          <w:szCs w:val="28"/>
        </w:rPr>
        <w:t xml:space="preserve">6.3 Client Directory</w:t>
      </w:r>
    </w:p>
    <w:p>
      <w:pPr>
        <w:spacing w:after="120" w:before="80"/>
      </w:pPr>
      <w:r>
        <w:rPr>
          <w:rFonts w:ascii="Arial" w:cs="Arial" w:eastAsia="Arial" w:hAnsi="Arial"/>
          <w:color w:val="333333"/>
          <w:sz w:val="22"/>
          <w:szCs w:val="22"/>
        </w:rPr>
        <w:t xml:space="preserve">A searchable, sortable list of all client businesses. Columns: business name, TIN, subscription plan, compliance score, next deadline, last filing, and status. Filters: compliance score range, upcoming deadline, plan tier, and state of operation. An “Add New Client” button opens the client onboarding flow.</w:t>
      </w:r>
    </w:p>
    <w:p>
      <w:pPr>
        <w:pStyle w:val="Heading2"/>
        <w:spacing w:after="160" w:before="320"/>
      </w:pPr>
      <w:r>
        <w:rPr>
          <w:rFonts w:ascii="Arial" w:cs="Arial" w:eastAsia="Arial" w:hAnsi="Arial"/>
          <w:b/>
          <w:bCs/>
          <w:color w:val="222222"/>
          <w:sz w:val="28"/>
          <w:szCs w:val="28"/>
        </w:rPr>
        <w:t xml:space="preserve">6.4 Client Detail View</w:t>
      </w:r>
    </w:p>
    <w:p>
      <w:pPr>
        <w:spacing w:after="120" w:before="80"/>
      </w:pPr>
      <w:r>
        <w:rPr>
          <w:rFonts w:ascii="Arial" w:cs="Arial" w:eastAsia="Arial" w:hAnsi="Arial"/>
          <w:color w:val="333333"/>
          <w:sz w:val="22"/>
          <w:szCs w:val="22"/>
        </w:rPr>
        <w:t xml:space="preserve">Clicking a client opens their full profile within the portal. This is the accountant’s view of a client’s entire Taaxbro account. Sections:</w:t>
      </w:r>
    </w:p>
    <w:p>
      <w:pPr>
        <w:pStyle w:val="ListParagraph"/>
        <w:numPr>
          <w:ilvl w:val="0"/>
          <w:numId w:val="2"/>
        </w:numPr>
        <w:spacing w:after="60" w:before="60"/>
      </w:pPr>
      <w:r>
        <w:rPr>
          <w:rFonts w:ascii="Arial" w:cs="Arial" w:eastAsia="Arial" w:hAnsi="Arial"/>
          <w:color w:val="333333"/>
          <w:sz w:val="22"/>
          <w:szCs w:val="22"/>
        </w:rPr>
        <w:t xml:space="preserve">Business information — name, TIN, industry, state, registration date</w:t>
      </w:r>
    </w:p>
    <w:p>
      <w:pPr>
        <w:pStyle w:val="ListParagraph"/>
        <w:numPr>
          <w:ilvl w:val="0"/>
          <w:numId w:val="2"/>
        </w:numPr>
        <w:spacing w:after="60" w:before="60"/>
      </w:pPr>
      <w:r>
        <w:rPr>
          <w:rFonts w:ascii="Arial" w:cs="Arial" w:eastAsia="Arial" w:hAnsi="Arial"/>
          <w:color w:val="333333"/>
          <w:sz w:val="22"/>
          <w:szCs w:val="22"/>
        </w:rPr>
        <w:t xml:space="preserve">Compliance Score — current score, trend chart, open anomalies</w:t>
      </w:r>
    </w:p>
    <w:p>
      <w:pPr>
        <w:pStyle w:val="ListParagraph"/>
        <w:numPr>
          <w:ilvl w:val="0"/>
          <w:numId w:val="2"/>
        </w:numPr>
        <w:spacing w:after="60" w:before="60"/>
      </w:pPr>
      <w:r>
        <w:rPr>
          <w:rFonts w:ascii="Arial" w:cs="Arial" w:eastAsia="Arial" w:hAnsi="Arial"/>
          <w:color w:val="333333"/>
          <w:sz w:val="22"/>
          <w:szCs w:val="22"/>
        </w:rPr>
        <w:t xml:space="preserve">Tax Filing Hub — all active tax obligations, next deadlines, filing status per tax type</w:t>
      </w:r>
    </w:p>
    <w:p>
      <w:pPr>
        <w:pStyle w:val="ListParagraph"/>
        <w:numPr>
          <w:ilvl w:val="0"/>
          <w:numId w:val="2"/>
        </w:numPr>
        <w:spacing w:after="60" w:before="60"/>
      </w:pPr>
      <w:r>
        <w:rPr>
          <w:rFonts w:ascii="Arial" w:cs="Arial" w:eastAsia="Arial" w:hAnsi="Arial"/>
          <w:color w:val="333333"/>
          <w:sz w:val="22"/>
          <w:szCs w:val="22"/>
        </w:rPr>
        <w:t xml:space="preserve">Filing History — complete log of all past filings with status</w:t>
      </w:r>
    </w:p>
    <w:p>
      <w:pPr>
        <w:pStyle w:val="ListParagraph"/>
        <w:numPr>
          <w:ilvl w:val="0"/>
          <w:numId w:val="2"/>
        </w:numPr>
        <w:spacing w:after="60" w:before="60"/>
      </w:pPr>
      <w:r>
        <w:rPr>
          <w:rFonts w:ascii="Arial" w:cs="Arial" w:eastAsia="Arial" w:hAnsi="Arial"/>
          <w:color w:val="333333"/>
          <w:sz w:val="22"/>
          <w:szCs w:val="22"/>
        </w:rPr>
        <w:t xml:space="preserve">Books Summary — revenue, expenses, and net profit for the current period</w:t>
      </w:r>
    </w:p>
    <w:p>
      <w:pPr>
        <w:pStyle w:val="ListParagraph"/>
        <w:numPr>
          <w:ilvl w:val="0"/>
          <w:numId w:val="2"/>
        </w:numPr>
        <w:spacing w:after="60" w:before="60"/>
      </w:pPr>
      <w:r>
        <w:rPr>
          <w:rFonts w:ascii="Arial" w:cs="Arial" w:eastAsia="Arial" w:hAnsi="Arial"/>
          <w:color w:val="333333"/>
          <w:sz w:val="22"/>
          <w:szCs w:val="22"/>
        </w:rPr>
        <w:t xml:space="preserve">Escrow Wallet — current balance set aside for this client’s taxes</w:t>
      </w:r>
    </w:p>
    <w:p>
      <w:pPr>
        <w:pStyle w:val="ListParagraph"/>
        <w:numPr>
          <w:ilvl w:val="0"/>
          <w:numId w:val="2"/>
        </w:numPr>
        <w:spacing w:after="60" w:before="60"/>
      </w:pPr>
      <w:r>
        <w:rPr>
          <w:rFonts w:ascii="Arial" w:cs="Arial" w:eastAsia="Arial" w:hAnsi="Arial"/>
          <w:color w:val="333333"/>
          <w:sz w:val="22"/>
          <w:szCs w:val="22"/>
        </w:rPr>
        <w:t xml:space="preserve">Activity Log — chronological record of all significant actions on this account</w:t>
      </w:r>
    </w:p>
    <w:p>
      <w:pPr>
        <w:pStyle w:val="ListParagraph"/>
        <w:numPr>
          <w:ilvl w:val="0"/>
          <w:numId w:val="2"/>
        </w:numPr>
        <w:spacing w:after="60" w:before="60"/>
      </w:pPr>
      <w:r>
        <w:rPr>
          <w:rFonts w:ascii="Arial" w:cs="Arial" w:eastAsia="Arial" w:hAnsi="Arial"/>
          <w:color w:val="333333"/>
          <w:sz w:val="22"/>
          <w:szCs w:val="22"/>
        </w:rPr>
        <w:t xml:space="preserve">Notes — internal notes visible only to the accountant, not the client</w:t>
      </w:r>
    </w:p>
    <w:p>
      <w:pPr>
        <w:pStyle w:val="Heading2"/>
        <w:spacing w:after="160" w:before="320"/>
      </w:pPr>
      <w:r>
        <w:rPr>
          <w:rFonts w:ascii="Arial" w:cs="Arial" w:eastAsia="Arial" w:hAnsi="Arial"/>
          <w:b/>
          <w:bCs/>
          <w:color w:val="222222"/>
          <w:sz w:val="28"/>
          <w:szCs w:val="28"/>
        </w:rPr>
        <w:t xml:space="preserve">6.5 Bulk Filing Interface</w:t>
      </w:r>
    </w:p>
    <w:p>
      <w:pPr>
        <w:spacing w:after="120" w:before="80"/>
      </w:pPr>
      <w:r>
        <w:rPr>
          <w:rFonts w:ascii="Arial" w:cs="Arial" w:eastAsia="Arial" w:hAnsi="Arial"/>
          <w:color w:val="333333"/>
          <w:sz w:val="22"/>
          <w:szCs w:val="22"/>
        </w:rPr>
        <w:t xml:space="preserve">The most powerful screen in the Accountant Portal. The accountant selects multiple clients, selects the tax type and period, and Taaxbro prepares all the returns simultaneously. A review step shows a condensed summary for each client before the accountant approves the batch. After approval, Taaxbro queues the submissions and shows a real-time progress tracker per client. This screen must be designed to handle large volumes without feeling overwhelming — progressive disclosure, clear status per client, and a summary at the top showing how many have been filed, how many are pending, and how many need attention.</w:t>
      </w:r>
    </w:p>
    <w:p>
      <w:pPr>
        <w:pStyle w:val="Heading2"/>
        <w:spacing w:after="160" w:before="320"/>
      </w:pPr>
      <w:r>
        <w:rPr>
          <w:rFonts w:ascii="Arial" w:cs="Arial" w:eastAsia="Arial" w:hAnsi="Arial"/>
          <w:b/>
          <w:bCs/>
          <w:color w:val="222222"/>
          <w:sz w:val="28"/>
          <w:szCs w:val="28"/>
        </w:rPr>
        <w:t xml:space="preserve">6.6 Client Onboarding</w:t>
      </w:r>
    </w:p>
    <w:p>
      <w:pPr>
        <w:spacing w:after="120" w:before="80"/>
      </w:pPr>
      <w:r>
        <w:rPr>
          <w:rFonts w:ascii="Arial" w:cs="Arial" w:eastAsia="Arial" w:hAnsi="Arial"/>
          <w:color w:val="333333"/>
          <w:sz w:val="22"/>
          <w:szCs w:val="22"/>
        </w:rPr>
        <w:t xml:space="preserve">A step-by-step flow for adding a new client to the accountant’s portfolio: enter client email or TIN, validate TIN against NRS records, invite the client to create their Taaxbro account (if they do not have one), and configure the accountant’s access level for that client. The client receives an email invitation and must approve the accountant’s access before the accountant can view or act on their account.</w:t>
      </w:r>
    </w:p>
    <w:p>
      <w:pPr>
        <w:pBdr>
          <w:bottom w:val="single" w:color="DDDDDD" w:sz="4" w:space="1"/>
        </w:pBdr>
        <w:spacing w:after="240" w:before="240"/>
      </w:pPr>
    </w:p>
    <w:p>
      <w:r>
        <w:br w:type="page"/>
      </w:r>
    </w:p>
    <w:p>
      <w:pPr>
        <w:pStyle w:val="Heading1"/>
        <w:spacing w:after="200" w:before="480"/>
      </w:pPr>
      <w:r>
        <w:rPr>
          <w:rFonts w:ascii="Arial" w:cs="Arial" w:eastAsia="Arial" w:hAnsi="Arial"/>
          <w:b/>
          <w:bCs/>
          <w:color w:val="111111"/>
          <w:sz w:val="36"/>
          <w:szCs w:val="36"/>
        </w:rPr>
        <w:t xml:space="preserve">7. Admin ERP Portal — admin.taaxbro.com</w:t>
      </w:r>
    </w:p>
    <w:p>
      <w:pPr>
        <w:spacing w:after="120" w:before="80"/>
      </w:pPr>
      <w:r>
        <w:rPr>
          <w:rFonts w:ascii="Arial" w:cs="Arial" w:eastAsia="Arial" w:hAnsi="Arial"/>
          <w:color w:val="333333"/>
          <w:sz w:val="22"/>
          <w:szCs w:val="22"/>
        </w:rPr>
        <w:t xml:space="preserve">The Admin ERP is Taaxbro’s internal operations centre. Entirely separate from all user-facing surfaces. Accessible only to the Taaxbro team via its own subdomain, server, and authentication system. No user of the public platform or the Accountant Portal can reach it.</w:t>
      </w:r>
    </w:p>
    <w:p>
      <w:pPr>
        <w:pStyle w:val="Heading2"/>
        <w:spacing w:after="160" w:before="320"/>
      </w:pPr>
      <w:r>
        <w:rPr>
          <w:rFonts w:ascii="Arial" w:cs="Arial" w:eastAsia="Arial" w:hAnsi="Arial"/>
          <w:b/>
          <w:bCs/>
          <w:color w:val="222222"/>
          <w:sz w:val="28"/>
          <w:szCs w:val="28"/>
        </w:rPr>
        <w:t xml:space="preserve">7.1 Admin Login</w:t>
      </w:r>
    </w:p>
    <w:p>
      <w:pPr>
        <w:spacing w:after="120" w:before="80"/>
      </w:pPr>
      <w:r>
        <w:rPr>
          <w:rFonts w:ascii="Arial" w:cs="Arial" w:eastAsia="Arial" w:hAnsi="Arial"/>
          <w:color w:val="333333"/>
          <w:sz w:val="22"/>
          <w:szCs w:val="22"/>
        </w:rPr>
        <w:t xml:space="preserve">Standalone login page, visually minimal and deliberately understated — no marketing copy. Email, password, then mandatory MFA (authenticator app or SMS OTP). Three failed login attempts lock the account and notify the team by email. No self-service password reset link on the login page.</w:t>
      </w:r>
    </w:p>
    <w:p>
      <w:pPr>
        <w:pStyle w:val="Heading2"/>
        <w:spacing w:after="160" w:before="320"/>
      </w:pPr>
      <w:r>
        <w:rPr>
          <w:rFonts w:ascii="Arial" w:cs="Arial" w:eastAsia="Arial" w:hAnsi="Arial"/>
          <w:b/>
          <w:bCs/>
          <w:color w:val="222222"/>
          <w:sz w:val="28"/>
          <w:szCs w:val="28"/>
        </w:rPr>
        <w:t xml:space="preserve">7.2 Admin Overview Dashboard</w:t>
      </w:r>
    </w:p>
    <w:p>
      <w:pPr>
        <w:pStyle w:val="ListParagraph"/>
        <w:numPr>
          <w:ilvl w:val="0"/>
          <w:numId w:val="2"/>
        </w:numPr>
        <w:spacing w:after="60" w:before="60"/>
      </w:pPr>
      <w:r>
        <w:rPr>
          <w:rFonts w:ascii="Arial" w:cs="Arial" w:eastAsia="Arial" w:hAnsi="Arial"/>
          <w:color w:val="333333"/>
          <w:sz w:val="22"/>
          <w:szCs w:val="22"/>
        </w:rPr>
        <w:t xml:space="preserve">Key metrics strip — total registered businesses, new signups this month, active subscribers, MRR, churn rate, total returns filed (all time), open support tickets, critical integration errors</w:t>
      </w:r>
    </w:p>
    <w:p>
      <w:pPr>
        <w:pStyle w:val="ListParagraph"/>
        <w:numPr>
          <w:ilvl w:val="0"/>
          <w:numId w:val="2"/>
        </w:numPr>
        <w:spacing w:after="60" w:before="60"/>
      </w:pPr>
      <w:r>
        <w:rPr>
          <w:rFonts w:ascii="Arial" w:cs="Arial" w:eastAsia="Arial" w:hAnsi="Arial"/>
          <w:color w:val="333333"/>
          <w:sz w:val="22"/>
          <w:szCs w:val="22"/>
        </w:rPr>
        <w:t xml:space="preserve">Charts — MRR trend (12 months), new user acquisition (weekly, 3 months), tax filing volume by type (monthly), support ticket volume (opened vs resolved, 30 days)</w:t>
      </w:r>
    </w:p>
    <w:p>
      <w:pPr>
        <w:pStyle w:val="ListParagraph"/>
        <w:numPr>
          <w:ilvl w:val="0"/>
          <w:numId w:val="2"/>
        </w:numPr>
        <w:spacing w:after="60" w:before="60"/>
      </w:pPr>
      <w:r>
        <w:rPr>
          <w:rFonts w:ascii="Arial" w:cs="Arial" w:eastAsia="Arial" w:hAnsi="Arial"/>
          <w:color w:val="333333"/>
          <w:sz w:val="22"/>
          <w:szCs w:val="22"/>
        </w:rPr>
        <w:t xml:space="preserve">Real-time activity feed — new business registrations, plan changes, large returns filed, integration errors, system alerts</w:t>
      </w:r>
    </w:p>
    <w:p>
      <w:pPr>
        <w:pStyle w:val="Heading2"/>
        <w:spacing w:after="160" w:before="320"/>
      </w:pPr>
      <w:r>
        <w:rPr>
          <w:rFonts w:ascii="Arial" w:cs="Arial" w:eastAsia="Arial" w:hAnsi="Arial"/>
          <w:b/>
          <w:bCs/>
          <w:color w:val="222222"/>
          <w:sz w:val="28"/>
          <w:szCs w:val="28"/>
        </w:rPr>
        <w:t xml:space="preserve">7.3 User Management</w:t>
      </w:r>
    </w:p>
    <w:p>
      <w:pPr>
        <w:spacing w:after="120" w:before="80"/>
      </w:pPr>
      <w:r>
        <w:rPr>
          <w:rFonts w:ascii="Arial" w:cs="Arial" w:eastAsia="Arial" w:hAnsi="Arial"/>
          <w:color w:val="333333"/>
          <w:sz w:val="22"/>
          <w:szCs w:val="22"/>
        </w:rPr>
        <w:t xml:space="preserve">Searchable, filterable directory of every registered business. Columns: business name, registration date, plan tier, subscription status, last active date, returns filed, quick-action menu. Filters: plan type, date range, subscription status, state of operation.</w:t>
      </w:r>
    </w:p>
    <w:p>
      <w:pPr>
        <w:spacing w:after="120" w:before="80"/>
      </w:pPr>
      <w:r>
        <w:rPr>
          <w:rFonts w:ascii="Arial" w:cs="Arial" w:eastAsia="Arial" w:hAnsi="Arial"/>
          <w:color w:val="333333"/>
          <w:sz w:val="22"/>
          <w:szCs w:val="22"/>
        </w:rPr>
        <w:t xml:space="preserve">User Detail View: business information, subscription history, activity log, connected integrations, tax filings, support tickets, and admin actions (upgrade/downgrade plan, suspend account, reset password, add internal note).</w:t>
      </w:r>
    </w:p>
    <w:p>
      <w:pPr>
        <w:pStyle w:val="Heading2"/>
        <w:spacing w:after="160" w:before="320"/>
      </w:pPr>
      <w:r>
        <w:rPr>
          <w:rFonts w:ascii="Arial" w:cs="Arial" w:eastAsia="Arial" w:hAnsi="Arial"/>
          <w:b/>
          <w:bCs/>
          <w:color w:val="222222"/>
          <w:sz w:val="28"/>
          <w:szCs w:val="28"/>
        </w:rPr>
        <w:t xml:space="preserve">7.4 Revenue &amp; Financials</w:t>
      </w:r>
    </w:p>
    <w:p>
      <w:pPr>
        <w:pStyle w:val="ListParagraph"/>
        <w:numPr>
          <w:ilvl w:val="0"/>
          <w:numId w:val="2"/>
        </w:numPr>
        <w:spacing w:after="60" w:before="60"/>
      </w:pPr>
      <w:r>
        <w:rPr>
          <w:rFonts w:ascii="Arial" w:cs="Arial" w:eastAsia="Arial" w:hAnsi="Arial"/>
          <w:color w:val="333333"/>
          <w:sz w:val="22"/>
          <w:szCs w:val="22"/>
        </w:rPr>
        <w:t xml:space="preserve">Revenue Overview — MRR, ARR, average revenue per user, revenue by plan tier</w:t>
      </w:r>
    </w:p>
    <w:p>
      <w:pPr>
        <w:pStyle w:val="ListParagraph"/>
        <w:numPr>
          <w:ilvl w:val="0"/>
          <w:numId w:val="2"/>
        </w:numPr>
        <w:spacing w:after="60" w:before="60"/>
      </w:pPr>
      <w:r>
        <w:rPr>
          <w:rFonts w:ascii="Arial" w:cs="Arial" w:eastAsia="Arial" w:hAnsi="Arial"/>
          <w:color w:val="333333"/>
          <w:sz w:val="22"/>
          <w:szCs w:val="22"/>
        </w:rPr>
        <w:t xml:space="preserve">Subscription Analytics — new, cancelled, upgraded, downgraded subscriptions by month</w:t>
      </w:r>
    </w:p>
    <w:p>
      <w:pPr>
        <w:pStyle w:val="ListParagraph"/>
        <w:numPr>
          <w:ilvl w:val="0"/>
          <w:numId w:val="2"/>
        </w:numPr>
        <w:spacing w:after="60" w:before="60"/>
      </w:pPr>
      <w:r>
        <w:rPr>
          <w:rFonts w:ascii="Arial" w:cs="Arial" w:eastAsia="Arial" w:hAnsi="Arial"/>
          <w:color w:val="333333"/>
          <w:sz w:val="22"/>
          <w:szCs w:val="22"/>
        </w:rPr>
        <w:t xml:space="preserve">Churn Analysis — churn rate trend and cancellation reasons</w:t>
      </w:r>
    </w:p>
    <w:p>
      <w:pPr>
        <w:pStyle w:val="ListParagraph"/>
        <w:numPr>
          <w:ilvl w:val="0"/>
          <w:numId w:val="2"/>
        </w:numPr>
        <w:spacing w:after="60" w:before="60"/>
      </w:pPr>
      <w:r>
        <w:rPr>
          <w:rFonts w:ascii="Arial" w:cs="Arial" w:eastAsia="Arial" w:hAnsi="Arial"/>
          <w:color w:val="333333"/>
          <w:sz w:val="22"/>
          <w:szCs w:val="22"/>
        </w:rPr>
        <w:t xml:space="preserve">Expenses — Taaxbro’s own operational costs: infrastructure, APIs, team</w:t>
      </w:r>
    </w:p>
    <w:p>
      <w:pPr>
        <w:pStyle w:val="ListParagraph"/>
        <w:numPr>
          <w:ilvl w:val="0"/>
          <w:numId w:val="2"/>
        </w:numPr>
        <w:spacing w:after="60" w:before="60"/>
      </w:pPr>
      <w:r>
        <w:rPr>
          <w:rFonts w:ascii="Arial" w:cs="Arial" w:eastAsia="Arial" w:hAnsi="Arial"/>
          <w:color w:val="333333"/>
          <w:sz w:val="22"/>
          <w:szCs w:val="22"/>
        </w:rPr>
        <w:t xml:space="preserve">Profit &amp; Loss — simple P&amp;L for any selected period</w:t>
      </w:r>
    </w:p>
    <w:p>
      <w:pPr>
        <w:pStyle w:val="Heading2"/>
        <w:spacing w:after="160" w:before="320"/>
      </w:pPr>
      <w:r>
        <w:rPr>
          <w:rFonts w:ascii="Arial" w:cs="Arial" w:eastAsia="Arial" w:hAnsi="Arial"/>
          <w:b/>
          <w:bCs/>
          <w:color w:val="222222"/>
          <w:sz w:val="28"/>
          <w:szCs w:val="28"/>
        </w:rPr>
        <w:t xml:space="preserve">7.5 Tax Filing Analytics</w:t>
      </w:r>
    </w:p>
    <w:p>
      <w:pPr>
        <w:pStyle w:val="ListParagraph"/>
        <w:numPr>
          <w:ilvl w:val="0"/>
          <w:numId w:val="2"/>
        </w:numPr>
        <w:spacing w:after="60" w:before="60"/>
      </w:pPr>
      <w:r>
        <w:rPr>
          <w:rFonts w:ascii="Arial" w:cs="Arial" w:eastAsia="Arial" w:hAnsi="Arial"/>
          <w:color w:val="333333"/>
          <w:sz w:val="22"/>
          <w:szCs w:val="22"/>
        </w:rPr>
        <w:t xml:space="preserve">Filing Volume — total initiated, completed, pending, failed — by tax type and period</w:t>
      </w:r>
    </w:p>
    <w:p>
      <w:pPr>
        <w:pStyle w:val="ListParagraph"/>
        <w:numPr>
          <w:ilvl w:val="0"/>
          <w:numId w:val="2"/>
        </w:numPr>
        <w:spacing w:after="60" w:before="60"/>
      </w:pPr>
      <w:r>
        <w:rPr>
          <w:rFonts w:ascii="Arial" w:cs="Arial" w:eastAsia="Arial" w:hAnsi="Arial"/>
          <w:color w:val="333333"/>
          <w:sz w:val="22"/>
          <w:szCs w:val="22"/>
        </w:rPr>
        <w:t xml:space="preserve">Success Rate Monitor — percentage completed without error, trend over time</w:t>
      </w:r>
    </w:p>
    <w:p>
      <w:pPr>
        <w:pStyle w:val="ListParagraph"/>
        <w:numPr>
          <w:ilvl w:val="0"/>
          <w:numId w:val="2"/>
        </w:numPr>
        <w:spacing w:after="60" w:before="60"/>
      </w:pPr>
      <w:r>
        <w:rPr>
          <w:rFonts w:ascii="Arial" w:cs="Arial" w:eastAsia="Arial" w:hAnsi="Arial"/>
          <w:color w:val="333333"/>
          <w:sz w:val="22"/>
          <w:szCs w:val="22"/>
        </w:rPr>
        <w:t xml:space="preserve">Error Log — failed filing attempts by error type, affected user, tax type, period, and error message</w:t>
      </w:r>
    </w:p>
    <w:p>
      <w:pPr>
        <w:pStyle w:val="ListParagraph"/>
        <w:numPr>
          <w:ilvl w:val="0"/>
          <w:numId w:val="2"/>
        </w:numPr>
        <w:spacing w:after="60" w:before="60"/>
      </w:pPr>
      <w:r>
        <w:rPr>
          <w:rFonts w:ascii="Arial" w:cs="Arial" w:eastAsia="Arial" w:hAnsi="Arial"/>
          <w:color w:val="333333"/>
          <w:sz w:val="22"/>
          <w:szCs w:val="22"/>
        </w:rPr>
        <w:t xml:space="preserve">Deadline Compliance — filed on time vs late distribution</w:t>
      </w:r>
    </w:p>
    <w:p>
      <w:pPr>
        <w:pStyle w:val="ListParagraph"/>
        <w:numPr>
          <w:ilvl w:val="0"/>
          <w:numId w:val="2"/>
        </w:numPr>
        <w:spacing w:after="60" w:before="60"/>
      </w:pPr>
      <w:r>
        <w:rPr>
          <w:rFonts w:ascii="Arial" w:cs="Arial" w:eastAsia="Arial" w:hAnsi="Arial"/>
          <w:color w:val="333333"/>
          <w:sz w:val="22"/>
          <w:szCs w:val="22"/>
        </w:rPr>
        <w:t xml:space="preserve">Tax Authority Status — real-time NRS, LIRS, RIRS, FCT-IRS API connectivity</w:t>
      </w:r>
    </w:p>
    <w:p>
      <w:pPr>
        <w:pStyle w:val="Heading2"/>
        <w:spacing w:after="160" w:before="320"/>
      </w:pPr>
      <w:r>
        <w:rPr>
          <w:rFonts w:ascii="Arial" w:cs="Arial" w:eastAsia="Arial" w:hAnsi="Arial"/>
          <w:b/>
          <w:bCs/>
          <w:color w:val="222222"/>
          <w:sz w:val="28"/>
          <w:szCs w:val="28"/>
        </w:rPr>
        <w:t xml:space="preserve">7.6 Support Ticket Management</w:t>
      </w:r>
    </w:p>
    <w:p>
      <w:pPr>
        <w:spacing w:after="120" w:before="80"/>
      </w:pPr>
      <w:r>
        <w:rPr>
          <w:rFonts w:ascii="Arial" w:cs="Arial" w:eastAsia="Arial" w:hAnsi="Arial"/>
          <w:color w:val="333333"/>
          <w:sz w:val="22"/>
          <w:szCs w:val="22"/>
        </w:rPr>
        <w:t xml:space="preserve">Full CRM view of every ticket raised via the website widget, the in-app help centre, or WhatsApp. Ticket list: reference number, business name, subject, channel, status, priority, assigned agent, last update time. Ticket detail: full conversation thread, user profile panel, related tickets, internal notes, and status/priority/assignment controls.</w:t>
      </w:r>
    </w:p>
    <w:p>
      <w:pPr>
        <w:pStyle w:val="Heading2"/>
        <w:spacing w:after="160" w:before="320"/>
      </w:pPr>
      <w:r>
        <w:rPr>
          <w:rFonts w:ascii="Arial" w:cs="Arial" w:eastAsia="Arial" w:hAnsi="Arial"/>
          <w:b/>
          <w:bCs/>
          <w:color w:val="222222"/>
          <w:sz w:val="28"/>
          <w:szCs w:val="28"/>
        </w:rPr>
        <w:t xml:space="preserve">7.7 Integrations Health Monitor</w:t>
      </w:r>
    </w:p>
    <w:p>
      <w:pPr>
        <w:spacing w:after="120" w:before="80"/>
      </w:pPr>
      <w:r>
        <w:rPr>
          <w:rFonts w:ascii="Arial" w:cs="Arial" w:eastAsia="Arial" w:hAnsi="Arial"/>
          <w:color w:val="333333"/>
          <w:sz w:val="22"/>
          <w:szCs w:val="22"/>
        </w:rPr>
        <w:t xml:space="preserve">Live status of every third-party API dependency. Status board: service name, current status (Operational / Degraded / Down), last successful sync, error rate over 24 hours, link to the service’s own status page. Error log: filterable by service, error type, severity, date. Alert configuration: automated alerts when any integration goes down or error rates exceed threshold.</w:t>
      </w:r>
    </w:p>
    <w:p>
      <w:pPr>
        <w:pStyle w:val="Heading2"/>
        <w:spacing w:after="160" w:before="320"/>
      </w:pPr>
      <w:r>
        <w:rPr>
          <w:rFonts w:ascii="Arial" w:cs="Arial" w:eastAsia="Arial" w:hAnsi="Arial"/>
          <w:b/>
          <w:bCs/>
          <w:color w:val="222222"/>
          <w:sz w:val="28"/>
          <w:szCs w:val="28"/>
        </w:rPr>
        <w:t xml:space="preserve">7.8 AI System Monitor</w:t>
      </w:r>
    </w:p>
    <w:p>
      <w:pPr>
        <w:pStyle w:val="ListParagraph"/>
        <w:numPr>
          <w:ilvl w:val="0"/>
          <w:numId w:val="2"/>
        </w:numPr>
        <w:spacing w:after="60" w:before="60"/>
      </w:pPr>
      <w:r>
        <w:rPr>
          <w:rFonts w:ascii="Arial" w:cs="Arial" w:eastAsia="Arial" w:hAnsi="Arial"/>
          <w:color w:val="333333"/>
          <w:sz w:val="22"/>
          <w:szCs w:val="22"/>
        </w:rPr>
        <w:t xml:space="preserve">Usage metrics — queries per day, by channel (in-app vs WhatsApp), by user tier</w:t>
      </w:r>
    </w:p>
    <w:p>
      <w:pPr>
        <w:pStyle w:val="ListParagraph"/>
        <w:numPr>
          <w:ilvl w:val="0"/>
          <w:numId w:val="2"/>
        </w:numPr>
        <w:spacing w:after="60" w:before="60"/>
      </w:pPr>
      <w:r>
        <w:rPr>
          <w:rFonts w:ascii="Arial" w:cs="Arial" w:eastAsia="Arial" w:hAnsi="Arial"/>
          <w:color w:val="333333"/>
          <w:sz w:val="22"/>
          <w:szCs w:val="22"/>
        </w:rPr>
        <w:t xml:space="preserve">Response quality log — queries flagged as unhelpful or incorrect for review</w:t>
      </w:r>
    </w:p>
    <w:p>
      <w:pPr>
        <w:pStyle w:val="ListParagraph"/>
        <w:numPr>
          <w:ilvl w:val="0"/>
          <w:numId w:val="2"/>
        </w:numPr>
        <w:spacing w:after="60" w:before="60"/>
      </w:pPr>
      <w:r>
        <w:rPr>
          <w:rFonts w:ascii="Arial" w:cs="Arial" w:eastAsia="Arial" w:hAnsi="Arial"/>
          <w:color w:val="333333"/>
          <w:sz w:val="22"/>
          <w:szCs w:val="22"/>
        </w:rPr>
        <w:t xml:space="preserve">Latency monitor — average AI response time trend</w:t>
      </w:r>
    </w:p>
    <w:p>
      <w:pPr>
        <w:pStyle w:val="ListParagraph"/>
        <w:numPr>
          <w:ilvl w:val="0"/>
          <w:numId w:val="2"/>
        </w:numPr>
        <w:spacing w:after="60" w:before="60"/>
      </w:pPr>
      <w:r>
        <w:rPr>
          <w:rFonts w:ascii="Arial" w:cs="Arial" w:eastAsia="Arial" w:hAnsi="Arial"/>
          <w:color w:val="333333"/>
          <w:sz w:val="22"/>
          <w:szCs w:val="22"/>
        </w:rPr>
        <w:t xml:space="preserve">Cost tracker — API costs by day and month</w:t>
      </w:r>
    </w:p>
    <w:p>
      <w:pPr>
        <w:pStyle w:val="Heading2"/>
        <w:spacing w:after="160" w:before="320"/>
      </w:pPr>
      <w:r>
        <w:rPr>
          <w:rFonts w:ascii="Arial" w:cs="Arial" w:eastAsia="Arial" w:hAnsi="Arial"/>
          <w:b/>
          <w:bCs/>
          <w:color w:val="222222"/>
          <w:sz w:val="28"/>
          <w:szCs w:val="28"/>
        </w:rPr>
        <w:t xml:space="preserve">7.9 Admin Settings</w:t>
      </w:r>
    </w:p>
    <w:p>
      <w:pPr>
        <w:pStyle w:val="ListParagraph"/>
        <w:numPr>
          <w:ilvl w:val="0"/>
          <w:numId w:val="2"/>
        </w:numPr>
        <w:spacing w:after="60" w:before="60"/>
      </w:pPr>
      <w:r>
        <w:rPr>
          <w:rFonts w:ascii="Arial" w:cs="Arial" w:eastAsia="Arial" w:hAnsi="Arial"/>
          <w:color w:val="333333"/>
          <w:sz w:val="22"/>
          <w:szCs w:val="22"/>
        </w:rPr>
        <w:t xml:space="preserve">Team management — invite internal team members, assign roles (Super Admin, Support Agent, Finance Analyst, Developer)</w:t>
      </w:r>
    </w:p>
    <w:p>
      <w:pPr>
        <w:pStyle w:val="ListParagraph"/>
        <w:numPr>
          <w:ilvl w:val="0"/>
          <w:numId w:val="2"/>
        </w:numPr>
        <w:spacing w:after="60" w:before="60"/>
      </w:pPr>
      <w:r>
        <w:rPr>
          <w:rFonts w:ascii="Arial" w:cs="Arial" w:eastAsia="Arial" w:hAnsi="Arial"/>
          <w:color w:val="333333"/>
          <w:sz w:val="22"/>
          <w:szCs w:val="22"/>
        </w:rPr>
        <w:t xml:space="preserve">Audit log — every action by every admin team member with timestamp and IP address</w:t>
      </w:r>
    </w:p>
    <w:p>
      <w:pPr>
        <w:pStyle w:val="ListParagraph"/>
        <w:numPr>
          <w:ilvl w:val="0"/>
          <w:numId w:val="2"/>
        </w:numPr>
        <w:spacing w:after="60" w:before="60"/>
      </w:pPr>
      <w:r>
        <w:rPr>
          <w:rFonts w:ascii="Arial" w:cs="Arial" w:eastAsia="Arial" w:hAnsi="Arial"/>
          <w:color w:val="333333"/>
          <w:sz w:val="22"/>
          <w:szCs w:val="22"/>
        </w:rPr>
        <w:t xml:space="preserve">System configuration — global settings, feature flags, maintenance mode</w:t>
      </w:r>
    </w:p>
    <w:p>
      <w:pPr>
        <w:pStyle w:val="ListParagraph"/>
        <w:numPr>
          <w:ilvl w:val="0"/>
          <w:numId w:val="2"/>
        </w:numPr>
        <w:spacing w:after="60" w:before="60"/>
      </w:pPr>
      <w:r>
        <w:rPr>
          <w:rFonts w:ascii="Arial" w:cs="Arial" w:eastAsia="Arial" w:hAnsi="Arial"/>
          <w:color w:val="333333"/>
          <w:sz w:val="22"/>
          <w:szCs w:val="22"/>
        </w:rPr>
        <w:t xml:space="preserve">API keys &amp; credentials — platform-level API key management</w:t>
      </w:r>
    </w:p>
    <w:p>
      <w:pPr>
        <w:pBdr>
          <w:bottom w:val="single" w:color="DDDDDD" w:sz="4" w:space="1"/>
        </w:pBdr>
        <w:spacing w:after="240" w:before="240"/>
      </w:pPr>
    </w:p>
    <w:p>
      <w:r>
        <w:br w:type="page"/>
      </w:r>
    </w:p>
    <w:p>
      <w:pPr>
        <w:pStyle w:val="Heading1"/>
        <w:spacing w:after="200" w:before="480"/>
      </w:pPr>
      <w:r>
        <w:rPr>
          <w:rFonts w:ascii="Arial" w:cs="Arial" w:eastAsia="Arial" w:hAnsi="Arial"/>
          <w:b/>
          <w:bCs/>
          <w:color w:val="111111"/>
          <w:sz w:val="36"/>
          <w:szCs w:val="36"/>
        </w:rPr>
        <w:t xml:space="preserve">8. Display Modes</w:t>
      </w:r>
    </w:p>
    <w:p>
      <w:pPr>
        <w:spacing w:after="120" w:before="80"/>
      </w:pPr>
      <w:r>
        <w:rPr>
          <w:rFonts w:ascii="Arial" w:cs="Arial" w:eastAsia="Arial" w:hAnsi="Arial"/>
          <w:color w:val="333333"/>
          <w:sz w:val="22"/>
          <w:szCs w:val="22"/>
        </w:rPr>
        <w:t xml:space="preserve">Taaxbro supports three display modes across the marketing site and both authenticated applications. The designer must build the component library using Figma design tokens so all three modes are a theme swap, not a redesign. Every component must be designed in all three modes.</w:t>
      </w:r>
    </w:p>
    <w:p>
      <w:pPr>
        <w:spacing w:after="100" w:before="240"/>
      </w:pPr>
      <w:r>
        <w:rPr>
          <w:rFonts w:ascii="Arial" w:cs="Arial" w:eastAsia="Arial" w:hAnsi="Arial"/>
          <w:b/>
          <w:bCs/>
          <w:color w:val="2C2C2C"/>
          <w:sz w:val="24"/>
          <w:szCs w:val="24"/>
        </w:rPr>
        <w:t xml:space="preserve">Light Mode (Default)</w:t>
      </w:r>
    </w:p>
    <w:p>
      <w:pPr>
        <w:spacing w:after="120" w:before="80"/>
      </w:pPr>
      <w:r>
        <w:rPr>
          <w:rFonts w:ascii="Arial" w:cs="Arial" w:eastAsia="Arial" w:hAnsi="Arial"/>
          <w:color w:val="333333"/>
          <w:sz w:val="22"/>
          <w:szCs w:val="22"/>
        </w:rPr>
        <w:t xml:space="preserve">Standard bright interface. Primary white or near-white backgrounds, dark text, full-contrast UI elements. This is the default on first launch. Clean, professional, and optimised for daytime use in well-lit environments.</w:t>
      </w:r>
    </w:p>
    <w:p>
      <w:pPr>
        <w:spacing w:after="100" w:before="240"/>
      </w:pPr>
      <w:r>
        <w:rPr>
          <w:rFonts w:ascii="Arial" w:cs="Arial" w:eastAsia="Arial" w:hAnsi="Arial"/>
          <w:b/>
          <w:bCs/>
          <w:color w:val="2C2C2C"/>
          <w:sz w:val="24"/>
          <w:szCs w:val="24"/>
        </w:rPr>
        <w:t xml:space="preserve">Dark Mode</w:t>
      </w:r>
    </w:p>
    <w:p>
      <w:pPr>
        <w:spacing w:after="120" w:before="80"/>
      </w:pPr>
      <w:r>
        <w:rPr>
          <w:rFonts w:ascii="Arial" w:cs="Arial" w:eastAsia="Arial" w:hAnsi="Arial"/>
          <w:color w:val="333333"/>
          <w:sz w:val="22"/>
          <w:szCs w:val="22"/>
        </w:rPr>
        <w:t xml:space="preserve">Full dark-background interface for low-light environments. Background tones in the very dark grey to near-black range. Text in white to light grey. Accent colours adjusted for contrast compliance in dark contexts. All interactive elements, charts, and data visualisations must be re-validated for readability in dark mode. Avoid pure black (#000000) backgrounds — use very dark grey tones for depth.</w:t>
      </w:r>
    </w:p>
    <w:p>
      <w:pPr>
        <w:spacing w:after="100" w:before="240"/>
      </w:pPr>
      <w:r>
        <w:rPr>
          <w:rFonts w:ascii="Arial" w:cs="Arial" w:eastAsia="Arial" w:hAnsi="Arial"/>
          <w:b/>
          <w:bCs/>
          <w:color w:val="2C2C2C"/>
          <w:sz w:val="24"/>
          <w:szCs w:val="24"/>
        </w:rPr>
        <w:t xml:space="preserve">Warm Mode (Amber Mode)</w:t>
      </w:r>
    </w:p>
    <w:p>
      <w:pPr>
        <w:spacing w:after="120" w:before="80"/>
      </w:pPr>
      <w:r>
        <w:rPr>
          <w:rFonts w:ascii="Arial" w:cs="Arial" w:eastAsia="Arial" w:hAnsi="Arial"/>
          <w:color w:val="333333"/>
          <w:sz w:val="22"/>
          <w:szCs w:val="22"/>
        </w:rPr>
        <w:t xml:space="preserve">An off-white or warm-amber tinted interface specifically designed to reduce blue light output. Targeted at users doing accounts in the evening or late at night — a common pattern for Nigerian SME owners. Background tones are warm cream to soft amber. Text is dark brown rather than pure black. UI elements adopt a warm tint. The experience should feel like reading by candlelight or working on aged paper — calm, focused, easy on the eyes. This mode should feel intentional and refined, not like a sepia filter applied carelessly.</w:t>
      </w:r>
    </w:p>
    <w:p>
      <w:pPr>
        <w:spacing w:after="120" w:before="80"/>
      </w:pPr>
      <w:r>
        <w:rPr>
          <w:rFonts w:ascii="Arial" w:cs="Arial" w:eastAsia="Arial" w:hAnsi="Arial"/>
          <w:color w:val="333333"/>
          <w:sz w:val="22"/>
          <w:szCs w:val="22"/>
        </w:rPr>
        <w:t xml:space="preserve">The mode toggle must be accessible from two places: the Settings screen and a quick-toggle icon in the top navigation bar of the authenticated app. The marketing site respects the user’s operating system preference (light or dark) by default, with the option to override.</w:t>
      </w:r>
    </w:p>
    <w:p>
      <w:pPr>
        <w:shd w:fill="FFF8EC" w:val="clear"/>
        <w:spacing w:after="100" w:before="100"/>
      </w:pPr>
      <w:r>
        <w:rPr>
          <w:rFonts w:ascii="Arial" w:cs="Arial" w:eastAsia="Arial" w:hAnsi="Arial"/>
          <w:i/>
          <w:iCs/>
          <w:color w:val="7A5C00"/>
          <w:sz w:val="20"/>
          <w:szCs w:val="20"/>
        </w:rPr>
        <w:t xml:space="preserve">Note: Warm Mode is a Taaxbro-original UX feature and should be called out as such — not as “eye care mode” or any generic label. It can be branded as Warm Mode within the product.</w:t>
      </w:r>
    </w:p>
    <w:p>
      <w:pPr>
        <w:pBdr>
          <w:bottom w:val="single" w:color="DDDDDD" w:sz="4" w:space="1"/>
        </w:pBdr>
        <w:spacing w:after="240" w:before="240"/>
      </w:pPr>
    </w:p>
    <w:p>
      <w:pPr>
        <w:pStyle w:val="Heading1"/>
        <w:spacing w:after="200" w:before="480"/>
      </w:pPr>
      <w:r>
        <w:rPr>
          <w:rFonts w:ascii="Arial" w:cs="Arial" w:eastAsia="Arial" w:hAnsi="Arial"/>
          <w:b/>
          <w:bCs/>
          <w:color w:val="111111"/>
          <w:sz w:val="36"/>
          <w:szCs w:val="36"/>
        </w:rPr>
        <w:t xml:space="preserve">9. Role-Based Access — Design Approach</w:t>
      </w:r>
    </w:p>
    <w:p>
      <w:pPr>
        <w:spacing w:after="120" w:before="80"/>
      </w:pPr>
      <w:r>
        <w:rPr>
          <w:rFonts w:ascii="Arial" w:cs="Arial" w:eastAsia="Arial" w:hAnsi="Arial"/>
          <w:color w:val="333333"/>
          <w:sz w:val="22"/>
          <w:szCs w:val="22"/>
        </w:rPr>
        <w:t xml:space="preserve">Taaxbro supports three roles within the standard user app: Admin (the account owner), Accountant (a team member with bookkeeping and tax preparation permissions), and Viewer (read-only access). The designer does not need to create three separate full interface designs. The approach is annotations, not duplication.</w:t>
      </w:r>
    </w:p>
    <w:p>
      <w:pPr>
        <w:spacing w:after="100" w:before="240"/>
      </w:pPr>
      <w:r>
        <w:rPr>
          <w:rFonts w:ascii="Arial" w:cs="Arial" w:eastAsia="Arial" w:hAnsi="Arial"/>
          <w:b/>
          <w:bCs/>
          <w:color w:val="2C2C2C"/>
          <w:sz w:val="24"/>
          <w:szCs w:val="24"/>
        </w:rPr>
        <w:t xml:space="preserve">Admin Role</w:t>
      </w:r>
    </w:p>
    <w:p>
      <w:pPr>
        <w:spacing w:after="120" w:before="80"/>
      </w:pPr>
      <w:r>
        <w:rPr>
          <w:rFonts w:ascii="Arial" w:cs="Arial" w:eastAsia="Arial" w:hAnsi="Arial"/>
          <w:color w:val="333333"/>
          <w:sz w:val="22"/>
          <w:szCs w:val="22"/>
        </w:rPr>
        <w:t xml:space="preserve">All screens in the app are designed for the Admin. No restrictions. This is the full-feature interface.</w:t>
      </w:r>
    </w:p>
    <w:p>
      <w:pPr>
        <w:spacing w:after="100" w:before="240"/>
      </w:pPr>
      <w:r>
        <w:rPr>
          <w:rFonts w:ascii="Arial" w:cs="Arial" w:eastAsia="Arial" w:hAnsi="Arial"/>
          <w:b/>
          <w:bCs/>
          <w:color w:val="2C2C2C"/>
          <w:sz w:val="24"/>
          <w:szCs w:val="24"/>
        </w:rPr>
        <w:t xml:space="preserve">Accountant Role (Team Member, not the Accountant Portal)</w:t>
      </w:r>
    </w:p>
    <w:p>
      <w:pPr>
        <w:spacing w:after="120" w:before="80"/>
      </w:pPr>
      <w:r>
        <w:rPr>
          <w:rFonts w:ascii="Arial" w:cs="Arial" w:eastAsia="Arial" w:hAnsi="Arial"/>
          <w:color w:val="333333"/>
          <w:sz w:val="22"/>
          <w:szCs w:val="22"/>
        </w:rPr>
        <w:t xml:space="preserve">Same interface as Admin but with specific elements removed or disabled. The designer annotates the relevant screens to indicate which elements are hidden for this role: the Billing &amp; Subscription section in Settings, the Team &amp; Access management screen, and the ability to delete the business account. Everything else — creating invoices, recording expenses, preparing tax filings, viewing compliance scores — is accessible.</w:t>
      </w:r>
    </w:p>
    <w:p>
      <w:pPr>
        <w:spacing w:after="100" w:before="240"/>
      </w:pPr>
      <w:r>
        <w:rPr>
          <w:rFonts w:ascii="Arial" w:cs="Arial" w:eastAsia="Arial" w:hAnsi="Arial"/>
          <w:b/>
          <w:bCs/>
          <w:color w:val="2C2C2C"/>
          <w:sz w:val="24"/>
          <w:szCs w:val="24"/>
        </w:rPr>
        <w:t xml:space="preserve">Viewer Role</w:t>
      </w:r>
    </w:p>
    <w:p>
      <w:pPr>
        <w:spacing w:after="120" w:before="80"/>
      </w:pPr>
      <w:r>
        <w:rPr>
          <w:rFonts w:ascii="Arial" w:cs="Arial" w:eastAsia="Arial" w:hAnsi="Arial"/>
          <w:color w:val="333333"/>
          <w:sz w:val="22"/>
          <w:szCs w:val="22"/>
        </w:rPr>
        <w:t xml:space="preserve">Read-only. The designer annotates each relevant screen to indicate which interactive elements are replaced with disabled or hidden states: no Create buttons, no Mark as paid, no Approve and File, no integrations management. The viewer can see all data but take no actions. Annotation style: a small role badge icon next to each affected element in the Figma file, with a tooltip on hover describing the permission state.</w:t>
      </w:r>
    </w:p>
    <w:p>
      <w:pPr>
        <w:spacing w:after="100" w:before="240"/>
      </w:pPr>
      <w:r>
        <w:rPr>
          <w:rFonts w:ascii="Arial" w:cs="Arial" w:eastAsia="Arial" w:hAnsi="Arial"/>
          <w:b/>
          <w:bCs/>
          <w:color w:val="2C2C2C"/>
          <w:sz w:val="24"/>
          <w:szCs w:val="24"/>
        </w:rPr>
        <w:t xml:space="preserve">Accountant Portal Roles</w:t>
      </w:r>
    </w:p>
    <w:p>
      <w:pPr>
        <w:spacing w:after="120" w:before="80"/>
      </w:pPr>
      <w:r>
        <w:rPr>
          <w:rFonts w:ascii="Arial" w:cs="Arial" w:eastAsia="Arial" w:hAnsi="Arial"/>
          <w:color w:val="333333"/>
          <w:sz w:val="22"/>
          <w:szCs w:val="22"/>
        </w:rPr>
        <w:t xml:space="preserve">The Accountant Portal has its own role hierarchy: Portal Admin (the lead accountant, full access), Staff Accountant (full access except managing portal settings and billing), and Client Viewer (a client user who has been given read-only access to their own data within the portal). These require full design treatments as separate experiences within the portal.</w:t>
      </w:r>
    </w:p>
    <w:p>
      <w:pPr>
        <w:pBdr>
          <w:bottom w:val="single" w:color="DDDDDD" w:sz="4" w:space="1"/>
        </w:pBdr>
        <w:spacing w:after="240" w:before="240"/>
      </w:pPr>
    </w:p>
    <w:p>
      <w:r>
        <w:br w:type="page"/>
      </w:r>
    </w:p>
    <w:p>
      <w:pPr>
        <w:pStyle w:val="Heading1"/>
        <w:spacing w:after="200" w:before="480"/>
      </w:pPr>
      <w:r>
        <w:rPr>
          <w:rFonts w:ascii="Arial" w:cs="Arial" w:eastAsia="Arial" w:hAnsi="Arial"/>
          <w:b/>
          <w:bCs/>
          <w:color w:val="111111"/>
          <w:sz w:val="36"/>
          <w:szCs w:val="36"/>
        </w:rPr>
        <w:t xml:space="preserve">10. FAQ Content for the Designer</w:t>
      </w:r>
    </w:p>
    <w:p>
      <w:pPr>
        <w:spacing w:after="120" w:before="80"/>
      </w:pPr>
      <w:r>
        <w:rPr>
          <w:rFonts w:ascii="Arial" w:cs="Arial" w:eastAsia="Arial" w:hAnsi="Arial"/>
          <w:color w:val="333333"/>
          <w:sz w:val="22"/>
          <w:szCs w:val="22"/>
        </w:rPr>
        <w:t xml:space="preserve">The following FAQ content is provided for the designer to use when populating the FAQ page and any FAQ sections on the marketing site. Content may be adapted stylistically.</w:t>
      </w:r>
    </w:p>
    <w:p>
      <w:pPr>
        <w:pStyle w:val="Heading2"/>
        <w:spacing w:after="160" w:before="320"/>
      </w:pPr>
      <w:r>
        <w:rPr>
          <w:rFonts w:ascii="Arial" w:cs="Arial" w:eastAsia="Arial" w:hAnsi="Arial"/>
          <w:b/>
          <w:bCs/>
          <w:color w:val="222222"/>
          <w:sz w:val="28"/>
          <w:szCs w:val="28"/>
        </w:rPr>
        <w:t xml:space="preserve">Getting Started</w:t>
      </w:r>
    </w:p>
    <w:p>
      <w:pPr>
        <w:spacing w:after="100" w:before="240"/>
      </w:pPr>
      <w:r>
        <w:rPr>
          <w:rFonts w:ascii="Arial" w:cs="Arial" w:eastAsia="Arial" w:hAnsi="Arial"/>
          <w:b/>
          <w:bCs/>
          <w:color w:val="2C2C2C"/>
          <w:sz w:val="24"/>
          <w:szCs w:val="24"/>
        </w:rPr>
        <w:t xml:space="preserve">What is Taaxbro?</w:t>
      </w:r>
    </w:p>
    <w:p>
      <w:pPr>
        <w:spacing w:after="120" w:before="80"/>
      </w:pPr>
      <w:r>
        <w:rPr>
          <w:rFonts w:ascii="Arial" w:cs="Arial" w:eastAsia="Arial" w:hAnsi="Arial"/>
          <w:color w:val="333333"/>
          <w:sz w:val="22"/>
          <w:szCs w:val="22"/>
        </w:rPr>
        <w:t xml:space="preserve">Taaxbro is a financial management platform built for Nigerian and African businesses. It combines business payments, automated tax compliance, accounting, and real-time compliance intelligence into a single system — so you can run your finances without juggling multiple tools or paying for expensive accountants.</w:t>
      </w:r>
    </w:p>
    <w:p>
      <w:pPr>
        <w:spacing w:after="100" w:before="240"/>
      </w:pPr>
      <w:r>
        <w:rPr>
          <w:rFonts w:ascii="Arial" w:cs="Arial" w:eastAsia="Arial" w:hAnsi="Arial"/>
          <w:b/>
          <w:bCs/>
          <w:color w:val="2C2C2C"/>
          <w:sz w:val="24"/>
          <w:szCs w:val="24"/>
        </w:rPr>
        <w:t xml:space="preserve">Who is Taaxbro for?</w:t>
      </w:r>
    </w:p>
    <w:p>
      <w:pPr>
        <w:spacing w:after="120" w:before="80"/>
      </w:pPr>
      <w:r>
        <w:rPr>
          <w:rFonts w:ascii="Arial" w:cs="Arial" w:eastAsia="Arial" w:hAnsi="Arial"/>
          <w:color w:val="333333"/>
          <w:sz w:val="22"/>
          <w:szCs w:val="22"/>
        </w:rPr>
        <w:t xml:space="preserve">Taaxbro is built for registered Nigerian businesses — from solo freelancers and small retail shops to growing SMEs with a finance team. There is also a dedicated Accountant Portal for tax professionals managing multiple client businesses. If your business earns revenue, pays taxes, or issues invoices, Taaxbro is built for you.</w:t>
      </w:r>
    </w:p>
    <w:p>
      <w:pPr>
        <w:spacing w:after="100" w:before="240"/>
      </w:pPr>
      <w:r>
        <w:rPr>
          <w:rFonts w:ascii="Arial" w:cs="Arial" w:eastAsia="Arial" w:hAnsi="Arial"/>
          <w:b/>
          <w:bCs/>
          <w:color w:val="2C2C2C"/>
          <w:sz w:val="24"/>
          <w:szCs w:val="24"/>
        </w:rPr>
        <w:t xml:space="preserve">Is Taaxbro compliant with Nigeria’s 2025 tax reform?</w:t>
      </w:r>
    </w:p>
    <w:p>
      <w:pPr>
        <w:spacing w:after="120" w:before="80"/>
      </w:pPr>
      <w:r>
        <w:rPr>
          <w:rFonts w:ascii="Arial" w:cs="Arial" w:eastAsia="Arial" w:hAnsi="Arial"/>
          <w:color w:val="333333"/>
          <w:sz w:val="22"/>
          <w:szCs w:val="22"/>
        </w:rPr>
        <w:t xml:space="preserve">Yes. Taaxbro is built around the Nigeria Tax Act 2025, the NRS Establishment Act 2025, and the updated compliance framework. Our tax engine is updated whenever regulations change so your filings remain accurate and compliant.</w:t>
      </w:r>
    </w:p>
    <w:p>
      <w:pPr>
        <w:spacing w:after="100" w:before="240"/>
      </w:pPr>
      <w:r>
        <w:rPr>
          <w:rFonts w:ascii="Arial" w:cs="Arial" w:eastAsia="Arial" w:hAnsi="Arial"/>
          <w:b/>
          <w:bCs/>
          <w:color w:val="2C2C2C"/>
          <w:sz w:val="24"/>
          <w:szCs w:val="24"/>
        </w:rPr>
        <w:t xml:space="preserve">Do I need accounting experience to use Taaxbro?</w:t>
      </w:r>
    </w:p>
    <w:p>
      <w:pPr>
        <w:spacing w:after="120" w:before="80"/>
      </w:pPr>
      <w:r>
        <w:rPr>
          <w:rFonts w:ascii="Arial" w:cs="Arial" w:eastAsia="Arial" w:hAnsi="Arial"/>
          <w:color w:val="333333"/>
          <w:sz w:val="22"/>
          <w:szCs w:val="22"/>
        </w:rPr>
        <w:t xml:space="preserve">No. Taaxbro is designed for business owners, not accountants. The platform automates the technical parts of compliance and bookkeeping and presents information in plain language. Most users are up and running within a single working session.</w:t>
      </w:r>
    </w:p>
    <w:p>
      <w:pPr>
        <w:pStyle w:val="Heading2"/>
        <w:spacing w:after="160" w:before="320"/>
      </w:pPr>
      <w:r>
        <w:rPr>
          <w:rFonts w:ascii="Arial" w:cs="Arial" w:eastAsia="Arial" w:hAnsi="Arial"/>
          <w:b/>
          <w:bCs/>
          <w:color w:val="222222"/>
          <w:sz w:val="28"/>
          <w:szCs w:val="28"/>
        </w:rPr>
        <w:t xml:space="preserve">Payments &amp; Invoices</w:t>
      </w:r>
    </w:p>
    <w:p>
      <w:pPr>
        <w:spacing w:after="100" w:before="240"/>
      </w:pPr>
      <w:r>
        <w:rPr>
          <w:rFonts w:ascii="Arial" w:cs="Arial" w:eastAsia="Arial" w:hAnsi="Arial"/>
          <w:b/>
          <w:bCs/>
          <w:color w:val="2C2C2C"/>
          <w:sz w:val="24"/>
          <w:szCs w:val="24"/>
        </w:rPr>
        <w:t xml:space="preserve">How does Taaxbro know when an invoice has been paid?</w:t>
      </w:r>
    </w:p>
    <w:p>
      <w:pPr>
        <w:spacing w:after="120" w:before="80"/>
      </w:pPr>
      <w:r>
        <w:rPr>
          <w:rFonts w:ascii="Arial" w:cs="Arial" w:eastAsia="Arial" w:hAnsi="Arial"/>
          <w:color w:val="333333"/>
          <w:sz w:val="22"/>
          <w:szCs w:val="22"/>
        </w:rPr>
        <w:t xml:space="preserve">Taaxbro connects to your business bank accounts via secure open banking APIs. When a payment arrives that matches an outstanding invoice — by amount, by customer reference, or both — Taaxbro detects it automatically, marks the invoice as Paid, and sends you an instant WhatsApp notification. For payments not yet matched automatically — such as cash payments or POS transactions — you can manually mark an invoice as Paid, Partial, or Unpaid from the invoice detail screen.</w:t>
      </w:r>
    </w:p>
    <w:p>
      <w:pPr>
        <w:spacing w:after="100" w:before="240"/>
      </w:pPr>
      <w:r>
        <w:rPr>
          <w:rFonts w:ascii="Arial" w:cs="Arial" w:eastAsia="Arial" w:hAnsi="Arial"/>
          <w:b/>
          <w:bCs/>
          <w:color w:val="2C2C2C"/>
          <w:sz w:val="24"/>
          <w:szCs w:val="24"/>
        </w:rPr>
        <w:t xml:space="preserve">Can I mark an invoice as partially paid?</w:t>
      </w:r>
    </w:p>
    <w:p>
      <w:pPr>
        <w:spacing w:after="120" w:before="80"/>
      </w:pPr>
      <w:r>
        <w:rPr>
          <w:rFonts w:ascii="Arial" w:cs="Arial" w:eastAsia="Arial" w:hAnsi="Arial"/>
          <w:color w:val="333333"/>
          <w:sz w:val="22"/>
          <w:szCs w:val="22"/>
        </w:rPr>
        <w:t xml:space="preserve">Yes. The invoice detail screen has a “Mark as” menu with three options: Paid, Partial, and Unpaid. When you select Partial, Taaxbro asks for the amount received so far and calculates the remaining balance automatically.</w:t>
      </w:r>
    </w:p>
    <w:p>
      <w:pPr>
        <w:pStyle w:val="Heading2"/>
        <w:spacing w:after="160" w:before="320"/>
      </w:pPr>
      <w:r>
        <w:rPr>
          <w:rFonts w:ascii="Arial" w:cs="Arial" w:eastAsia="Arial" w:hAnsi="Arial"/>
          <w:b/>
          <w:bCs/>
          <w:color w:val="222222"/>
          <w:sz w:val="28"/>
          <w:szCs w:val="28"/>
        </w:rPr>
        <w:t xml:space="preserve">Tax Compliance</w:t>
      </w:r>
    </w:p>
    <w:p>
      <w:pPr>
        <w:spacing w:after="100" w:before="240"/>
      </w:pPr>
      <w:r>
        <w:rPr>
          <w:rFonts w:ascii="Arial" w:cs="Arial" w:eastAsia="Arial" w:hAnsi="Arial"/>
          <w:b/>
          <w:bCs/>
          <w:color w:val="2C2C2C"/>
          <w:sz w:val="24"/>
          <w:szCs w:val="24"/>
        </w:rPr>
        <w:t xml:space="preserve">Does Taaxbro file my returns without asking me?</w:t>
      </w:r>
    </w:p>
    <w:p>
      <w:pPr>
        <w:spacing w:after="120" w:before="80"/>
      </w:pPr>
      <w:r>
        <w:rPr>
          <w:rFonts w:ascii="Arial" w:cs="Arial" w:eastAsia="Arial" w:hAnsi="Arial"/>
          <w:color w:val="333333"/>
          <w:sz w:val="22"/>
          <w:szCs w:val="22"/>
        </w:rPr>
        <w:t xml:space="preserve">Never. Taaxbro prepares everything and presents a full breakdown for your review. You must explicitly approve a return before it is filed. We send you a notification — in-app and on WhatsApp — when a return is ready for your review, along with the exact amount and the deadline. You review, approve, and then we file. You are always in control.</w:t>
      </w:r>
    </w:p>
    <w:p>
      <w:pPr>
        <w:spacing w:after="100" w:before="240"/>
      </w:pPr>
      <w:r>
        <w:rPr>
          <w:rFonts w:ascii="Arial" w:cs="Arial" w:eastAsia="Arial" w:hAnsi="Arial"/>
          <w:b/>
          <w:bCs/>
          <w:color w:val="2C2C2C"/>
          <w:sz w:val="24"/>
          <w:szCs w:val="24"/>
        </w:rPr>
        <w:t xml:space="preserve">Which taxes does Taaxbro handle?</w:t>
      </w:r>
    </w:p>
    <w:p>
      <w:pPr>
        <w:spacing w:after="120" w:before="80"/>
      </w:pPr>
      <w:r>
        <w:rPr>
          <w:rFonts w:ascii="Arial" w:cs="Arial" w:eastAsia="Arial" w:hAnsi="Arial"/>
          <w:color w:val="333333"/>
          <w:sz w:val="22"/>
          <w:szCs w:val="22"/>
        </w:rPr>
        <w:t xml:space="preserve">Taaxbro handles VAT, Withholding Tax (WHT), Company Income Tax (CIT), Personal Income Tax (PIT) for freelancers, Development Levy, Stamp Duty, and state-level taxes including LIRS, RIRS, and FCT-IRS.</w:t>
      </w:r>
    </w:p>
    <w:p>
      <w:pPr>
        <w:spacing w:after="100" w:before="240"/>
      </w:pPr>
      <w:r>
        <w:rPr>
          <w:rFonts w:ascii="Arial" w:cs="Arial" w:eastAsia="Arial" w:hAnsi="Arial"/>
          <w:b/>
          <w:bCs/>
          <w:color w:val="2C2C2C"/>
          <w:sz w:val="24"/>
          <w:szCs w:val="24"/>
        </w:rPr>
        <w:t xml:space="preserve">What is the Compliance Score?</w:t>
      </w:r>
    </w:p>
    <w:p>
      <w:pPr>
        <w:spacing w:after="120" w:before="80"/>
      </w:pPr>
      <w:r>
        <w:rPr>
          <w:rFonts w:ascii="Arial" w:cs="Arial" w:eastAsia="Arial" w:hAnsi="Arial"/>
          <w:color w:val="333333"/>
          <w:sz w:val="22"/>
          <w:szCs w:val="22"/>
        </w:rPr>
        <w:t xml:space="preserve">The Compliance Score is a real-time 0–100 rating of your business’s tax compliance health. It takes into account whether your filings are on time, whether your bank accounts are connected, whether your VAT records are complete, and whether there are any anomalies in your financial data. Taaxbro shows you exactly what is dragging your score down and gives you a step-by-step action list to improve it.</w:t>
      </w:r>
    </w:p>
    <w:p>
      <w:pPr>
        <w:spacing w:after="100" w:before="240"/>
      </w:pPr>
      <w:r>
        <w:rPr>
          <w:rFonts w:ascii="Arial" w:cs="Arial" w:eastAsia="Arial" w:hAnsi="Arial"/>
          <w:b/>
          <w:bCs/>
          <w:color w:val="2C2C2C"/>
          <w:sz w:val="24"/>
          <w:szCs w:val="24"/>
        </w:rPr>
        <w:t xml:space="preserve">What is the Tax Escrow Wallet?</w:t>
      </w:r>
    </w:p>
    <w:p>
      <w:pPr>
        <w:spacing w:after="120" w:before="80"/>
      </w:pPr>
      <w:r>
        <w:rPr>
          <w:rFonts w:ascii="Arial" w:cs="Arial" w:eastAsia="Arial" w:hAnsi="Arial"/>
          <w:color w:val="333333"/>
          <w:sz w:val="22"/>
          <w:szCs w:val="22"/>
        </w:rPr>
        <w:t xml:space="preserve">The Tax Escrow Wallet is a ring-fenced balance that Taaxbro automatically builds up on your behalf. Every time revenue enters your business, Taaxbro calculates the VAT portion and sets it aside in the wallet so it is ready when your filing is due. You are never caught short at filing time. The wallet is visible on your dashboard and within the Compliance Hub.</w:t>
      </w:r>
    </w:p>
    <w:p>
      <w:pPr>
        <w:pStyle w:val="Heading2"/>
        <w:spacing w:after="160" w:before="320"/>
      </w:pPr>
      <w:r>
        <w:rPr>
          <w:rFonts w:ascii="Arial" w:cs="Arial" w:eastAsia="Arial" w:hAnsi="Arial"/>
          <w:b/>
          <w:bCs/>
          <w:color w:val="222222"/>
          <w:sz w:val="28"/>
          <w:szCs w:val="28"/>
        </w:rPr>
        <w:t xml:space="preserve">OCR &amp; Receipt Scanning</w:t>
      </w:r>
    </w:p>
    <w:p>
      <w:pPr>
        <w:spacing w:after="100" w:before="240"/>
      </w:pPr>
      <w:r>
        <w:rPr>
          <w:rFonts w:ascii="Arial" w:cs="Arial" w:eastAsia="Arial" w:hAnsi="Arial"/>
          <w:b/>
          <w:bCs/>
          <w:color w:val="2C2C2C"/>
          <w:sz w:val="24"/>
          <w:szCs w:val="24"/>
        </w:rPr>
        <w:t xml:space="preserve">How does the receipt scanning feature work?</w:t>
      </w:r>
    </w:p>
    <w:p>
      <w:pPr>
        <w:spacing w:after="120" w:before="80"/>
      </w:pPr>
      <w:r>
        <w:rPr>
          <w:rFonts w:ascii="Arial" w:cs="Arial" w:eastAsia="Arial" w:hAnsi="Arial"/>
          <w:color w:val="333333"/>
          <w:sz w:val="22"/>
          <w:szCs w:val="22"/>
        </w:rPr>
        <w:t xml:space="preserve">You can take a photo of any receipt or invoice using your phone camera, upload an image or PDF from your file explorer, or send a photo to the Taaxbro WhatsApp number. Our OCR engine reads the document, extracts the vendor name, date, amounts, and VAT information, and presents it to you for review before saving it to your Books. The entire process typically takes under 10 seconds.</w:t>
      </w:r>
    </w:p>
    <w:p>
      <w:pPr>
        <w:spacing w:after="100" w:before="240"/>
      </w:pPr>
      <w:r>
        <w:rPr>
          <w:rFonts w:ascii="Arial" w:cs="Arial" w:eastAsia="Arial" w:hAnsi="Arial"/>
          <w:b/>
          <w:bCs/>
          <w:color w:val="2C2C2C"/>
          <w:sz w:val="24"/>
          <w:szCs w:val="24"/>
        </w:rPr>
        <w:t xml:space="preserve">Can Taaxbro tell me if I was charged too much VAT?</w:t>
      </w:r>
    </w:p>
    <w:p>
      <w:pPr>
        <w:spacing w:after="120" w:before="80"/>
      </w:pPr>
      <w:r>
        <w:rPr>
          <w:rFonts w:ascii="Arial" w:cs="Arial" w:eastAsia="Arial" w:hAnsi="Arial"/>
          <w:color w:val="333333"/>
          <w:sz w:val="22"/>
          <w:szCs w:val="22"/>
        </w:rPr>
        <w:t xml:space="preserve">Yes. This is the VAT Verification feature. Scan or send a photo of any receipt — from a supermarket, a restaurant, a contractor — and Taaxbro checks every VAT line against Nigerian tax law. It will tell you whether the amount was correct, whether you were overcharged, or whether the item should have been VAT-exempt entirely. You can use this feature even for personal shopping, not just business expenses.</w:t>
      </w:r>
    </w:p>
    <w:p>
      <w:pPr>
        <w:spacing w:after="100" w:before="240"/>
      </w:pPr>
      <w:r>
        <w:rPr>
          <w:rFonts w:ascii="Arial" w:cs="Arial" w:eastAsia="Arial" w:hAnsi="Arial"/>
          <w:b/>
          <w:bCs/>
          <w:color w:val="2C2C2C"/>
          <w:sz w:val="24"/>
          <w:szCs w:val="24"/>
        </w:rPr>
        <w:t xml:space="preserve">Can I use this feature on WhatsApp?</w:t>
      </w:r>
    </w:p>
    <w:p>
      <w:pPr>
        <w:spacing w:after="120" w:before="80"/>
      </w:pPr>
      <w:r>
        <w:rPr>
          <w:rFonts w:ascii="Arial" w:cs="Arial" w:eastAsia="Arial" w:hAnsi="Arial"/>
          <w:color w:val="333333"/>
          <w:sz w:val="22"/>
          <w:szCs w:val="22"/>
        </w:rPr>
        <w:t xml:space="preserve">Yes. Send a photo of any receipt to the Taaxbro WhatsApp number. The AI reads it and responds with either a booking confirmation (expense recorded) or a VAT verification result, depending on which mode you have set. You can also tell the bot which you want: “Record this” or “Verify the VAT on this.”</w:t>
      </w:r>
    </w:p>
    <w:p>
      <w:pPr>
        <w:pStyle w:val="Heading2"/>
        <w:spacing w:after="160" w:before="320"/>
      </w:pPr>
      <w:r>
        <w:rPr>
          <w:rFonts w:ascii="Arial" w:cs="Arial" w:eastAsia="Arial" w:hAnsi="Arial"/>
          <w:b/>
          <w:bCs/>
          <w:color w:val="222222"/>
          <w:sz w:val="28"/>
          <w:szCs w:val="28"/>
        </w:rPr>
        <w:t xml:space="preserve">WhatsApp Integration</w:t>
      </w:r>
    </w:p>
    <w:p>
      <w:pPr>
        <w:spacing w:after="100" w:before="240"/>
      </w:pPr>
      <w:r>
        <w:rPr>
          <w:rFonts w:ascii="Arial" w:cs="Arial" w:eastAsia="Arial" w:hAnsi="Arial"/>
          <w:b/>
          <w:bCs/>
          <w:color w:val="2C2C2C"/>
          <w:sz w:val="24"/>
          <w:szCs w:val="24"/>
        </w:rPr>
        <w:t xml:space="preserve">What can Taaxbro do through WhatsApp?</w:t>
      </w:r>
    </w:p>
    <w:p>
      <w:pPr>
        <w:spacing w:after="120" w:before="80"/>
      </w:pPr>
      <w:r>
        <w:rPr>
          <w:rFonts w:ascii="Arial" w:cs="Arial" w:eastAsia="Arial" w:hAnsi="Arial"/>
          <w:color w:val="333333"/>
          <w:sz w:val="22"/>
          <w:szCs w:val="22"/>
        </w:rPr>
        <w:t xml:space="preserve">Taaxbro sends you payment notifications, invoice overdue alerts, tax deadline reminders, filing approval requests, and compliance score updates directly to your WhatsApp. You can also interact: ask tax questions and get instant answers, send receipt photos for recording or VAT verification, send invoices to clients, and raise support tickets — all from within WhatsApp.</w:t>
      </w:r>
    </w:p>
    <w:p>
      <w:pPr>
        <w:spacing w:after="100" w:before="240"/>
      </w:pPr>
      <w:r>
        <w:rPr>
          <w:rFonts w:ascii="Arial" w:cs="Arial" w:eastAsia="Arial" w:hAnsi="Arial"/>
          <w:b/>
          <w:bCs/>
          <w:color w:val="2C2C2C"/>
          <w:sz w:val="24"/>
          <w:szCs w:val="24"/>
        </w:rPr>
        <w:t xml:space="preserve">Does Taaxbro read my personal WhatsApp messages?</w:t>
      </w:r>
    </w:p>
    <w:p>
      <w:pPr>
        <w:spacing w:after="120" w:before="80"/>
      </w:pPr>
      <w:r>
        <w:rPr>
          <w:rFonts w:ascii="Arial" w:cs="Arial" w:eastAsia="Arial" w:hAnsi="Arial"/>
          <w:color w:val="333333"/>
          <w:sz w:val="22"/>
          <w:szCs w:val="22"/>
        </w:rPr>
        <w:t xml:space="preserve">No. Taaxbro connects to a dedicated business WhatsApp number, not your personal chat. Only messages sent to or received from the Taaxbro WhatsApp contact are processed by the platform.</w:t>
      </w:r>
    </w:p>
    <w:p>
      <w:pPr>
        <w:pStyle w:val="Heading2"/>
        <w:spacing w:after="160" w:before="320"/>
      </w:pPr>
      <w:r>
        <w:rPr>
          <w:rFonts w:ascii="Arial" w:cs="Arial" w:eastAsia="Arial" w:hAnsi="Arial"/>
          <w:b/>
          <w:bCs/>
          <w:color w:val="222222"/>
          <w:sz w:val="28"/>
          <w:szCs w:val="28"/>
        </w:rPr>
        <w:t xml:space="preserve">Billing &amp; Subscriptions</w:t>
      </w:r>
    </w:p>
    <w:p>
      <w:pPr>
        <w:spacing w:after="100" w:before="240"/>
      </w:pPr>
      <w:r>
        <w:rPr>
          <w:rFonts w:ascii="Arial" w:cs="Arial" w:eastAsia="Arial" w:hAnsi="Arial"/>
          <w:b/>
          <w:bCs/>
          <w:color w:val="2C2C2C"/>
          <w:sz w:val="24"/>
          <w:szCs w:val="24"/>
        </w:rPr>
        <w:t xml:space="preserve">Is there a free trial?</w:t>
      </w:r>
    </w:p>
    <w:p>
      <w:pPr>
        <w:spacing w:after="120" w:before="80"/>
      </w:pPr>
      <w:r>
        <w:rPr>
          <w:rFonts w:ascii="Arial" w:cs="Arial" w:eastAsia="Arial" w:hAnsi="Arial"/>
          <w:color w:val="333333"/>
          <w:sz w:val="22"/>
          <w:szCs w:val="22"/>
        </w:rPr>
        <w:t xml:space="preserve">Yes. New users can explore Taaxbro on a free trial before committing to a paid plan. No credit card is required to start.</w:t>
      </w:r>
    </w:p>
    <w:p>
      <w:pPr>
        <w:spacing w:after="100" w:before="240"/>
      </w:pPr>
      <w:r>
        <w:rPr>
          <w:rFonts w:ascii="Arial" w:cs="Arial" w:eastAsia="Arial" w:hAnsi="Arial"/>
          <w:b/>
          <w:bCs/>
          <w:color w:val="2C2C2C"/>
          <w:sz w:val="24"/>
          <w:szCs w:val="24"/>
        </w:rPr>
        <w:t xml:space="preserve">Can I switch plans?</w:t>
      </w:r>
    </w:p>
    <w:p>
      <w:pPr>
        <w:spacing w:after="120" w:before="80"/>
      </w:pPr>
      <w:r>
        <w:rPr>
          <w:rFonts w:ascii="Arial" w:cs="Arial" w:eastAsia="Arial" w:hAnsi="Arial"/>
          <w:color w:val="333333"/>
          <w:sz w:val="22"/>
          <w:szCs w:val="22"/>
        </w:rPr>
        <w:t xml:space="preserve">Yes. You can upgrade or downgrade at any time from the Billing section in Settings. Changes take effect at the start of your next billing cycle.</w:t>
      </w:r>
    </w:p>
    <w:p>
      <w:pPr>
        <w:pStyle w:val="Heading2"/>
        <w:spacing w:after="160" w:before="320"/>
      </w:pPr>
      <w:r>
        <w:rPr>
          <w:rFonts w:ascii="Arial" w:cs="Arial" w:eastAsia="Arial" w:hAnsi="Arial"/>
          <w:b/>
          <w:bCs/>
          <w:color w:val="222222"/>
          <w:sz w:val="28"/>
          <w:szCs w:val="28"/>
        </w:rPr>
        <w:t xml:space="preserve">Security</w:t>
      </w:r>
    </w:p>
    <w:p>
      <w:pPr>
        <w:spacing w:after="100" w:before="240"/>
      </w:pPr>
      <w:r>
        <w:rPr>
          <w:rFonts w:ascii="Arial" w:cs="Arial" w:eastAsia="Arial" w:hAnsi="Arial"/>
          <w:b/>
          <w:bCs/>
          <w:color w:val="2C2C2C"/>
          <w:sz w:val="24"/>
          <w:szCs w:val="24"/>
        </w:rPr>
        <w:t xml:space="preserve">How does Taaxbro protect my financial data?</w:t>
      </w:r>
    </w:p>
    <w:p>
      <w:pPr>
        <w:spacing w:after="120" w:before="80"/>
      </w:pPr>
      <w:r>
        <w:rPr>
          <w:rFonts w:ascii="Arial" w:cs="Arial" w:eastAsia="Arial" w:hAnsi="Arial"/>
          <w:color w:val="333333"/>
          <w:sz w:val="22"/>
          <w:szCs w:val="22"/>
        </w:rPr>
        <w:t xml:space="preserve">Taaxbro uses bank-grade encryption for all data in transit and at rest. We do not store your bank login credentials — all banking connections are made through secure, certified open banking APIs. Your data is never shared with or sold to third parties. We comply with the Nigeria Data Protection Regulation (NDPR).</w:t>
      </w:r>
    </w:p>
    <w:p>
      <w:pPr>
        <w:spacing w:after="100" w:before="240"/>
      </w:pPr>
      <w:r>
        <w:rPr>
          <w:rFonts w:ascii="Arial" w:cs="Arial" w:eastAsia="Arial" w:hAnsi="Arial"/>
          <w:b/>
          <w:bCs/>
          <w:color w:val="2C2C2C"/>
          <w:sz w:val="24"/>
          <w:szCs w:val="24"/>
        </w:rPr>
        <w:t xml:space="preserve">Can I control what my team members can see?</w:t>
      </w:r>
    </w:p>
    <w:p>
      <w:pPr>
        <w:spacing w:after="120" w:before="80"/>
      </w:pPr>
      <w:r>
        <w:rPr>
          <w:rFonts w:ascii="Arial" w:cs="Arial" w:eastAsia="Arial" w:hAnsi="Arial"/>
          <w:color w:val="333333"/>
          <w:sz w:val="22"/>
          <w:szCs w:val="22"/>
        </w:rPr>
        <w:t xml:space="preserve">Yes. Taaxbro supports role-based access control. As the account owner (Admin), you can invite team members and assign them one of three roles: Admin, Accountant, or Viewer. Each role has defined permissions. Viewers can see all data but cannot create, edit, or approve anything.</w:t>
      </w:r>
    </w:p>
    <w:p>
      <w:pPr>
        <w:pBdr>
          <w:bottom w:val="single" w:color="DDDDDD" w:sz="4" w:space="1"/>
        </w:pBdr>
        <w:spacing w:after="240" w:before="240"/>
      </w:pPr>
    </w:p>
    <w:p>
      <w:r>
        <w:br w:type="page"/>
      </w:r>
    </w:p>
    <w:p>
      <w:pPr>
        <w:pStyle w:val="Heading1"/>
        <w:spacing w:after="200" w:before="480"/>
      </w:pPr>
      <w:r>
        <w:rPr>
          <w:rFonts w:ascii="Arial" w:cs="Arial" w:eastAsia="Arial" w:hAnsi="Arial"/>
          <w:b/>
          <w:bCs/>
          <w:color w:val="111111"/>
          <w:sz w:val="36"/>
          <w:szCs w:val="36"/>
        </w:rPr>
        <w:t xml:space="preserve">11. Design Principles &amp; Notes for the Designer</w:t>
      </w:r>
    </w:p>
    <w:p>
      <w:pPr>
        <w:pStyle w:val="Heading2"/>
        <w:spacing w:after="160" w:before="320"/>
      </w:pPr>
      <w:r>
        <w:rPr>
          <w:rFonts w:ascii="Arial" w:cs="Arial" w:eastAsia="Arial" w:hAnsi="Arial"/>
          <w:b/>
          <w:bCs/>
          <w:color w:val="222222"/>
          <w:sz w:val="28"/>
          <w:szCs w:val="28"/>
        </w:rPr>
        <w:t xml:space="preserve">11.1 Visual Identity &amp; Originality</w:t>
      </w:r>
    </w:p>
    <w:p>
      <w:pPr>
        <w:shd w:fill="FFF0F0" w:val="clear"/>
        <w:spacing w:after="100" w:before="100"/>
      </w:pPr>
      <w:r>
        <w:rPr>
          <w:rFonts w:ascii="Arial" w:cs="Arial" w:eastAsia="Arial" w:hAnsi="Arial"/>
          <w:i/>
          <w:iCs/>
          <w:color w:val="8B0000"/>
          <w:sz w:val="20"/>
          <w:szCs w:val="20"/>
        </w:rPr>
        <w:t xml:space="preserve">Designer Note: Taaxbro’s visual identity must be completely original. Study TaxStreem (taxstreem.com) as a competitive reference — then design against it deliberately. Do not replicate their layout structure, colour palette, hero composition, section rhythm, typography treatment, or any other visual element. If a layout choice could appear on TaxStreem, reconsider it. Taaxbro competes with TaxStreem and must look nothing like them.</w:t>
      </w:r>
    </w:p>
    <w:p>
      <w:pPr>
        <w:spacing w:after="120" w:before="80"/>
      </w:pPr>
      <w:r>
        <w:rPr>
          <w:rFonts w:ascii="Arial" w:cs="Arial" w:eastAsia="Arial" w:hAnsi="Arial"/>
          <w:color w:val="333333"/>
          <w:sz w:val="22"/>
          <w:szCs w:val="22"/>
        </w:rPr>
        <w:t xml:space="preserve">Taaxbro should feel warm, grounded, human, and distinctly aware of its African market. Where TaxStreem leans dark and corporate-Western, Taaxbro leans bright, bold, and culturally rooted without being folksy or generic. The product is for serious business owners running serious businesses — the design reflects that ambition without sacrificing warmth.</w:t>
      </w:r>
    </w:p>
    <w:p>
      <w:pPr>
        <w:pStyle w:val="Heading2"/>
        <w:spacing w:after="160" w:before="320"/>
      </w:pPr>
      <w:r>
        <w:rPr>
          <w:rFonts w:ascii="Arial" w:cs="Arial" w:eastAsia="Arial" w:hAnsi="Arial"/>
          <w:b/>
          <w:bCs/>
          <w:color w:val="222222"/>
          <w:sz w:val="28"/>
          <w:szCs w:val="28"/>
        </w:rPr>
        <w:t xml:space="preserve">11.2 General Tone</w:t>
      </w:r>
    </w:p>
    <w:p>
      <w:pPr>
        <w:spacing w:after="120" w:before="80"/>
      </w:pPr>
      <w:r>
        <w:rPr>
          <w:rFonts w:ascii="Arial" w:cs="Arial" w:eastAsia="Arial" w:hAnsi="Arial"/>
          <w:color w:val="333333"/>
          <w:sz w:val="22"/>
          <w:szCs w:val="22"/>
        </w:rPr>
        <w:t xml:space="preserve">Professional without being cold. Ambitious without being arrogant. Specific to the Nigerian business context without resorting to clichéd African aesthetic tropes. Every design decision should ask: does this make the business owner feel in control and confident? If the answer is yes, proceed. If the design creates uncertainty or cognitive load, reconsider.</w:t>
      </w:r>
    </w:p>
    <w:p>
      <w:pPr>
        <w:pStyle w:val="Heading2"/>
        <w:spacing w:after="160" w:before="320"/>
      </w:pPr>
      <w:r>
        <w:rPr>
          <w:rFonts w:ascii="Arial" w:cs="Arial" w:eastAsia="Arial" w:hAnsi="Arial"/>
          <w:b/>
          <w:bCs/>
          <w:color w:val="222222"/>
          <w:sz w:val="28"/>
          <w:szCs w:val="28"/>
        </w:rPr>
        <w:t xml:space="preserve">11.3 Typography</w:t>
      </w:r>
    </w:p>
    <w:p>
      <w:pPr>
        <w:spacing w:after="120" w:before="80"/>
      </w:pPr>
      <w:r>
        <w:rPr>
          <w:rFonts w:ascii="Arial" w:cs="Arial" w:eastAsia="Arial" w:hAnsi="Arial"/>
          <w:color w:val="333333"/>
          <w:sz w:val="22"/>
          <w:szCs w:val="22"/>
        </w:rPr>
        <w:t xml:space="preserve">A clean, highly legible sans-serif typeface throughout all surfaces. Clear typographic hierarchy: primary headings, secondary headings, body copy, labels, captions, and data values should each have a distinct and consistent treatment. The typeface choice itself is a brand signal — choose something that feels modern and purposeful, not generic. Consider a pairing of a geometric sans-serif for headings and a humanist sans-serif for body copy.</w:t>
      </w:r>
    </w:p>
    <w:p>
      <w:pPr>
        <w:pStyle w:val="Heading2"/>
        <w:spacing w:after="160" w:before="320"/>
      </w:pPr>
      <w:r>
        <w:rPr>
          <w:rFonts w:ascii="Arial" w:cs="Arial" w:eastAsia="Arial" w:hAnsi="Arial"/>
          <w:b/>
          <w:bCs/>
          <w:color w:val="222222"/>
          <w:sz w:val="28"/>
          <w:szCs w:val="28"/>
        </w:rPr>
        <w:t xml:space="preserve">11.4 Spacing and Layout</w:t>
      </w:r>
    </w:p>
    <w:p>
      <w:pPr>
        <w:spacing w:after="120" w:before="80"/>
      </w:pPr>
      <w:r>
        <w:rPr>
          <w:rFonts w:ascii="Arial" w:cs="Arial" w:eastAsia="Arial" w:hAnsi="Arial"/>
          <w:color w:val="333333"/>
          <w:sz w:val="22"/>
          <w:szCs w:val="22"/>
        </w:rPr>
        <w:t xml:space="preserve">Generous white space. Each screen breathes. Group related elements clearly. Apply consistent spacing tokens. The grid system must be defined and applied uniformly across all four surfaces. Information-dense screens (Accountant Portal, Admin ERP) earn their density through precision layout, not cramming.</w:t>
      </w:r>
    </w:p>
    <w:p>
      <w:pPr>
        <w:pStyle w:val="Heading2"/>
        <w:spacing w:after="160" w:before="320"/>
      </w:pPr>
      <w:r>
        <w:rPr>
          <w:rFonts w:ascii="Arial" w:cs="Arial" w:eastAsia="Arial" w:hAnsi="Arial"/>
          <w:b/>
          <w:bCs/>
          <w:color w:val="222222"/>
          <w:sz w:val="28"/>
          <w:szCs w:val="28"/>
        </w:rPr>
        <w:t xml:space="preserve">11.5 Component Library</w:t>
      </w:r>
    </w:p>
    <w:p>
      <w:pPr>
        <w:spacing w:after="120" w:before="80"/>
      </w:pPr>
      <w:r>
        <w:rPr>
          <w:rFonts w:ascii="Arial" w:cs="Arial" w:eastAsia="Arial" w:hAnsi="Arial"/>
          <w:color w:val="333333"/>
          <w:sz w:val="22"/>
          <w:szCs w:val="22"/>
        </w:rPr>
        <w:t xml:space="preserve">A complete Figma component library covering: buttons (primary, secondary, ghost, destructive, loading), input fields (default, focused, error, disabled), cards, modals, drawers, dropdowns, status badges (Paid, Partial, Unpaid, Filed, Pending Approval, Overdue, Connected, Error), compliance score visualisation, data tables, navigation elements, the OCR flow screens, the support widget in all states, and the display mode toggle. All components built as auto-layout frames with defined variants for all three display modes (Light, Dark, Warm) and all interactive states.</w:t>
      </w:r>
    </w:p>
    <w:p>
      <w:pPr>
        <w:pStyle w:val="Heading2"/>
        <w:spacing w:after="160" w:before="320"/>
      </w:pPr>
      <w:r>
        <w:rPr>
          <w:rFonts w:ascii="Arial" w:cs="Arial" w:eastAsia="Arial" w:hAnsi="Arial"/>
          <w:b/>
          <w:bCs/>
          <w:color w:val="222222"/>
          <w:sz w:val="28"/>
          <w:szCs w:val="28"/>
        </w:rPr>
        <w:t xml:space="preserve">11.6 Responsiveness</w:t>
      </w:r>
    </w:p>
    <w:p>
      <w:pPr>
        <w:spacing w:after="120" w:before="80"/>
      </w:pPr>
      <w:r>
        <w:rPr>
          <w:rFonts w:ascii="Arial" w:cs="Arial" w:eastAsia="Arial" w:hAnsi="Arial"/>
          <w:color w:val="333333"/>
          <w:sz w:val="22"/>
          <w:szCs w:val="22"/>
        </w:rPr>
        <w:t xml:space="preserve">Marketing website: fully designed for desktop (1440px), tablet (768px), and mobile (375px). User app: primarily desktop (1280px and 1440px) with a tablet-responsive fallback. Accountant Portal: desktop-first (information density requires it), tablet fallback. Admin ERP: desktop-only. Native mobile app is out of scope for this phase.</w:t>
      </w:r>
    </w:p>
    <w:p>
      <w:pPr>
        <w:pStyle w:val="Heading2"/>
        <w:spacing w:after="160" w:before="320"/>
      </w:pPr>
      <w:r>
        <w:rPr>
          <w:rFonts w:ascii="Arial" w:cs="Arial" w:eastAsia="Arial" w:hAnsi="Arial"/>
          <w:b/>
          <w:bCs/>
          <w:color w:val="222222"/>
          <w:sz w:val="28"/>
          <w:szCs w:val="28"/>
        </w:rPr>
        <w:t xml:space="preserve">11.7 All States Must Be Designed</w:t>
      </w:r>
    </w:p>
    <w:p>
      <w:pPr>
        <w:spacing w:after="120" w:before="80"/>
      </w:pPr>
      <w:r>
        <w:rPr>
          <w:rFonts w:ascii="Arial" w:cs="Arial" w:eastAsia="Arial" w:hAnsi="Arial"/>
          <w:color w:val="333333"/>
          <w:sz w:val="22"/>
          <w:szCs w:val="22"/>
        </w:rPr>
        <w:t xml:space="preserve">Every interactive element must have: default, hover, active, focused, disabled, loading, and error states. Data screens must also have: empty state (no data yet), skeleton loading state (data fetching), and partial-data state (some data connected, some not). The OCR scanner must have: idle, processing, review, VAT-verified, save-confirmed, and error states. The filing approval flow must have: computed, pending-approval, approved, submitted, confirmed, and failed states.</w:t>
      </w:r>
    </w:p>
    <w:p>
      <w:pPr>
        <w:pStyle w:val="Heading2"/>
        <w:spacing w:after="160" w:before="320"/>
      </w:pPr>
      <w:r>
        <w:rPr>
          <w:rFonts w:ascii="Arial" w:cs="Arial" w:eastAsia="Arial" w:hAnsi="Arial"/>
          <w:b/>
          <w:bCs/>
          <w:color w:val="222222"/>
          <w:sz w:val="28"/>
          <w:szCs w:val="28"/>
        </w:rPr>
        <w:t xml:space="preserve">11.8 Display Mode Token System</w:t>
      </w:r>
    </w:p>
    <w:p>
      <w:pPr>
        <w:spacing w:after="120" w:before="80"/>
      </w:pPr>
      <w:r>
        <w:rPr>
          <w:rFonts w:ascii="Arial" w:cs="Arial" w:eastAsia="Arial" w:hAnsi="Arial"/>
          <w:color w:val="333333"/>
          <w:sz w:val="22"/>
          <w:szCs w:val="22"/>
        </w:rPr>
        <w:t xml:space="preserve">All colour values in the component library must be defined as Figma design tokens, not hardcoded hex values. This is mandatory for the three-mode system to work. Tokens should be named semantically — “background/primary,” “text/heading,” “surface/card” — not as colour values. Each token has three values: one for Light Mode, one for Dark Mode, one for Warm Mode.</w:t>
      </w:r>
    </w:p>
    <w:p>
      <w:pPr>
        <w:pStyle w:val="Heading2"/>
        <w:spacing w:after="160" w:before="320"/>
      </w:pPr>
      <w:r>
        <w:rPr>
          <w:rFonts w:ascii="Arial" w:cs="Arial" w:eastAsia="Arial" w:hAnsi="Arial"/>
          <w:b/>
          <w:bCs/>
          <w:color w:val="222222"/>
          <w:sz w:val="28"/>
          <w:szCs w:val="28"/>
        </w:rPr>
        <w:t xml:space="preserve">11.9 WhatsApp Mockups</w:t>
      </w:r>
    </w:p>
    <w:p>
      <w:pPr>
        <w:spacing w:after="120" w:before="80"/>
      </w:pPr>
      <w:r>
        <w:rPr>
          <w:rFonts w:ascii="Arial" w:cs="Arial" w:eastAsia="Arial" w:hAnsi="Arial"/>
          <w:color w:val="333333"/>
          <w:sz w:val="22"/>
          <w:szCs w:val="22"/>
        </w:rPr>
        <w:t xml:space="preserve">Any WhatsApp phone mockup used in the marketing site or in the Integrations module must use realistic, specific, and original message content. Placeholder text like “Message goes here” is not acceptable. Messages must read as real Taaxbro notifications in the context of a Nigerian business — specific business names, invoice numbers, Naira amounts. The designer should write these messages in collaboration with the product team.</w:t>
      </w:r>
    </w:p>
    <w:p>
      <w:pPr>
        <w:pBdr>
          <w:bottom w:val="single" w:color="DDDDDD" w:sz="4" w:space="1"/>
        </w:pBdr>
        <w:spacing w:after="240" w:before="240"/>
      </w:pPr>
    </w:p>
    <w:p>
      <w:r>
        <w:br w:type="page"/>
      </w:r>
    </w:p>
    <w:p>
      <w:pPr>
        <w:pStyle w:val="Heading1"/>
        <w:spacing w:after="200" w:before="480"/>
      </w:pPr>
      <w:r>
        <w:rPr>
          <w:rFonts w:ascii="Arial" w:cs="Arial" w:eastAsia="Arial" w:hAnsi="Arial"/>
          <w:b/>
          <w:bCs/>
          <w:color w:val="111111"/>
          <w:sz w:val="36"/>
          <w:szCs w:val="36"/>
        </w:rPr>
        <w:t xml:space="preserve">12. Deliverables Expected from Designer</w:t>
      </w:r>
    </w:p>
    <w:p>
      <w:pPr>
        <w:pStyle w:val="ListParagraph"/>
        <w:numPr>
          <w:ilvl w:val="0"/>
          <w:numId w:val="2"/>
        </w:numPr>
        <w:spacing w:after="60" w:before="60"/>
      </w:pPr>
      <w:r>
        <w:rPr>
          <w:rFonts w:ascii="Arial" w:cs="Arial" w:eastAsia="Arial" w:hAnsi="Arial"/>
          <w:color w:val="333333"/>
          <w:sz w:val="22"/>
          <w:szCs w:val="22"/>
        </w:rPr>
        <w:t xml:space="preserve">Complete Figma project file organised into four top-level sections: Marketing Site, User App, Accountant Portal, and Admin ERP</w:t>
      </w:r>
    </w:p>
    <w:p>
      <w:pPr>
        <w:pStyle w:val="ListParagraph"/>
        <w:numPr>
          <w:ilvl w:val="0"/>
          <w:numId w:val="2"/>
        </w:numPr>
        <w:spacing w:after="60" w:before="60"/>
      </w:pPr>
      <w:r>
        <w:rPr>
          <w:rFonts w:ascii="Arial" w:cs="Arial" w:eastAsia="Arial" w:hAnsi="Arial"/>
          <w:color w:val="333333"/>
          <w:sz w:val="22"/>
          <w:szCs w:val="22"/>
        </w:rPr>
        <w:t xml:space="preserve">Full component library in Figma with named components and all variants — including all three display mode themes (Light, Dark, Warm) — shared across all four surfaces</w:t>
      </w:r>
    </w:p>
    <w:p>
      <w:pPr>
        <w:pStyle w:val="ListParagraph"/>
        <w:numPr>
          <w:ilvl w:val="0"/>
          <w:numId w:val="2"/>
        </w:numPr>
        <w:spacing w:after="60" w:before="60"/>
      </w:pPr>
      <w:r>
        <w:rPr>
          <w:rFonts w:ascii="Arial" w:cs="Arial" w:eastAsia="Arial" w:hAnsi="Arial"/>
          <w:color w:val="333333"/>
          <w:sz w:val="22"/>
          <w:szCs w:val="22"/>
        </w:rPr>
        <w:t xml:space="preserve">Prototype flows for: onboarding (SME and freelancer paths), sending and paying an invoice (including auto-reconciliation notification), OCR receipt scan to Books (all three capture methods), WhatsApp VAT verification walkthrough, creating and approving a tax filing, accountant bulk-filing across multiple clients, and the admin team responding to a support ticket</w:t>
      </w:r>
    </w:p>
    <w:p>
      <w:pPr>
        <w:pStyle w:val="ListParagraph"/>
        <w:numPr>
          <w:ilvl w:val="0"/>
          <w:numId w:val="2"/>
        </w:numPr>
        <w:spacing w:after="60" w:before="60"/>
      </w:pPr>
      <w:r>
        <w:rPr>
          <w:rFonts w:ascii="Arial" w:cs="Arial" w:eastAsia="Arial" w:hAnsi="Arial"/>
          <w:color w:val="333333"/>
          <w:sz w:val="22"/>
          <w:szCs w:val="22"/>
        </w:rPr>
        <w:t xml:space="preserve">Annotated screens for all role-based access restrictions, all interactive states, all display mode behaviours, and any animation or behaviour that requires developer clarification</w:t>
      </w:r>
    </w:p>
    <w:p>
      <w:pPr>
        <w:pStyle w:val="ListParagraph"/>
        <w:numPr>
          <w:ilvl w:val="0"/>
          <w:numId w:val="2"/>
        </w:numPr>
        <w:spacing w:after="60" w:before="60"/>
      </w:pPr>
      <w:r>
        <w:rPr>
          <w:rFonts w:ascii="Arial" w:cs="Arial" w:eastAsia="Arial" w:hAnsi="Arial"/>
          <w:color w:val="333333"/>
          <w:sz w:val="22"/>
          <w:szCs w:val="22"/>
        </w:rPr>
        <w:t xml:space="preserve">All three display mode themes applied to at least the Dashboard, the Tax module filing review screen, and the OCR scanner as priority screens</w:t>
      </w:r>
    </w:p>
    <w:p>
      <w:pPr>
        <w:pStyle w:val="ListParagraph"/>
        <w:numPr>
          <w:ilvl w:val="0"/>
          <w:numId w:val="2"/>
        </w:numPr>
        <w:spacing w:after="60" w:before="60"/>
      </w:pPr>
      <w:r>
        <w:rPr>
          <w:rFonts w:ascii="Arial" w:cs="Arial" w:eastAsia="Arial" w:hAnsi="Arial"/>
          <w:color w:val="333333"/>
          <w:sz w:val="22"/>
          <w:szCs w:val="22"/>
        </w:rPr>
        <w:t xml:space="preserve">Exported assets in SVG and PNG format for icons and illustrations</w:t>
      </w:r>
    </w:p>
    <w:p>
      <w:pPr>
        <w:pStyle w:val="ListParagraph"/>
        <w:numPr>
          <w:ilvl w:val="0"/>
          <w:numId w:val="2"/>
        </w:numPr>
        <w:spacing w:after="60" w:before="60"/>
      </w:pPr>
      <w:r>
        <w:rPr>
          <w:rFonts w:ascii="Arial" w:cs="Arial" w:eastAsia="Arial" w:hAnsi="Arial"/>
          <w:color w:val="333333"/>
          <w:sz w:val="22"/>
          <w:szCs w:val="22"/>
        </w:rPr>
        <w:t xml:space="preserve">Admin ERP and Accountant Portal screens clearly marked as internal-only or restricted in the Figma file structure</w:t>
      </w:r>
    </w:p>
    <w:p>
      <w:pPr>
        <w:pStyle w:val="ListParagraph"/>
        <w:numPr>
          <w:ilvl w:val="0"/>
          <w:numId w:val="2"/>
        </w:numPr>
        <w:spacing w:after="60" w:before="60"/>
      </w:pPr>
      <w:r>
        <w:rPr>
          <w:rFonts w:ascii="Arial" w:cs="Arial" w:eastAsia="Arial" w:hAnsi="Arial"/>
          <w:color w:val="333333"/>
          <w:sz w:val="22"/>
          <w:szCs w:val="22"/>
        </w:rPr>
        <w:t xml:space="preserve">WhatsApp phone mockups with original, realistic message content as specified in Section 11.9</w:t>
      </w:r>
    </w:p>
    <w:p>
      <w:pPr>
        <w:pBdr>
          <w:bottom w:val="single" w:color="DDDDDD" w:sz="4" w:space="1"/>
        </w:pBdr>
        <w:spacing w:after="240" w:before="240"/>
      </w:pPr>
    </w:p>
    <w:p>
      <w:pPr>
        <w:pStyle w:val="Heading1"/>
        <w:spacing w:after="200" w:before="480"/>
      </w:pPr>
      <w:r>
        <w:rPr>
          <w:rFonts w:ascii="Arial" w:cs="Arial" w:eastAsia="Arial" w:hAnsi="Arial"/>
          <w:b/>
          <w:bCs/>
          <w:color w:val="111111"/>
          <w:sz w:val="36"/>
          <w:szCs w:val="36"/>
        </w:rPr>
        <w:t xml:space="preserve">13. Open Items for Designer Clarification</w:t>
      </w:r>
    </w:p>
    <w:p>
      <w:pPr>
        <w:pStyle w:val="ListParagraph"/>
        <w:numPr>
          <w:ilvl w:val="0"/>
          <w:numId w:val="2"/>
        </w:numPr>
        <w:spacing w:after="60" w:before="60"/>
      </w:pPr>
      <w:r>
        <w:rPr>
          <w:rFonts w:ascii="Arial" w:cs="Arial" w:eastAsia="Arial" w:hAnsi="Arial"/>
          <w:color w:val="333333"/>
          <w:sz w:val="22"/>
          <w:szCs w:val="22"/>
        </w:rPr>
        <w:t xml:space="preserve">Illustration style — geometric, isometric, or character-based? Taaxbro’s warmth suggests character-based or organic shapes lean better than cold isometric geometry, but this is to be confirmed with the product team</w:t>
      </w:r>
    </w:p>
    <w:p>
      <w:pPr>
        <w:pStyle w:val="ListParagraph"/>
        <w:numPr>
          <w:ilvl w:val="0"/>
          <w:numId w:val="2"/>
        </w:numPr>
        <w:spacing w:after="60" w:before="60"/>
      </w:pPr>
      <w:r>
        <w:rPr>
          <w:rFonts w:ascii="Arial" w:cs="Arial" w:eastAsia="Arial" w:hAnsi="Arial"/>
          <w:color w:val="333333"/>
          <w:sz w:val="22"/>
          <w:szCs w:val="22"/>
        </w:rPr>
        <w:t xml:space="preserve">Chart library aesthetic — preferred visual style for data visualisations inside the dashboard and Compliance Hub</w:t>
      </w:r>
    </w:p>
    <w:p>
      <w:pPr>
        <w:pStyle w:val="ListParagraph"/>
        <w:numPr>
          <w:ilvl w:val="0"/>
          <w:numId w:val="2"/>
        </w:numPr>
        <w:spacing w:after="60" w:before="60"/>
      </w:pPr>
      <w:r>
        <w:rPr>
          <w:rFonts w:ascii="Arial" w:cs="Arial" w:eastAsia="Arial" w:hAnsi="Arial"/>
          <w:color w:val="333333"/>
          <w:sz w:val="22"/>
          <w:szCs w:val="22"/>
        </w:rPr>
        <w:t xml:space="preserve">Icon set — preferred library (Phosphor, Heroicons, Feather, or custom). Note that the icon set contributes significantly to the overall personality of the product</w:t>
      </w:r>
    </w:p>
    <w:p>
      <w:pPr>
        <w:pStyle w:val="ListParagraph"/>
        <w:numPr>
          <w:ilvl w:val="0"/>
          <w:numId w:val="2"/>
        </w:numPr>
        <w:spacing w:after="60" w:before="60"/>
      </w:pPr>
      <w:r>
        <w:rPr>
          <w:rFonts w:ascii="Arial" w:cs="Arial" w:eastAsia="Arial" w:hAnsi="Arial"/>
          <w:color w:val="333333"/>
          <w:sz w:val="22"/>
          <w:szCs w:val="22"/>
        </w:rPr>
        <w:t xml:space="preserve">Primary typeface selection — to be agreed between designer and product team before component library is built, as it affects all four surfaces</w:t>
      </w:r>
    </w:p>
    <w:p>
      <w:pPr>
        <w:pStyle w:val="ListParagraph"/>
        <w:numPr>
          <w:ilvl w:val="0"/>
          <w:numId w:val="2"/>
        </w:numPr>
        <w:spacing w:after="60" w:before="60"/>
      </w:pPr>
      <w:r>
        <w:rPr>
          <w:rFonts w:ascii="Arial" w:cs="Arial" w:eastAsia="Arial" w:hAnsi="Arial"/>
          <w:color w:val="333333"/>
          <w:sz w:val="22"/>
          <w:szCs w:val="22"/>
        </w:rPr>
        <w:t xml:space="preserve">Animation and micro-interaction guidance — subtle functional transitions or more expressive motion? The OCR processing screen and compliance score reveal are candidates for expressive animation.</w:t>
      </w:r>
    </w:p>
    <w:p>
      <w:pPr>
        <w:pStyle w:val="ListParagraph"/>
        <w:numPr>
          <w:ilvl w:val="0"/>
          <w:numId w:val="2"/>
        </w:numPr>
        <w:spacing w:after="60" w:before="60"/>
      </w:pPr>
      <w:r>
        <w:rPr>
          <w:rFonts w:ascii="Arial" w:cs="Arial" w:eastAsia="Arial" w:hAnsi="Arial"/>
          <w:color w:val="333333"/>
          <w:sz w:val="22"/>
          <w:szCs w:val="22"/>
        </w:rPr>
        <w:t xml:space="preserve">Warm Mode brand name — confirm that “Warm Mode” is the product name for the amber display mode, or propose alternatives</w:t>
      </w:r>
    </w:p>
    <w:p>
      <w:pPr>
        <w:pStyle w:val="ListParagraph"/>
        <w:numPr>
          <w:ilvl w:val="0"/>
          <w:numId w:val="2"/>
        </w:numPr>
        <w:spacing w:after="60" w:before="60"/>
      </w:pPr>
      <w:r>
        <w:rPr>
          <w:rFonts w:ascii="Arial" w:cs="Arial" w:eastAsia="Arial" w:hAnsi="Arial"/>
          <w:color w:val="333333"/>
          <w:sz w:val="22"/>
          <w:szCs w:val="22"/>
        </w:rPr>
        <w:t xml:space="preserve">WhatsApp mockup message copy — designer to draft realistic message content for review and approval by product team before mockups are finalised</w:t>
      </w:r>
    </w:p>
    <w:p>
      <w:pPr>
        <w:pStyle w:val="ListParagraph"/>
        <w:numPr>
          <w:ilvl w:val="0"/>
          <w:numId w:val="2"/>
        </w:numPr>
        <w:spacing w:after="60" w:before="60"/>
      </w:pPr>
      <w:r>
        <w:rPr>
          <w:rFonts w:ascii="Arial" w:cs="Arial" w:eastAsia="Arial" w:hAnsi="Arial"/>
          <w:color w:val="333333"/>
          <w:sz w:val="22"/>
          <w:szCs w:val="22"/>
        </w:rPr>
        <w:t xml:space="preserve">Accountant Portal branding — does the Accountant Portal carry the Taaxbro brand directly, or a sub-brand (e.g., “Taaxbro Pro”)?</w:t>
      </w:r>
    </w:p>
    <w:p>
      <w:pPr>
        <w:pStyle w:val="ListParagraph"/>
        <w:numPr>
          <w:ilvl w:val="0"/>
          <w:numId w:val="2"/>
        </w:numPr>
        <w:spacing w:after="60" w:before="60"/>
      </w:pPr>
      <w:r>
        <w:rPr>
          <w:rFonts w:ascii="Arial" w:cs="Arial" w:eastAsia="Arial" w:hAnsi="Arial"/>
          <w:color w:val="333333"/>
          <w:sz w:val="22"/>
          <w:szCs w:val="22"/>
        </w:rPr>
        <w:t xml:space="preserve">OCR confidence indicator visual treatment — how to display uncertain extractions in the review screen without alarming the user</w:t>
      </w:r>
    </w:p>
    <w:p>
      <w:pPr>
        <w:pStyle w:val="ListParagraph"/>
        <w:numPr>
          <w:ilvl w:val="0"/>
          <w:numId w:val="2"/>
        </w:numPr>
        <w:spacing w:after="60" w:before="60"/>
      </w:pPr>
      <w:r>
        <w:rPr>
          <w:rFonts w:ascii="Arial" w:cs="Arial" w:eastAsia="Arial" w:hAnsi="Arial"/>
          <w:color w:val="333333"/>
          <w:sz w:val="22"/>
          <w:szCs w:val="22"/>
        </w:rPr>
        <w:t xml:space="preserve">Compliance Score visual form — ring gauge, bar, number with status label, or a more custom visual? This score appears in multiple places and its visual form sets a recurring pattern.</w:t>
      </w:r>
    </w:p>
    <w:p>
      <w:pPr>
        <w:spacing w:after="200" w:before="480"/>
        <w:jc w:val="center"/>
      </w:pPr>
      <w:r>
        <w:rPr>
          <w:rFonts w:ascii="Arial" w:cs="Arial" w:eastAsia="Arial" w:hAnsi="Arial"/>
          <w:i/>
          <w:iCs/>
          <w:color w:val="AAAAAA"/>
          <w:sz w:val="22"/>
          <w:szCs w:val="22"/>
        </w:rPr>
        <w:t xml:space="preserve">— End of Brief —</w:t>
      </w:r>
    </w:p>
    <w:p>
      <w:pPr>
        <w:spacing w:after="80" w:before="0"/>
        <w:jc w:val="center"/>
      </w:pPr>
      <w:r>
        <w:rPr>
          <w:rFonts w:ascii="Arial" w:cs="Arial" w:eastAsia="Arial" w:hAnsi="Arial"/>
          <w:color w:val="BBBBBB"/>
          <w:sz w:val="20"/>
          <w:szCs w:val="20"/>
        </w:rPr>
        <w:t xml:space="preserve">Taaxbro  ·  Confidential  ·  Version 2.0  ·  May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11111"/>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2222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2026-05-03T11:13:03.565Z</dcterms:created>
  <dcterms:modified xsi:type="dcterms:W3CDTF">2026-05-03T11:13:03.565Z</dcterms:modified>
</cp:coreProperties>
</file>

<file path=docProps/custom.xml><?xml version="1.0" encoding="utf-8"?>
<Properties xmlns="http://schemas.openxmlformats.org/officeDocument/2006/custom-properties" xmlns:vt="http://schemas.openxmlformats.org/officeDocument/2006/docPropsVTypes"/>
</file>