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9F60" w14:textId="77777777" w:rsidR="00D36637" w:rsidRDefault="00000000">
      <w:pPr>
        <w:pStyle w:val="MQTableTitle"/>
      </w:pPr>
      <w:r>
        <w:t>Code Matrix Browser</w:t>
      </w:r>
    </w:p>
    <w:tbl>
      <w:tblPr>
        <w:tblW w:w="15138" w:type="dxa"/>
        <w:tblBorders>
          <w:top w:val="none" w:sz="0" w:space="0" w:color="FFFFFF"/>
          <w:left w:val="none" w:sz="0" w:space="0" w:color="FFFFFF"/>
          <w:bottom w:val="single" w:sz="4" w:space="0" w:color="BFBFB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377"/>
        <w:gridCol w:w="1377"/>
        <w:gridCol w:w="1376"/>
        <w:gridCol w:w="1376"/>
        <w:gridCol w:w="1376"/>
        <w:gridCol w:w="1376"/>
        <w:gridCol w:w="1376"/>
        <w:gridCol w:w="1376"/>
        <w:gridCol w:w="1376"/>
        <w:gridCol w:w="1376"/>
        <w:gridCol w:w="1376"/>
      </w:tblGrid>
      <w:tr w:rsidR="00D36637" w:rsidRPr="00483F48" w14:paraId="78B337A1" w14:textId="77777777">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1C2DF72D" w14:textId="77777777" w:rsidR="00D36637" w:rsidRDefault="00D36637">
            <w:pPr>
              <w:spacing w:after="0" w:line="240" w:lineRule="auto"/>
            </w:pP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A702FE6" w14:textId="77777777" w:rsidR="00D36637" w:rsidRDefault="00000000">
            <w:pPr>
              <w:spacing w:after="0" w:line="240" w:lineRule="auto"/>
            </w:pPr>
            <w:r>
              <w:rPr>
                <w:rFonts w:ascii="Arial" w:eastAsia="Arial" w:hAnsi="Arial" w:cs="Arial"/>
                <w:b/>
                <w:bCs/>
                <w:color w:val="000000"/>
                <w:sz w:val="20"/>
                <w:szCs w:val="20"/>
                <w:lang w:val="en-US" w:eastAsia="en-US"/>
              </w:rPr>
              <w:t xml:space="preserve"> Іnstitutional breakdown &amp; crisis  </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CEA4706" w14:textId="77777777" w:rsidR="00D36637" w:rsidRDefault="00000000">
            <w:pPr>
              <w:spacing w:after="0" w:line="240" w:lineRule="auto"/>
            </w:pPr>
            <w:r>
              <w:rPr>
                <w:rFonts w:ascii="Arial" w:eastAsia="Arial" w:hAnsi="Arial" w:cs="Arial"/>
                <w:b/>
                <w:bCs/>
                <w:color w:val="000000"/>
                <w:sz w:val="20"/>
                <w:szCs w:val="20"/>
                <w:lang w:val="en-US" w:eastAsia="en-US"/>
              </w:rPr>
              <w:t>Third-Order Change (Hall)</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32B37B0F" w14:textId="77777777" w:rsidR="00D36637" w:rsidRDefault="00000000">
            <w:pPr>
              <w:spacing w:after="0" w:line="240" w:lineRule="auto"/>
            </w:pPr>
            <w:r>
              <w:rPr>
                <w:rFonts w:ascii="Arial" w:eastAsia="Arial" w:hAnsi="Arial" w:cs="Arial"/>
                <w:b/>
                <w:bCs/>
                <w:color w:val="000000"/>
                <w:sz w:val="20"/>
                <w:szCs w:val="20"/>
                <w:lang w:val="en-US" w:eastAsia="en-US"/>
              </w:rPr>
              <w:t xml:space="preserve"> Learning from Others</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A84CC09" w14:textId="77777777" w:rsidR="00D36637" w:rsidRDefault="00000000">
            <w:pPr>
              <w:spacing w:after="0" w:line="240" w:lineRule="auto"/>
            </w:pPr>
            <w:r>
              <w:rPr>
                <w:rFonts w:ascii="Arial" w:eastAsia="Arial" w:hAnsi="Arial" w:cs="Arial"/>
                <w:b/>
                <w:bCs/>
                <w:color w:val="000000"/>
                <w:sz w:val="20"/>
                <w:szCs w:val="20"/>
                <w:lang w:val="en-US" w:eastAsia="en-US"/>
              </w:rPr>
              <w:t>Emulation / Diffusion</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3944A17" w14:textId="77777777" w:rsidR="00D36637" w:rsidRDefault="00000000">
            <w:pPr>
              <w:spacing w:after="0" w:line="240" w:lineRule="auto"/>
            </w:pPr>
            <w:r>
              <w:rPr>
                <w:rFonts w:ascii="Arial" w:eastAsia="Arial" w:hAnsi="Arial" w:cs="Arial"/>
                <w:b/>
                <w:bCs/>
                <w:color w:val="000000"/>
                <w:sz w:val="20"/>
                <w:szCs w:val="20"/>
                <w:lang w:val="en-US" w:eastAsia="en-US"/>
              </w:rPr>
              <w:t>State Capacity Determines Resilience</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AEB1F83" w14:textId="77777777" w:rsidR="00D36637" w:rsidRDefault="00000000">
            <w:pPr>
              <w:spacing w:after="0" w:line="240" w:lineRule="auto"/>
            </w:pPr>
            <w:r>
              <w:rPr>
                <w:rFonts w:ascii="Arial" w:eastAsia="Arial" w:hAnsi="Arial" w:cs="Arial"/>
                <w:b/>
                <w:bCs/>
                <w:color w:val="000000"/>
                <w:sz w:val="20"/>
                <w:szCs w:val="20"/>
                <w:lang w:val="en-US" w:eastAsia="en-US"/>
              </w:rPr>
              <w:t>Anticipatory Planning</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19249F30" w14:textId="77777777" w:rsidR="00D36637" w:rsidRDefault="00000000">
            <w:pPr>
              <w:spacing w:after="0" w:line="240" w:lineRule="auto"/>
            </w:pPr>
            <w:r>
              <w:rPr>
                <w:rFonts w:ascii="Arial" w:eastAsia="Arial" w:hAnsi="Arial" w:cs="Arial"/>
                <w:b/>
                <w:bCs/>
                <w:color w:val="000000"/>
                <w:sz w:val="20"/>
                <w:szCs w:val="20"/>
                <w:lang w:val="en-US" w:eastAsia="en-US"/>
              </w:rPr>
              <w:t>Pre-Designed Strategy</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CFBA990" w14:textId="77777777" w:rsidR="00D36637" w:rsidRDefault="00000000">
            <w:pPr>
              <w:spacing w:after="0" w:line="240" w:lineRule="auto"/>
            </w:pPr>
            <w:r>
              <w:rPr>
                <w:rFonts w:ascii="Arial" w:eastAsia="Arial" w:hAnsi="Arial" w:cs="Arial"/>
                <w:b/>
                <w:bCs/>
                <w:color w:val="000000"/>
                <w:sz w:val="20"/>
                <w:szCs w:val="20"/>
                <w:lang w:val="en-US" w:eastAsia="en-US"/>
              </w:rPr>
              <w:t>Hall – Policy Paradigms &amp; Change</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DA4CAD5" w14:textId="77777777" w:rsidR="00D36637" w:rsidRDefault="00000000">
            <w:pPr>
              <w:spacing w:after="0" w:line="240" w:lineRule="auto"/>
            </w:pPr>
            <w:r>
              <w:rPr>
                <w:rFonts w:ascii="Arial" w:eastAsia="Arial" w:hAnsi="Arial" w:cs="Arial"/>
                <w:b/>
                <w:bCs/>
                <w:color w:val="000000"/>
                <w:sz w:val="20"/>
                <w:szCs w:val="20"/>
                <w:lang w:val="en-US" w:eastAsia="en-US"/>
              </w:rPr>
              <w:t>Beissinger – Mobilization &amp; Emulation</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6063F32" w14:textId="77777777" w:rsidR="00D36637" w:rsidRPr="00874ED4" w:rsidRDefault="00000000">
            <w:pPr>
              <w:spacing w:after="0" w:line="240" w:lineRule="auto"/>
              <w:rPr>
                <w:lang w:val="en-US"/>
              </w:rPr>
            </w:pPr>
            <w:r>
              <w:rPr>
                <w:rFonts w:ascii="Arial" w:eastAsia="Arial" w:hAnsi="Arial" w:cs="Arial"/>
                <w:b/>
                <w:bCs/>
                <w:color w:val="000000"/>
                <w:sz w:val="20"/>
                <w:szCs w:val="20"/>
                <w:lang w:val="en-US" w:eastAsia="en-US"/>
              </w:rPr>
              <w:t>Beissinger – Mobilization &amp; Emulation &gt; Learning from Estonia – empirical evidence</w:t>
            </w:r>
          </w:p>
        </w:tc>
      </w:tr>
      <w:tr w:rsidR="00D36637" w14:paraId="6E0ADB1E" w14:textId="77777777">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E6A0CDC" w14:textId="33080EEA" w:rsidR="00D36637" w:rsidRPr="00C72A7E" w:rsidRDefault="00000000">
            <w:pPr>
              <w:spacing w:after="0" w:line="240" w:lineRule="auto"/>
              <w:rPr>
                <w:lang w:val="en-US"/>
              </w:rPr>
            </w:pPr>
            <w:r>
              <w:rPr>
                <w:rFonts w:ascii="Arial" w:eastAsia="Arial" w:hAnsi="Arial" w:cs="Arial"/>
                <w:color w:val="000000"/>
                <w:sz w:val="20"/>
                <w:szCs w:val="20"/>
                <w:lang w:val="en-US" w:eastAsia="en-US"/>
              </w:rPr>
              <w:t>Estonia case _pr</w:t>
            </w:r>
            <w:r w:rsidR="00874ED4" w:rsidRPr="00C72A7E">
              <w:rPr>
                <w:rFonts w:ascii="Arial" w:eastAsia="Arial" w:hAnsi="Arial" w:cs="Arial"/>
                <w:color w:val="000000"/>
                <w:sz w:val="20"/>
                <w:szCs w:val="20"/>
                <w:lang w:val="en-US" w:eastAsia="en-US"/>
              </w:rPr>
              <w:t>i</w:t>
            </w:r>
            <w:r>
              <w:rPr>
                <w:rFonts w:ascii="Arial" w:eastAsia="Arial" w:hAnsi="Arial" w:cs="Arial"/>
                <w:color w:val="000000"/>
                <w:sz w:val="20"/>
                <w:szCs w:val="20"/>
                <w:lang w:val="en-US" w:eastAsia="en-US"/>
              </w:rPr>
              <w:t xml:space="preserve">mary </w:t>
            </w:r>
            <w:proofErr w:type="spellStart"/>
            <w:r>
              <w:rPr>
                <w:rFonts w:ascii="Arial" w:eastAsia="Arial" w:hAnsi="Arial" w:cs="Arial"/>
                <w:color w:val="000000"/>
                <w:sz w:val="20"/>
                <w:szCs w:val="20"/>
                <w:lang w:val="en-US" w:eastAsia="en-US"/>
              </w:rPr>
              <w:t>Sourses</w:t>
            </w:r>
            <w:proofErr w:type="spellEnd"/>
            <w:r>
              <w:rPr>
                <w:rFonts w:ascii="Arial" w:eastAsia="Arial" w:hAnsi="Arial" w:cs="Arial"/>
                <w:color w:val="000000"/>
                <w:sz w:val="20"/>
                <w:szCs w:val="20"/>
                <w:lang w:val="en-US" w:eastAsia="en-US"/>
              </w:rPr>
              <w:t xml:space="preserve"> and speeches </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157C00A8"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131F15D"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4056FCE"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F9EDE57"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6CC4ABC2"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FFE30DB"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65A5134E"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8E277B3"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7316B1C4" w14:textId="77777777" w:rsidR="00D36637" w:rsidRDefault="00000000">
            <w:pPr>
              <w:spacing w:after="0" w:line="240" w:lineRule="auto"/>
            </w:pPr>
            <w:r>
              <w:rPr>
                <w:rFonts w:ascii="Arial" w:eastAsia="Arial" w:hAnsi="Arial" w:cs="Arial"/>
                <w:color w:val="000000"/>
                <w:sz w:val="20"/>
                <w:szCs w:val="20"/>
                <w:lang w:val="en-US" w:eastAsia="en-US"/>
              </w:rPr>
              <w:t>13,17%</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8AE9EB1" w14:textId="77777777" w:rsidR="00D36637" w:rsidRDefault="00000000">
            <w:pPr>
              <w:spacing w:after="0" w:line="240" w:lineRule="auto"/>
            </w:pPr>
            <w:r>
              <w:rPr>
                <w:rFonts w:ascii="Arial" w:eastAsia="Arial" w:hAnsi="Arial" w:cs="Arial"/>
                <w:color w:val="000000"/>
                <w:sz w:val="20"/>
                <w:szCs w:val="20"/>
                <w:lang w:val="en-US" w:eastAsia="en-US"/>
              </w:rPr>
              <w:t>48,15%</w:t>
            </w:r>
          </w:p>
        </w:tc>
      </w:tr>
      <w:tr w:rsidR="00D36637" w14:paraId="58CFB378" w14:textId="77777777">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3185008A" w14:textId="77777777" w:rsidR="00D36637" w:rsidRPr="00874ED4" w:rsidRDefault="00000000">
            <w:pPr>
              <w:spacing w:after="0" w:line="240" w:lineRule="auto"/>
              <w:rPr>
                <w:lang w:val="en-US"/>
              </w:rPr>
            </w:pPr>
            <w:r>
              <w:rPr>
                <w:rFonts w:ascii="Arial" w:eastAsia="Arial" w:hAnsi="Arial" w:cs="Arial"/>
                <w:color w:val="000000"/>
                <w:sz w:val="20"/>
                <w:szCs w:val="20"/>
                <w:lang w:val="en-US" w:eastAsia="en-US"/>
              </w:rPr>
              <w:t>Primary Legal and Strategic Documents</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6728486" w14:textId="77777777" w:rsidR="00D36637" w:rsidRDefault="00000000">
            <w:pPr>
              <w:spacing w:after="0" w:line="240" w:lineRule="auto"/>
            </w:pPr>
            <w:r>
              <w:rPr>
                <w:rFonts w:ascii="Arial" w:eastAsia="Arial" w:hAnsi="Arial" w:cs="Arial"/>
                <w:color w:val="000000"/>
                <w:sz w:val="20"/>
                <w:szCs w:val="20"/>
                <w:lang w:val="en-US" w:eastAsia="en-US"/>
              </w:rPr>
              <w:t>3,70%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252F315" w14:textId="77777777" w:rsidR="00D36637" w:rsidRDefault="00000000">
            <w:pPr>
              <w:spacing w:after="0" w:line="240" w:lineRule="auto"/>
            </w:pPr>
            <w:r>
              <w:rPr>
                <w:rFonts w:ascii="Arial" w:eastAsia="Arial" w:hAnsi="Arial" w:cs="Arial"/>
                <w:color w:val="000000"/>
                <w:sz w:val="20"/>
                <w:szCs w:val="20"/>
                <w:lang w:val="en-US" w:eastAsia="en-US"/>
              </w:rPr>
              <w:t>0,41%</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3441D68" w14:textId="77777777" w:rsidR="00D36637" w:rsidRDefault="00000000">
            <w:pPr>
              <w:spacing w:after="0" w:line="240" w:lineRule="auto"/>
            </w:pPr>
            <w:r>
              <w:rPr>
                <w:rFonts w:ascii="Arial" w:eastAsia="Arial" w:hAnsi="Arial" w:cs="Arial"/>
                <w:color w:val="000000"/>
                <w:sz w:val="20"/>
                <w:szCs w:val="20"/>
                <w:lang w:val="en-US" w:eastAsia="en-US"/>
              </w:rPr>
              <w:t>2,47%</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7290224"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6B43E403" w14:textId="77777777" w:rsidR="00D36637" w:rsidRDefault="00000000">
            <w:pPr>
              <w:spacing w:after="0" w:line="240" w:lineRule="auto"/>
            </w:pPr>
            <w:r>
              <w:rPr>
                <w:rFonts w:ascii="Arial" w:eastAsia="Arial" w:hAnsi="Arial" w:cs="Arial"/>
                <w:color w:val="000000"/>
                <w:sz w:val="20"/>
                <w:szCs w:val="20"/>
                <w:lang w:val="en-US" w:eastAsia="en-US"/>
              </w:rPr>
              <w:t>2,88%</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68F2520" w14:textId="77777777" w:rsidR="00D36637" w:rsidRDefault="00000000">
            <w:pPr>
              <w:spacing w:after="0" w:line="240" w:lineRule="auto"/>
            </w:pPr>
            <w:r>
              <w:rPr>
                <w:rFonts w:ascii="Arial" w:eastAsia="Arial" w:hAnsi="Arial" w:cs="Arial"/>
                <w:color w:val="000000"/>
                <w:sz w:val="20"/>
                <w:szCs w:val="20"/>
                <w:lang w:val="en-US" w:eastAsia="en-US"/>
              </w:rPr>
              <w:t>0,41%</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C9014F7" w14:textId="77777777" w:rsidR="00D36637" w:rsidRDefault="00000000">
            <w:pPr>
              <w:spacing w:after="0" w:line="240" w:lineRule="auto"/>
            </w:pPr>
            <w:r>
              <w:rPr>
                <w:rFonts w:ascii="Arial" w:eastAsia="Arial" w:hAnsi="Arial" w:cs="Arial"/>
                <w:color w:val="000000"/>
                <w:sz w:val="20"/>
                <w:szCs w:val="20"/>
                <w:lang w:val="en-US" w:eastAsia="en-US"/>
              </w:rPr>
              <w:t>0,21%</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1E81277E" w14:textId="77777777" w:rsidR="00D36637" w:rsidRDefault="00000000">
            <w:pPr>
              <w:spacing w:after="0" w:line="240" w:lineRule="auto"/>
            </w:pPr>
            <w:r>
              <w:rPr>
                <w:rFonts w:ascii="Arial" w:eastAsia="Arial" w:hAnsi="Arial" w:cs="Arial"/>
                <w:color w:val="000000"/>
                <w:sz w:val="20"/>
                <w:szCs w:val="20"/>
                <w:lang w:val="en-US" w:eastAsia="en-US"/>
              </w:rPr>
              <w:t>5,14%</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BD4C57E" w14:textId="77777777" w:rsidR="00D36637" w:rsidRDefault="00000000">
            <w:pPr>
              <w:spacing w:after="0" w:line="240" w:lineRule="auto"/>
            </w:pPr>
            <w:r>
              <w:rPr>
                <w:rFonts w:ascii="Arial" w:eastAsia="Arial" w:hAnsi="Arial" w:cs="Arial"/>
                <w:color w:val="000000"/>
                <w:sz w:val="20"/>
                <w:szCs w:val="20"/>
                <w:lang w:val="en-US" w:eastAsia="en-US"/>
              </w:rPr>
              <w:t>1,03%</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CA95FDF" w14:textId="77777777" w:rsidR="00D36637" w:rsidRDefault="00000000">
            <w:pPr>
              <w:spacing w:after="0" w:line="240" w:lineRule="auto"/>
            </w:pPr>
            <w:r>
              <w:rPr>
                <w:rFonts w:ascii="Arial" w:eastAsia="Arial" w:hAnsi="Arial" w:cs="Arial"/>
                <w:color w:val="000000"/>
                <w:sz w:val="20"/>
                <w:szCs w:val="20"/>
                <w:lang w:val="en-US" w:eastAsia="en-US"/>
              </w:rPr>
              <w:t>0,00%</w:t>
            </w:r>
          </w:p>
        </w:tc>
      </w:tr>
      <w:tr w:rsidR="00D36637" w14:paraId="5D5EC789" w14:textId="77777777">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3324EB0B" w14:textId="77777777" w:rsidR="00D36637" w:rsidRDefault="00000000">
            <w:pPr>
              <w:spacing w:after="0" w:line="240" w:lineRule="auto"/>
            </w:pPr>
            <w:r>
              <w:rPr>
                <w:rFonts w:ascii="Arial" w:eastAsia="Arial" w:hAnsi="Arial" w:cs="Arial"/>
                <w:color w:val="000000"/>
                <w:sz w:val="20"/>
                <w:szCs w:val="20"/>
                <w:lang w:val="en-US" w:eastAsia="en-US"/>
              </w:rPr>
              <w:t xml:space="preserve"> Empirical/conflict-specific sources </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2A59E6C7"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5F73BB4"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08BA5950" w14:textId="77777777" w:rsidR="00D36637" w:rsidRDefault="00000000">
            <w:pPr>
              <w:spacing w:after="0" w:line="240" w:lineRule="auto"/>
            </w:pPr>
            <w:r>
              <w:rPr>
                <w:rFonts w:ascii="Arial" w:eastAsia="Arial" w:hAnsi="Arial" w:cs="Arial"/>
                <w:color w:val="000000"/>
                <w:sz w:val="20"/>
                <w:szCs w:val="20"/>
                <w:lang w:val="en-US" w:eastAsia="en-US"/>
              </w:rPr>
              <w:t>2,06%</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7000FB45" w14:textId="77777777" w:rsidR="00D36637" w:rsidRDefault="00000000">
            <w:pPr>
              <w:spacing w:after="0" w:line="240" w:lineRule="auto"/>
            </w:pPr>
            <w:r>
              <w:rPr>
                <w:rFonts w:ascii="Arial" w:eastAsia="Arial" w:hAnsi="Arial" w:cs="Arial"/>
                <w:color w:val="000000"/>
                <w:sz w:val="20"/>
                <w:szCs w:val="20"/>
                <w:lang w:val="en-US" w:eastAsia="en-US"/>
              </w:rPr>
              <w:t>1,03%</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70B48285" w14:textId="77777777" w:rsidR="00D36637" w:rsidRDefault="00000000">
            <w:pPr>
              <w:spacing w:after="0" w:line="240" w:lineRule="auto"/>
            </w:pPr>
            <w:r>
              <w:rPr>
                <w:rFonts w:ascii="Arial" w:eastAsia="Arial" w:hAnsi="Arial" w:cs="Arial"/>
                <w:color w:val="000000"/>
                <w:sz w:val="20"/>
                <w:szCs w:val="20"/>
                <w:lang w:val="en-US" w:eastAsia="en-US"/>
              </w:rPr>
              <w:t>3,29%</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58001D47" w14:textId="77777777" w:rsidR="00D36637" w:rsidRDefault="00000000">
            <w:pPr>
              <w:spacing w:after="0" w:line="240" w:lineRule="auto"/>
            </w:pPr>
            <w:r>
              <w:rPr>
                <w:rFonts w:ascii="Arial" w:eastAsia="Arial" w:hAnsi="Arial" w:cs="Arial"/>
                <w:color w:val="000000"/>
                <w:sz w:val="20"/>
                <w:szCs w:val="20"/>
                <w:lang w:val="en-US" w:eastAsia="en-US"/>
              </w:rPr>
              <w:t>2,88%</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17701B77" w14:textId="77777777" w:rsidR="00D36637" w:rsidRDefault="00000000">
            <w:pPr>
              <w:spacing w:after="0" w:line="240" w:lineRule="auto"/>
            </w:pPr>
            <w:r>
              <w:rPr>
                <w:rFonts w:ascii="Arial" w:eastAsia="Arial" w:hAnsi="Arial" w:cs="Arial"/>
                <w:color w:val="000000"/>
                <w:sz w:val="20"/>
                <w:szCs w:val="20"/>
                <w:lang w:val="en-US" w:eastAsia="en-US"/>
              </w:rPr>
              <w:t>2,88%</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2DA6292"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4F0459AC"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single" w:sz="4" w:space="0" w:color="BFBFBF"/>
              <w:right w:val="nil"/>
            </w:tcBorders>
            <w:shd w:val="clear" w:color="auto" w:fill="F0F5FA"/>
            <w:tcMar>
              <w:top w:w="80" w:type="dxa"/>
              <w:left w:w="80" w:type="dxa"/>
              <w:bottom w:w="80" w:type="dxa"/>
              <w:right w:w="80" w:type="dxa"/>
            </w:tcMar>
          </w:tcPr>
          <w:p w14:paraId="74F10521" w14:textId="77777777" w:rsidR="00D36637" w:rsidRDefault="00000000">
            <w:pPr>
              <w:spacing w:after="0" w:line="240" w:lineRule="auto"/>
            </w:pPr>
            <w:r>
              <w:rPr>
                <w:rFonts w:ascii="Arial" w:eastAsia="Arial" w:hAnsi="Arial" w:cs="Arial"/>
                <w:color w:val="000000"/>
                <w:sz w:val="20"/>
                <w:szCs w:val="20"/>
                <w:lang w:val="en-US" w:eastAsia="en-US"/>
              </w:rPr>
              <w:t>0,00%</w:t>
            </w:r>
          </w:p>
        </w:tc>
      </w:tr>
      <w:tr w:rsidR="00D36637" w14:paraId="2C5AD491" w14:textId="77777777">
        <w:tc>
          <w:tcPr>
            <w:tcW w:w="1417" w:type="dxa"/>
            <w:tcBorders>
              <w:top w:val="nil"/>
              <w:left w:val="nil"/>
              <w:bottom w:val="nil"/>
              <w:right w:val="nil"/>
            </w:tcBorders>
            <w:shd w:val="clear" w:color="auto" w:fill="F0F5FA"/>
            <w:tcMar>
              <w:top w:w="80" w:type="dxa"/>
              <w:left w:w="80" w:type="dxa"/>
              <w:bottom w:w="80" w:type="dxa"/>
              <w:right w:w="80" w:type="dxa"/>
            </w:tcMar>
          </w:tcPr>
          <w:p w14:paraId="1819B90D" w14:textId="77777777" w:rsidR="00D36637" w:rsidRDefault="00000000">
            <w:pPr>
              <w:spacing w:after="0" w:line="240" w:lineRule="auto"/>
            </w:pPr>
            <w:r>
              <w:rPr>
                <w:rFonts w:ascii="Arial" w:eastAsia="Arial" w:hAnsi="Arial" w:cs="Arial"/>
                <w:color w:val="000000"/>
                <w:sz w:val="20"/>
                <w:szCs w:val="20"/>
                <w:lang w:val="en-US" w:eastAsia="en-US"/>
              </w:rPr>
              <w:t>Theoretical sources</w:t>
            </w:r>
          </w:p>
        </w:tc>
        <w:tc>
          <w:tcPr>
            <w:tcW w:w="1417" w:type="dxa"/>
            <w:tcBorders>
              <w:top w:val="nil"/>
              <w:left w:val="nil"/>
              <w:bottom w:val="nil"/>
              <w:right w:val="nil"/>
            </w:tcBorders>
            <w:shd w:val="clear" w:color="auto" w:fill="F0F5FA"/>
            <w:tcMar>
              <w:top w:w="80" w:type="dxa"/>
              <w:left w:w="80" w:type="dxa"/>
              <w:bottom w:w="80" w:type="dxa"/>
              <w:right w:w="80" w:type="dxa"/>
            </w:tcMar>
          </w:tcPr>
          <w:p w14:paraId="2DDCD8E1"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0C78E936"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15977C4F"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6F88A54F"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683AB3E5"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2F143D1F"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36799B70" w14:textId="77777777" w:rsidR="00D36637" w:rsidRDefault="00000000">
            <w:pPr>
              <w:spacing w:after="0" w:line="240" w:lineRule="auto"/>
            </w:pPr>
            <w:r>
              <w:rPr>
                <w:rFonts w:ascii="Arial" w:eastAsia="Arial" w:hAnsi="Arial" w:cs="Arial"/>
                <w:color w:val="000000"/>
                <w:sz w:val="20"/>
                <w:szCs w:val="20"/>
                <w:lang w:val="en-US" w:eastAsia="en-US"/>
              </w:rPr>
              <w:t>0,00%</w:t>
            </w:r>
          </w:p>
        </w:tc>
        <w:tc>
          <w:tcPr>
            <w:tcW w:w="1417" w:type="dxa"/>
            <w:tcBorders>
              <w:top w:val="nil"/>
              <w:left w:val="nil"/>
              <w:bottom w:val="nil"/>
              <w:right w:val="nil"/>
            </w:tcBorders>
            <w:shd w:val="clear" w:color="auto" w:fill="F0F5FA"/>
            <w:tcMar>
              <w:top w:w="80" w:type="dxa"/>
              <w:left w:w="80" w:type="dxa"/>
              <w:bottom w:w="80" w:type="dxa"/>
              <w:right w:w="80" w:type="dxa"/>
            </w:tcMar>
          </w:tcPr>
          <w:p w14:paraId="724CF4F8" w14:textId="77777777" w:rsidR="00D36637" w:rsidRDefault="00000000">
            <w:pPr>
              <w:spacing w:after="0" w:line="240" w:lineRule="auto"/>
            </w:pPr>
            <w:r>
              <w:rPr>
                <w:rFonts w:ascii="Arial" w:eastAsia="Arial" w:hAnsi="Arial" w:cs="Arial"/>
                <w:color w:val="000000"/>
                <w:sz w:val="20"/>
                <w:szCs w:val="20"/>
                <w:lang w:val="en-US" w:eastAsia="en-US"/>
              </w:rPr>
              <w:t>3,29%</w:t>
            </w:r>
          </w:p>
        </w:tc>
        <w:tc>
          <w:tcPr>
            <w:tcW w:w="1417" w:type="dxa"/>
            <w:tcBorders>
              <w:top w:val="nil"/>
              <w:left w:val="nil"/>
              <w:bottom w:val="nil"/>
              <w:right w:val="nil"/>
            </w:tcBorders>
            <w:shd w:val="clear" w:color="auto" w:fill="F0F5FA"/>
            <w:tcMar>
              <w:top w:w="80" w:type="dxa"/>
              <w:left w:w="80" w:type="dxa"/>
              <w:bottom w:w="80" w:type="dxa"/>
              <w:right w:w="80" w:type="dxa"/>
            </w:tcMar>
          </w:tcPr>
          <w:p w14:paraId="0D5ED3C5" w14:textId="77777777" w:rsidR="00D36637" w:rsidRDefault="00000000">
            <w:pPr>
              <w:spacing w:after="0" w:line="240" w:lineRule="auto"/>
            </w:pPr>
            <w:r>
              <w:rPr>
                <w:rFonts w:ascii="Arial" w:eastAsia="Arial" w:hAnsi="Arial" w:cs="Arial"/>
                <w:color w:val="000000"/>
                <w:sz w:val="20"/>
                <w:szCs w:val="20"/>
                <w:lang w:val="en-US" w:eastAsia="en-US"/>
              </w:rPr>
              <w:t>7,00%</w:t>
            </w:r>
          </w:p>
        </w:tc>
        <w:tc>
          <w:tcPr>
            <w:tcW w:w="1417" w:type="dxa"/>
            <w:tcBorders>
              <w:top w:val="nil"/>
              <w:left w:val="nil"/>
              <w:bottom w:val="nil"/>
              <w:right w:val="nil"/>
            </w:tcBorders>
            <w:shd w:val="clear" w:color="auto" w:fill="F0F5FA"/>
            <w:tcMar>
              <w:top w:w="80" w:type="dxa"/>
              <w:left w:w="80" w:type="dxa"/>
              <w:bottom w:w="80" w:type="dxa"/>
              <w:right w:w="80" w:type="dxa"/>
            </w:tcMar>
          </w:tcPr>
          <w:p w14:paraId="09EEE1D8" w14:textId="77777777" w:rsidR="00D36637" w:rsidRDefault="00000000">
            <w:pPr>
              <w:spacing w:after="0" w:line="240" w:lineRule="auto"/>
            </w:pPr>
            <w:r>
              <w:rPr>
                <w:rFonts w:ascii="Arial" w:eastAsia="Arial" w:hAnsi="Arial" w:cs="Arial"/>
                <w:color w:val="000000"/>
                <w:sz w:val="20"/>
                <w:szCs w:val="20"/>
                <w:lang w:val="en-US" w:eastAsia="en-US"/>
              </w:rPr>
              <w:t>0,00%</w:t>
            </w:r>
          </w:p>
        </w:tc>
      </w:tr>
    </w:tbl>
    <w:p w14:paraId="339981E3" w14:textId="77777777" w:rsidR="00AD0599" w:rsidRDefault="00AD0599">
      <w:pPr>
        <w:rPr>
          <w:lang w:val="uk-UA"/>
        </w:rPr>
      </w:pPr>
    </w:p>
    <w:p w14:paraId="0711D8B4" w14:textId="06133219" w:rsidR="00C72A7E" w:rsidRPr="00483F48" w:rsidRDefault="00C72A7E">
      <w:pPr>
        <w:rPr>
          <w:lang w:val="en-US"/>
        </w:rPr>
      </w:pPr>
      <w:r w:rsidRPr="00C72A7E">
        <w:rPr>
          <w:lang w:val="en-US"/>
        </w:rPr>
        <w:t xml:space="preserve">The relation matrix below visualizes the intersection between theoretical and empirical codes in my case study analysis. Specifically, it shows how empirical evidence of institutional emulation from Estonia (‘Learning from Estonia – empirical evidence’) intersects with </w:t>
      </w:r>
      <w:proofErr w:type="spellStart"/>
      <w:r w:rsidRPr="00C72A7E">
        <w:rPr>
          <w:lang w:val="en-US"/>
        </w:rPr>
        <w:t>Beissinger’s</w:t>
      </w:r>
      <w:proofErr w:type="spellEnd"/>
      <w:r w:rsidRPr="00C72A7E">
        <w:rPr>
          <w:lang w:val="en-US"/>
        </w:rPr>
        <w:t xml:space="preserve"> theoretical model of mobilization and emulation. The overlapping segments indicate instances where Ukrainian cybersecurity reforms were not only temporally linked to Estonian practices but also narratively and functionally aligned, thus substantiating the theory with process-tracing evidence. This directly addresses the critique regarding coincidental timing or top-down pressure by showing agency and selective institutional learning</w:t>
      </w:r>
      <w:r>
        <w:rPr>
          <w:lang w:val="uk-UA"/>
        </w:rPr>
        <w:t>.</w:t>
      </w:r>
    </w:p>
    <w:p w14:paraId="232D6096" w14:textId="77777777" w:rsidR="00483F48" w:rsidRPr="00483F48" w:rsidRDefault="00483F48" w:rsidP="00483F48">
      <w:pPr>
        <w:spacing w:after="120" w:line="240" w:lineRule="auto"/>
        <w:rPr>
          <w:lang w:val="en-US"/>
        </w:rPr>
      </w:pPr>
      <w:r>
        <w:rPr>
          <w:rFonts w:ascii="Arial" w:eastAsia="Arial" w:hAnsi="Arial" w:cs="Arial"/>
          <w:b/>
          <w:bCs/>
          <w:color w:val="1F497D"/>
          <w:sz w:val="28"/>
          <w:szCs w:val="28"/>
          <w:lang w:val="en-US" w:eastAsia="en-US"/>
        </w:rPr>
        <w:lastRenderedPageBreak/>
        <w:t xml:space="preserve">Learning from Estonia – empirical evidence </w:t>
      </w:r>
      <w:r>
        <w:rPr>
          <w:noProof/>
        </w:rPr>
        <w:drawing>
          <wp:inline distT="0" distB="0" distL="0" distR="0" wp14:anchorId="2CABCA36" wp14:editId="55793A5B">
            <wp:extent cx="146257" cy="146257"/>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
                    <pic:cNvPicPr/>
                  </pic:nvPicPr>
                  <pic:blipFill>
                    <a:blip r:embed="rId6"/>
                    <a:stretch>
                      <a:fillRect/>
                    </a:stretch>
                  </pic:blipFill>
                  <pic:spPr>
                    <a:xfrm>
                      <a:off x="0" y="0"/>
                      <a:ext cx="146257" cy="146257"/>
                    </a:xfrm>
                    <a:prstGeom prst="rect">
                      <a:avLst/>
                    </a:prstGeom>
                  </pic:spPr>
                </pic:pic>
              </a:graphicData>
            </a:graphic>
          </wp:inline>
        </w:drawing>
      </w:r>
    </w:p>
    <w:p w14:paraId="1EDF24C0" w14:textId="77777777" w:rsidR="00483F48" w:rsidRPr="00483F48" w:rsidRDefault="00483F48" w:rsidP="00483F48">
      <w:pPr>
        <w:spacing w:after="240" w:line="240" w:lineRule="auto"/>
        <w:rPr>
          <w:lang w:val="en-US"/>
        </w:rPr>
      </w:pPr>
      <w:r>
        <w:rPr>
          <w:rFonts w:ascii="Arial" w:eastAsia="Arial" w:hAnsi="Arial" w:cs="Arial"/>
          <w:color w:val="1F497D"/>
          <w:lang w:val="en-US" w:eastAsia="en-US"/>
        </w:rPr>
        <w:t xml:space="preserve">Created: Solomiia </w:t>
      </w:r>
      <w:proofErr w:type="spellStart"/>
      <w:r>
        <w:rPr>
          <w:rFonts w:ascii="Arial" w:eastAsia="Arial" w:hAnsi="Arial" w:cs="Arial"/>
          <w:color w:val="1F497D"/>
          <w:lang w:val="en-US" w:eastAsia="en-US"/>
        </w:rPr>
        <w:t>Beska</w:t>
      </w:r>
      <w:proofErr w:type="spellEnd"/>
      <w:r>
        <w:rPr>
          <w:rFonts w:ascii="Arial" w:eastAsia="Arial" w:hAnsi="Arial" w:cs="Arial"/>
          <w:color w:val="1F497D"/>
          <w:lang w:val="en-US" w:eastAsia="en-US"/>
        </w:rPr>
        <w:t xml:space="preserve">, 27.05.25 10:42     Modified: Solomiia </w:t>
      </w:r>
      <w:proofErr w:type="spellStart"/>
      <w:r>
        <w:rPr>
          <w:rFonts w:ascii="Arial" w:eastAsia="Arial" w:hAnsi="Arial" w:cs="Arial"/>
          <w:color w:val="1F497D"/>
          <w:lang w:val="en-US" w:eastAsia="en-US"/>
        </w:rPr>
        <w:t>Beska</w:t>
      </w:r>
      <w:proofErr w:type="spellEnd"/>
      <w:r>
        <w:rPr>
          <w:rFonts w:ascii="Arial" w:eastAsia="Arial" w:hAnsi="Arial" w:cs="Arial"/>
          <w:color w:val="1F497D"/>
          <w:lang w:val="en-US" w:eastAsia="en-US"/>
        </w:rPr>
        <w:t>, 27.05.25 15:28</w:t>
      </w:r>
    </w:p>
    <w:p w14:paraId="71918D73" w14:textId="77777777" w:rsidR="00483F48" w:rsidRPr="00483F48" w:rsidRDefault="00483F48" w:rsidP="00483F48">
      <w:pPr>
        <w:spacing w:after="240" w:line="240" w:lineRule="auto"/>
        <w:rPr>
          <w:lang w:val="en-US"/>
        </w:rPr>
      </w:pPr>
      <w:r>
        <w:rPr>
          <w:rFonts w:ascii="-webkit-standard" w:eastAsia="-webkit-standard" w:hAnsi="-webkit-standard" w:cs="-webkit-standard"/>
          <w:color w:val="000000"/>
          <w:sz w:val="20"/>
          <w:szCs w:val="20"/>
          <w:lang w:val="en-US" w:eastAsia="en-US"/>
        </w:rPr>
        <w:t>This theoretical code is supported empirically by the code ‘Learning from Estonia – empirical evidence’, which includes all identified moments where Ukrainian actors adapt Estonian cybersecurity structures post-2007.</w:t>
      </w:r>
    </w:p>
    <w:p w14:paraId="77EC5B5A" w14:textId="77777777" w:rsidR="00483F48" w:rsidRPr="00483F48" w:rsidRDefault="00483F48" w:rsidP="00483F48">
      <w:pPr>
        <w:spacing w:after="0" w:line="240" w:lineRule="auto"/>
        <w:rPr>
          <w:lang w:val="en-US"/>
        </w:rPr>
      </w:pPr>
    </w:p>
    <w:p w14:paraId="41797F29" w14:textId="77777777" w:rsidR="00483F48" w:rsidRPr="00483F48" w:rsidRDefault="00483F48" w:rsidP="00483F48">
      <w:pPr>
        <w:spacing w:after="0" w:line="240" w:lineRule="auto"/>
        <w:rPr>
          <w:lang w:val="en-US"/>
        </w:rPr>
      </w:pPr>
    </w:p>
    <w:p w14:paraId="6D101E49" w14:textId="77777777" w:rsidR="00483F48" w:rsidRPr="00483F48" w:rsidRDefault="00483F48" w:rsidP="00483F48">
      <w:pPr>
        <w:spacing w:after="0" w:line="240" w:lineRule="auto"/>
        <w:rPr>
          <w:lang w:val="en-US"/>
        </w:rPr>
      </w:pPr>
      <w:r>
        <w:rPr>
          <w:rFonts w:ascii="-webkit-standard" w:eastAsia="-webkit-standard" w:hAnsi="-webkit-standard" w:cs="-webkit-standard"/>
          <w:color w:val="000000"/>
          <w:sz w:val="20"/>
          <w:szCs w:val="20"/>
          <w:lang w:val="en-US" w:eastAsia="en-US"/>
        </w:rPr>
        <w:t>Empirical sources were used to test the learning-by-emulation hypothesis.</w:t>
      </w:r>
    </w:p>
    <w:p w14:paraId="1E66C0EC" w14:textId="77777777" w:rsidR="00483F48" w:rsidRPr="00483F48" w:rsidRDefault="00483F48" w:rsidP="00483F48">
      <w:pPr>
        <w:spacing w:after="0" w:line="240" w:lineRule="auto"/>
        <w:rPr>
          <w:lang w:val="en-US"/>
        </w:rPr>
      </w:pPr>
    </w:p>
    <w:p w14:paraId="6703CE83" w14:textId="77777777" w:rsidR="00483F48" w:rsidRPr="00483F48" w:rsidRDefault="00483F48" w:rsidP="00483F48">
      <w:pPr>
        <w:spacing w:after="0" w:line="240" w:lineRule="auto"/>
        <w:rPr>
          <w:lang w:val="en-US"/>
        </w:rPr>
      </w:pPr>
      <w:r>
        <w:rPr>
          <w:rFonts w:ascii="-webkit-standard" w:eastAsia="-webkit-standard" w:hAnsi="-webkit-standard" w:cs="-webkit-standard"/>
          <w:color w:val="000000"/>
          <w:sz w:val="20"/>
          <w:szCs w:val="20"/>
          <w:lang w:val="en-US" w:eastAsia="en-US"/>
        </w:rPr>
        <w:t>To test the theory that Ukraine’s cyber resilience model developed through a limited learning process based on the “successful example” of Estonia, an analysis of primary sources published between 2019 and 2025 was conducted. These documents included official statements, strategic documents and public records from Ukrainian and Estonian government agencies, as well as the work of the Tallinn Mechanism and the CCDCOE Steering Committee.</w:t>
      </w:r>
    </w:p>
    <w:p w14:paraId="18165AF3" w14:textId="77777777" w:rsidR="00483F48" w:rsidRPr="00483F48" w:rsidRDefault="00483F48" w:rsidP="00483F48">
      <w:pPr>
        <w:spacing w:after="0" w:line="240" w:lineRule="auto"/>
        <w:rPr>
          <w:lang w:val="en-US"/>
        </w:rPr>
      </w:pPr>
    </w:p>
    <w:p w14:paraId="7290C718" w14:textId="77777777" w:rsidR="00483F48" w:rsidRPr="00483F48" w:rsidRDefault="00483F48" w:rsidP="00483F48">
      <w:pPr>
        <w:rPr>
          <w:lang w:val="en-GB"/>
        </w:rPr>
      </w:pPr>
      <w:r w:rsidRPr="00483F48">
        <w:rPr>
          <w:lang w:val="en-GB"/>
        </w:rPr>
        <w:t xml:space="preserve">The following documents were selected and coded using the </w:t>
      </w:r>
      <w:proofErr w:type="spellStart"/>
      <w:r w:rsidRPr="00483F48">
        <w:rPr>
          <w:lang w:val="en-GB"/>
        </w:rPr>
        <w:t>Beissinger</w:t>
      </w:r>
      <w:proofErr w:type="spellEnd"/>
      <w:r w:rsidRPr="00483F48">
        <w:rPr>
          <w:lang w:val="en-GB"/>
        </w:rPr>
        <w:t xml:space="preserve"> theoretical code, 'Mobilisation and Emulation', and its empirical subcode, 'Learning from Estonia' – empirical evidence.</w:t>
      </w:r>
    </w:p>
    <w:p w14:paraId="4C8C3B4B" w14:textId="77777777" w:rsidR="00483F48" w:rsidRPr="00483F48" w:rsidRDefault="00483F48" w:rsidP="00483F48">
      <w:pPr>
        <w:rPr>
          <w:lang w:val="en-GB"/>
        </w:rPr>
      </w:pPr>
      <w:r w:rsidRPr="00483F48">
        <w:rPr>
          <w:lang w:val="en-GB"/>
        </w:rPr>
        <w:t xml:space="preserve">Ministry of Foreign Affairs of Ukraine (2024–2025): A series of official communications highlighting recurring bilateral cyber cooperation initiatives with Estonia, including the </w:t>
      </w:r>
      <w:proofErr w:type="gramStart"/>
      <w:r w:rsidRPr="00483F48">
        <w:rPr>
          <w:lang w:val="en-GB"/>
        </w:rPr>
        <w:t>Ukrainian-Estonian</w:t>
      </w:r>
      <w:proofErr w:type="gramEnd"/>
      <w:r w:rsidRPr="00483F48">
        <w:rPr>
          <w:lang w:val="en-GB"/>
        </w:rPr>
        <w:t xml:space="preserve"> Business Forum (2024), meetings of the Tallinn Mechanism Coordination Group (2025) and Ukrainian participation in cyber diplomacy at the Second Global Conference on Cyber Capacity Building (2025).</w:t>
      </w:r>
    </w:p>
    <w:p w14:paraId="2B6E1C7A" w14:textId="77777777" w:rsidR="00483F48" w:rsidRPr="00483F48" w:rsidRDefault="00483F48" w:rsidP="00483F48">
      <w:pPr>
        <w:rPr>
          <w:lang w:val="en-GB"/>
        </w:rPr>
      </w:pPr>
      <w:r w:rsidRPr="00483F48">
        <w:rPr>
          <w:lang w:val="en-GB"/>
        </w:rPr>
        <w:t>Tallinn Mechanism (2024): A collective statement by participating states recognising Ukraine’s role in implementing cyber resilience under pressure, and Estonia’s contribution as a reference partner.</w:t>
      </w:r>
    </w:p>
    <w:p w14:paraId="5C494FAB" w14:textId="77777777" w:rsidR="00483F48" w:rsidRPr="00483F48" w:rsidRDefault="00483F48" w:rsidP="00483F48">
      <w:pPr>
        <w:rPr>
          <w:lang w:val="en-GB"/>
        </w:rPr>
      </w:pPr>
      <w:r w:rsidRPr="00483F48">
        <w:rPr>
          <w:lang w:val="en-GB"/>
        </w:rPr>
        <w:t>Ministry of Economic Affairs and Communications of Estonia (2022): The Estonian National Cybersecurity Strategy (2019–2022) outlines the institutional structures (e.g. CERT-EE and the Cyber Defence League) that have served as models for Ukraine's adaptation.</w:t>
      </w:r>
    </w:p>
    <w:p w14:paraId="37454589" w14:textId="77777777" w:rsidR="00483F48" w:rsidRPr="00483F48" w:rsidRDefault="00483F48" w:rsidP="00483F48">
      <w:pPr>
        <w:rPr>
          <w:lang w:val="en-GB"/>
        </w:rPr>
      </w:pPr>
      <w:r w:rsidRPr="00483F48">
        <w:rPr>
          <w:lang w:val="en-GB"/>
        </w:rPr>
        <w:t xml:space="preserve">SSSCIP and </w:t>
      </w:r>
      <w:proofErr w:type="spellStart"/>
      <w:r w:rsidRPr="00483F48">
        <w:rPr>
          <w:lang w:val="en-GB"/>
        </w:rPr>
        <w:t>eGA</w:t>
      </w:r>
      <w:proofErr w:type="spellEnd"/>
      <w:r w:rsidRPr="00483F48">
        <w:rPr>
          <w:lang w:val="en-GB"/>
        </w:rPr>
        <w:t xml:space="preserve"> (2024): Joint announcements on enhancing the resilience of critical infrastructure in Ukraine using frameworks developed by the Estonian eGovernment Academy (</w:t>
      </w:r>
      <w:proofErr w:type="spellStart"/>
      <w:r w:rsidRPr="00483F48">
        <w:rPr>
          <w:lang w:val="en-GB"/>
        </w:rPr>
        <w:t>eGA</w:t>
      </w:r>
      <w:proofErr w:type="spellEnd"/>
      <w:r w:rsidRPr="00483F48">
        <w:rPr>
          <w:lang w:val="en-GB"/>
        </w:rPr>
        <w:t>), confirming the transfer and adaptation of experience.</w:t>
      </w:r>
    </w:p>
    <w:p w14:paraId="6E0D2734" w14:textId="77777777" w:rsidR="00483F48" w:rsidRPr="00483F48" w:rsidRDefault="00483F48" w:rsidP="00483F48">
      <w:pPr>
        <w:rPr>
          <w:lang w:val="en-GB"/>
        </w:rPr>
      </w:pPr>
      <w:r w:rsidRPr="00483F48">
        <w:rPr>
          <w:lang w:val="en-GB"/>
        </w:rPr>
        <w:t>The National Cybersecurity Strategy of Ukraine (2021) and the NSDC documents (2025) These documents provide contextual evidence that Ukraine’s strategic policies are increasingly influenced by Estonian approaches, such as risk-based management and multi-stakeholder coordination.</w:t>
      </w:r>
    </w:p>
    <w:p w14:paraId="3EF007B1" w14:textId="77777777" w:rsidR="00483F48" w:rsidRPr="00483F48" w:rsidRDefault="00483F48" w:rsidP="00483F48">
      <w:pPr>
        <w:rPr>
          <w:lang w:val="en-GB"/>
        </w:rPr>
      </w:pPr>
      <w:r w:rsidRPr="00483F48">
        <w:rPr>
          <w:lang w:val="en-GB"/>
        </w:rPr>
        <w:lastRenderedPageBreak/>
        <w:t>The Ukraine CCDCOE Delegation Report (2025) It confirms institutional integration into NATO-compliant learning environments and provides further pathways for soft emulation.</w:t>
      </w:r>
    </w:p>
    <w:p w14:paraId="1963D8EF" w14:textId="77777777" w:rsidR="00483F48" w:rsidRPr="00483F48" w:rsidRDefault="00483F48" w:rsidP="00483F48">
      <w:pPr>
        <w:rPr>
          <w:lang w:val="en-GB"/>
        </w:rPr>
      </w:pPr>
      <w:r w:rsidRPr="00483F48">
        <w:rPr>
          <w:lang w:val="en-GB"/>
        </w:rPr>
        <w:t>These sources were thematically coded in MAXQDA and visually compared using the Code Relations Browser and Code Trends tools. This enabled me to identify instances of Estonia being referenced in Ukrainian cyber planning documents and to trace evidence of emulation beyond rhetorical alignment. The frequent references to Estonian digital governance practices and institutions in these documents support the argument that Ukraine’s cyber transformation was not solely “top-down” or imposed by external NATO/EU actors, but rather influenced by the observation, selection and adaptation of a regional model.</w:t>
      </w:r>
    </w:p>
    <w:p w14:paraId="79F0BA70" w14:textId="77777777" w:rsidR="00483F48" w:rsidRPr="00483F48" w:rsidRDefault="00483F48">
      <w:pPr>
        <w:rPr>
          <w:lang w:val="en-GB"/>
        </w:rPr>
      </w:pPr>
    </w:p>
    <w:p w14:paraId="201CCAEE" w14:textId="77777777" w:rsidR="00483F48" w:rsidRPr="00483F48" w:rsidRDefault="00483F48">
      <w:pPr>
        <w:rPr>
          <w:lang w:val="en-US"/>
        </w:rPr>
      </w:pPr>
    </w:p>
    <w:p w14:paraId="1EDDB089" w14:textId="77777777" w:rsidR="00C72A7E" w:rsidRPr="00C72A7E" w:rsidRDefault="00C72A7E">
      <w:pPr>
        <w:rPr>
          <w:lang w:val="uk-UA"/>
        </w:rPr>
      </w:pPr>
    </w:p>
    <w:sectPr w:rsidR="00C72A7E" w:rsidRPr="00C72A7E">
      <w:headerReference w:type="default" r:id="rId7"/>
      <w:footerReference w:type="default" r:id="rId8"/>
      <w:pgSz w:w="16838" w:h="11906" w:orient="landscape"/>
      <w:pgMar w:top="1417" w:right="850" w:bottom="1417" w:left="850" w:header="720" w:footer="720" w:gutter="0"/>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6B46" w14:textId="77777777" w:rsidR="00AC5794" w:rsidRDefault="00AC5794">
      <w:r>
        <w:separator/>
      </w:r>
    </w:p>
  </w:endnote>
  <w:endnote w:type="continuationSeparator" w:id="0">
    <w:p w14:paraId="7289BF70" w14:textId="77777777" w:rsidR="00AC5794" w:rsidRDefault="00AC5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F184" w14:textId="77777777" w:rsidR="00D36637" w:rsidRDefault="00D36637">
    <w:pPr>
      <w:tabs>
        <w:tab w:val="right" w:pos="15138"/>
      </w:tabs>
    </w:pPr>
  </w:p>
  <w:p w14:paraId="42AE5707" w14:textId="77777777" w:rsidR="00D36637" w:rsidRDefault="00000000">
    <w:pPr>
      <w:jc w:val="right"/>
    </w:pPr>
    <w:r>
      <w:fldChar w:fldCharType="begin"/>
    </w:r>
    <w:r>
      <w:instrText>PAGE \* MERGEFORMAT2</w:instrText>
    </w:r>
    <w:r>
      <w:fldChar w:fldCharType="separate"/>
    </w:r>
    <w:r w:rsidR="00874ED4">
      <w:rPr>
        <w:b/>
        <w:bCs/>
        <w:noProof/>
        <w:lang w:val="en-GB"/>
      </w:rPr>
      <w:t>Error! Unknown switch argument.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F130" w14:textId="77777777" w:rsidR="00AC5794" w:rsidRDefault="00AC5794">
      <w:r>
        <w:separator/>
      </w:r>
    </w:p>
  </w:footnote>
  <w:footnote w:type="continuationSeparator" w:id="0">
    <w:p w14:paraId="62FE4195" w14:textId="77777777" w:rsidR="00AC5794" w:rsidRDefault="00AC5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251E" w14:textId="77777777" w:rsidR="00D36637" w:rsidRDefault="00000000">
    <w:pPr>
      <w:tabs>
        <w:tab w:val="right" w:pos="15138"/>
      </w:tabs>
    </w:pPr>
    <w:r>
      <w:t>MAXQDA 24</w:t>
    </w:r>
    <w:r>
      <w:tab/>
      <w:t>27.05.25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375982"/>
    <w:rsid w:val="00483F48"/>
    <w:rsid w:val="005F2EEE"/>
    <w:rsid w:val="00874ED4"/>
    <w:rsid w:val="00AC5794"/>
    <w:rsid w:val="00AD0599"/>
    <w:rsid w:val="00C72A7E"/>
    <w:rsid w:val="00D36637"/>
    <w:rsid w:val="00E51D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F4A7"/>
  <w15:docId w15:val="{2BA9990B-2373-4356-AC4A-E1519877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Theading1">
    <w:name w:val="QTT heading 1"/>
    <w:basedOn w:val="Normal"/>
    <w:next w:val="Normal"/>
    <w:link w:val="berschrift1Zchn"/>
    <w:uiPriority w:val="9"/>
    <w:qFormat/>
    <w:rsid w:val="00841CD9"/>
    <w:pPr>
      <w:keepNext/>
      <w:keepLines/>
      <w:spacing w:before="480"/>
      <w:outlineLvl w:val="0"/>
    </w:pPr>
    <w:rPr>
      <w:rFonts w:asciiTheme="majorHAnsi" w:eastAsiaTheme="majorEastAsia" w:hAnsiTheme="majorHAnsi" w:cstheme="majorBidi"/>
      <w:bCs/>
      <w:color w:val="2F5496" w:themeColor="accent1" w:themeShade="BF"/>
      <w:sz w:val="28"/>
      <w:szCs w:val="28"/>
    </w:rPr>
  </w:style>
  <w:style w:type="paragraph" w:customStyle="1" w:styleId="QTTheading2">
    <w:name w:val="QTT heading 2"/>
    <w:basedOn w:val="Normal"/>
    <w:next w:val="Normal"/>
    <w:link w:val="berschrift2Zchn"/>
    <w:uiPriority w:val="9"/>
    <w:unhideWhenUsed/>
    <w:qFormat/>
    <w:rsid w:val="00841CD9"/>
    <w:pPr>
      <w:keepNext/>
      <w:keepLines/>
      <w:spacing w:before="200"/>
      <w:outlineLvl w:val="1"/>
    </w:pPr>
    <w:rPr>
      <w:rFonts w:asciiTheme="majorHAnsi" w:eastAsiaTheme="majorEastAsia" w:hAnsiTheme="majorHAnsi" w:cstheme="majorBidi"/>
      <w:bCs/>
      <w:color w:val="4472C4" w:themeColor="accent1"/>
      <w:sz w:val="26"/>
      <w:szCs w:val="26"/>
    </w:rPr>
  </w:style>
  <w:style w:type="paragraph" w:customStyle="1" w:styleId="QTTheading3">
    <w:name w:val="QTT heading 3"/>
    <w:basedOn w:val="Normal"/>
    <w:next w:val="Normal"/>
    <w:link w:val="berschrift3Zchn"/>
    <w:uiPriority w:val="9"/>
    <w:unhideWhenUsed/>
    <w:qFormat/>
    <w:rsid w:val="00841CD9"/>
    <w:pPr>
      <w:keepNext/>
      <w:keepLines/>
      <w:spacing w:before="200"/>
      <w:outlineLvl w:val="2"/>
    </w:pPr>
    <w:rPr>
      <w:rFonts w:asciiTheme="majorHAnsi" w:eastAsiaTheme="majorEastAsia" w:hAnsiTheme="majorHAnsi" w:cstheme="majorBidi"/>
      <w:bCs/>
      <w:color w:val="4472C4" w:themeColor="accent1"/>
    </w:rPr>
  </w:style>
  <w:style w:type="paragraph" w:customStyle="1" w:styleId="QTTheading4">
    <w:name w:val="QTT heading 4"/>
    <w:basedOn w:val="Normal"/>
    <w:next w:val="Normal"/>
    <w:link w:val="berschrift4Zchn"/>
    <w:uiPriority w:val="9"/>
    <w:unhideWhenUsed/>
    <w:qFormat/>
    <w:rsid w:val="00841CD9"/>
    <w:pPr>
      <w:keepNext/>
      <w:keepLines/>
      <w:spacing w:before="200"/>
      <w:outlineLvl w:val="3"/>
    </w:pPr>
    <w:rPr>
      <w:rFonts w:asciiTheme="majorHAnsi" w:eastAsiaTheme="majorEastAsia" w:hAnsiTheme="majorHAnsi" w:cstheme="majorBidi"/>
      <w:bCs/>
      <w:i/>
      <w:iCs/>
      <w:color w:val="4472C4" w:themeColor="accent1"/>
    </w:rPr>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berschrift1Zchn">
    <w:name w:val="Überschrift 1 Zchn"/>
    <w:basedOn w:val="DefaultParagraphFont"/>
    <w:link w:val="QTT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berschrift2Zchn">
    <w:name w:val="Überschrift 2 Zchn"/>
    <w:basedOn w:val="DefaultParagraphFont"/>
    <w:link w:val="QTTheading2"/>
    <w:uiPriority w:val="9"/>
    <w:rsid w:val="00841CD9"/>
    <w:rPr>
      <w:rFonts w:asciiTheme="majorHAnsi" w:eastAsiaTheme="majorEastAsia" w:hAnsiTheme="majorHAnsi" w:cstheme="majorBidi"/>
      <w:b/>
      <w:bCs/>
      <w:color w:val="4472C4" w:themeColor="accent1"/>
      <w:sz w:val="26"/>
      <w:szCs w:val="26"/>
    </w:rPr>
  </w:style>
  <w:style w:type="character" w:customStyle="1" w:styleId="berschrift3Zchn">
    <w:name w:val="Überschrift 3 Zchn"/>
    <w:basedOn w:val="DefaultParagraphFont"/>
    <w:link w:val="QTTheading3"/>
    <w:uiPriority w:val="9"/>
    <w:rsid w:val="00841CD9"/>
    <w:rPr>
      <w:rFonts w:asciiTheme="majorHAnsi" w:eastAsiaTheme="majorEastAsia" w:hAnsiTheme="majorHAnsi" w:cstheme="majorBidi"/>
      <w:b/>
      <w:bCs/>
      <w:color w:val="4472C4" w:themeColor="accent1"/>
    </w:rPr>
  </w:style>
  <w:style w:type="character" w:customStyle="1" w:styleId="berschrift4Zchn">
    <w:name w:val="Überschrift 4 Zchn"/>
    <w:basedOn w:val="DefaultParagraphFont"/>
    <w:link w:val="QTT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rPr>
      <w:b/>
      <w:bCs/>
      <w:color w:val="4472C4" w:themeColor="accent1"/>
      <w:sz w:val="18"/>
      <w:szCs w:val="18"/>
    </w:rPr>
  </w:style>
  <w:style w:type="paragraph" w:styleId="TOC1">
    <w:name w:val="toc 1"/>
    <w:basedOn w:val="Normal"/>
    <w:next w:val="Normal"/>
    <w:autoRedefine/>
    <w:uiPriority w:val="39"/>
    <w:unhideWhenUsed/>
    <w:rsid w:val="002C5C7D"/>
    <w:pPr>
      <w:spacing w:after="100"/>
    </w:pPr>
  </w:style>
  <w:style w:type="paragraph" w:styleId="TOC2">
    <w:name w:val="toc 2"/>
    <w:basedOn w:val="Normal"/>
    <w:next w:val="Normal"/>
    <w:autoRedefine/>
    <w:uiPriority w:val="39"/>
    <w:unhideWhenUsed/>
    <w:rsid w:val="002C5C7D"/>
    <w:pPr>
      <w:spacing w:after="100"/>
      <w:ind w:left="220"/>
    </w:pPr>
  </w:style>
  <w:style w:type="paragraph" w:styleId="TOC3">
    <w:name w:val="toc 3"/>
    <w:basedOn w:val="Normal"/>
    <w:next w:val="Normal"/>
    <w:autoRedefine/>
    <w:uiPriority w:val="39"/>
    <w:unhideWhenUsed/>
    <w:rsid w:val="002C5C7D"/>
    <w:pPr>
      <w:spacing w:after="100"/>
      <w:ind w:left="440"/>
    </w:pPr>
  </w:style>
  <w:style w:type="paragraph" w:styleId="ListParagraph">
    <w:name w:val="List Paragraph"/>
    <w:basedOn w:val="Normal"/>
    <w:uiPriority w:val="34"/>
    <w:qFormat/>
    <w:rsid w:val="006155F4"/>
    <w:pPr>
      <w:ind w:left="720"/>
      <w:contextualSpacing/>
    </w:pPr>
  </w:style>
  <w:style w:type="paragraph" w:customStyle="1" w:styleId="MQTableTitle">
    <w:name w:val="MQ_Table_Title"/>
    <w:qFormat/>
    <w:pPr>
      <w:spacing w:after="360" w:line="240" w:lineRule="auto"/>
    </w:pPr>
    <w:rPr>
      <w:rFonts w:ascii="Arial" w:eastAsia="Arial" w:hAnsi="Arial" w:cs="Arial"/>
      <w:b/>
      <w:bCs/>
      <w:color w:val="1F497D"/>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Solomiia Beska</cp:lastModifiedBy>
  <cp:revision>5</cp:revision>
  <dcterms:created xsi:type="dcterms:W3CDTF">2020-02-10T15:41:00Z</dcterms:created>
  <dcterms:modified xsi:type="dcterms:W3CDTF">2025-05-27T13:34:00Z</dcterms:modified>
</cp:coreProperties>
</file>