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328B1" w14:textId="77777777" w:rsidR="00EA59ED" w:rsidRPr="00EA59ED" w:rsidRDefault="00EA59ED" w:rsidP="00502BDB">
      <w:pPr>
        <w:jc w:val="center"/>
        <w:rPr>
          <w:rFonts w:asciiTheme="majorHAnsi" w:hAnsiTheme="majorHAnsi"/>
          <w:b/>
          <w:sz w:val="44"/>
        </w:rPr>
      </w:pPr>
      <w:r w:rsidRPr="00EA59ED">
        <w:rPr>
          <w:rFonts w:asciiTheme="majorHAnsi" w:hAnsiTheme="majorHAnsi"/>
          <w:b/>
          <w:sz w:val="44"/>
        </w:rPr>
        <w:t>Longitudinal Data Analysis</w:t>
      </w:r>
    </w:p>
    <w:p w14:paraId="1386DE47" w14:textId="78DE8D80" w:rsidR="0055660B" w:rsidRPr="00502BDB" w:rsidRDefault="00EA59ED" w:rsidP="00502BDB">
      <w:pPr>
        <w:jc w:val="center"/>
        <w:rPr>
          <w:rFonts w:asciiTheme="majorHAnsi" w:hAnsiTheme="majorHAnsi"/>
          <w:b/>
          <w:sz w:val="36"/>
        </w:rPr>
      </w:pPr>
      <w:r w:rsidRPr="00EA59ED">
        <w:rPr>
          <w:rFonts w:asciiTheme="majorHAnsi" w:hAnsiTheme="majorHAnsi"/>
          <w:b/>
          <w:sz w:val="32"/>
        </w:rPr>
        <w:t>With focus on Repeated Measures ANOVA</w:t>
      </w:r>
    </w:p>
    <w:p w14:paraId="3809F8B3" w14:textId="77777777" w:rsidR="00E75C7B" w:rsidRPr="00502BDB" w:rsidRDefault="00E75C7B" w:rsidP="00502BDB">
      <w:pPr>
        <w:jc w:val="center"/>
        <w:rPr>
          <w:rFonts w:asciiTheme="majorHAnsi" w:hAnsiTheme="majorHAnsi"/>
          <w:i/>
          <w:sz w:val="28"/>
        </w:rPr>
      </w:pPr>
      <w:proofErr w:type="spellStart"/>
      <w:r w:rsidRPr="00502BDB">
        <w:rPr>
          <w:rFonts w:asciiTheme="majorHAnsi" w:hAnsiTheme="majorHAnsi"/>
          <w:i/>
          <w:sz w:val="28"/>
        </w:rPr>
        <w:t>McCaig</w:t>
      </w:r>
      <w:proofErr w:type="spellEnd"/>
      <w:r w:rsidRPr="00502BDB">
        <w:rPr>
          <w:rFonts w:asciiTheme="majorHAnsi" w:hAnsiTheme="majorHAnsi"/>
          <w:i/>
          <w:sz w:val="28"/>
        </w:rPr>
        <w:t xml:space="preserve"> Statistics Group</w:t>
      </w:r>
    </w:p>
    <w:p w14:paraId="7196B9A0" w14:textId="77777777" w:rsidR="00E75C7B" w:rsidRPr="00502BDB" w:rsidRDefault="00E75C7B" w:rsidP="00502BDB">
      <w:pPr>
        <w:jc w:val="center"/>
        <w:rPr>
          <w:rFonts w:asciiTheme="majorHAnsi" w:hAnsiTheme="majorHAnsi"/>
        </w:rPr>
      </w:pPr>
      <w:r w:rsidRPr="00502BDB">
        <w:rPr>
          <w:rFonts w:asciiTheme="majorHAnsi" w:hAnsiTheme="majorHAnsi"/>
        </w:rPr>
        <w:t>Danielle Whittier</w:t>
      </w:r>
    </w:p>
    <w:p w14:paraId="3E5C1DB8" w14:textId="77777777" w:rsidR="00E75C7B" w:rsidRPr="00502BDB" w:rsidRDefault="00E75C7B">
      <w:pPr>
        <w:rPr>
          <w:rFonts w:asciiTheme="majorHAnsi" w:hAnsiTheme="majorHAnsi"/>
          <w:sz w:val="22"/>
          <w:szCs w:val="22"/>
        </w:rPr>
      </w:pPr>
    </w:p>
    <w:p w14:paraId="1A03B08E" w14:textId="0B09BD0F" w:rsidR="00E10034" w:rsidRDefault="00502BDB" w:rsidP="00440552">
      <w:pPr>
        <w:pStyle w:val="p1"/>
        <w:jc w:val="both"/>
        <w:rPr>
          <w:rFonts w:asciiTheme="majorHAnsi" w:hAnsiTheme="majorHAnsi"/>
          <w:sz w:val="22"/>
          <w:szCs w:val="22"/>
        </w:rPr>
      </w:pPr>
      <w:r w:rsidRPr="00440552">
        <w:rPr>
          <w:rStyle w:val="apple-converted-space"/>
          <w:rFonts w:asciiTheme="majorHAnsi" w:hAnsiTheme="majorHAnsi"/>
          <w:b/>
          <w:sz w:val="22"/>
          <w:szCs w:val="22"/>
        </w:rPr>
        <w:t>Example: </w:t>
      </w:r>
      <w:r w:rsidRPr="00502BDB">
        <w:rPr>
          <w:rFonts w:asciiTheme="majorHAnsi" w:hAnsiTheme="majorHAnsi"/>
          <w:sz w:val="22"/>
          <w:szCs w:val="22"/>
        </w:rPr>
        <w:t>Suppose you’ve</w:t>
      </w:r>
      <w:r w:rsidR="00EA59ED">
        <w:rPr>
          <w:rFonts w:asciiTheme="majorHAnsi" w:hAnsiTheme="majorHAnsi"/>
          <w:sz w:val="22"/>
          <w:szCs w:val="22"/>
        </w:rPr>
        <w:t xml:space="preserve"> been roped into coming up with a way to analyze and quantify the healing process of </w:t>
      </w:r>
      <w:r w:rsidR="001E6654">
        <w:rPr>
          <w:rFonts w:asciiTheme="majorHAnsi" w:hAnsiTheme="majorHAnsi"/>
          <w:sz w:val="22"/>
          <w:szCs w:val="22"/>
        </w:rPr>
        <w:t xml:space="preserve">typical </w:t>
      </w:r>
      <w:r w:rsidR="00EA59ED">
        <w:rPr>
          <w:rFonts w:asciiTheme="majorHAnsi" w:hAnsiTheme="majorHAnsi"/>
          <w:sz w:val="22"/>
          <w:szCs w:val="22"/>
        </w:rPr>
        <w:t>wrist fractures using high-resolution CT.</w:t>
      </w:r>
      <w:r w:rsidRPr="00502BDB">
        <w:rPr>
          <w:rFonts w:asciiTheme="majorHAnsi" w:hAnsiTheme="majorHAnsi"/>
          <w:sz w:val="22"/>
          <w:szCs w:val="22"/>
        </w:rPr>
        <w:t xml:space="preserve"> </w:t>
      </w:r>
      <w:r w:rsidR="001E6654">
        <w:rPr>
          <w:rFonts w:asciiTheme="majorHAnsi" w:hAnsiTheme="majorHAnsi"/>
          <w:sz w:val="22"/>
          <w:szCs w:val="22"/>
        </w:rPr>
        <w:t xml:space="preserve">This is a new field of study, so your goal is to hypothesize and </w:t>
      </w:r>
      <w:r w:rsidR="00E10034">
        <w:rPr>
          <w:rFonts w:asciiTheme="majorHAnsi" w:hAnsiTheme="majorHAnsi"/>
          <w:sz w:val="22"/>
          <w:szCs w:val="22"/>
        </w:rPr>
        <w:t xml:space="preserve">validate which measurable parameters show significant change during the healing process. </w:t>
      </w:r>
      <w:r w:rsidR="001E6654">
        <w:rPr>
          <w:rFonts w:asciiTheme="majorHAnsi" w:hAnsiTheme="majorHAnsi"/>
          <w:sz w:val="22"/>
          <w:szCs w:val="22"/>
        </w:rPr>
        <w:t xml:space="preserve">Each participant’s fractured wrist is scanned </w:t>
      </w:r>
      <w:r w:rsidR="00E10034">
        <w:rPr>
          <w:rFonts w:asciiTheme="majorHAnsi" w:hAnsiTheme="majorHAnsi"/>
          <w:sz w:val="22"/>
          <w:szCs w:val="22"/>
        </w:rPr>
        <w:t>multiple times during healing</w:t>
      </w:r>
      <w:r w:rsidR="001E6654">
        <w:rPr>
          <w:rFonts w:asciiTheme="majorHAnsi" w:hAnsiTheme="majorHAnsi"/>
          <w:sz w:val="22"/>
          <w:szCs w:val="22"/>
        </w:rPr>
        <w:t>, and the opposite non-fractured wrist is also scanned to represent the pre-fractured state</w:t>
      </w:r>
      <w:r w:rsidR="00E10034">
        <w:rPr>
          <w:rFonts w:asciiTheme="majorHAnsi" w:hAnsiTheme="majorHAnsi"/>
          <w:sz w:val="22"/>
          <w:szCs w:val="22"/>
        </w:rPr>
        <w:t xml:space="preserve"> of the bone</w:t>
      </w:r>
      <w:r w:rsidR="001E6654">
        <w:rPr>
          <w:rFonts w:asciiTheme="majorHAnsi" w:hAnsiTheme="majorHAnsi"/>
          <w:sz w:val="22"/>
          <w:szCs w:val="22"/>
        </w:rPr>
        <w:t>.  Very quickly you realize this is a longitudinal study and t-tests simply won’t do the trick…</w:t>
      </w:r>
      <w:r w:rsidR="00E10034">
        <w:rPr>
          <w:rFonts w:asciiTheme="majorHAnsi" w:hAnsiTheme="majorHAnsi"/>
          <w:sz w:val="22"/>
          <w:szCs w:val="22"/>
        </w:rPr>
        <w:t xml:space="preserve"> at the very least you’ll need to run a repeated measures ANOVA. </w:t>
      </w:r>
    </w:p>
    <w:p w14:paraId="7775F6DF" w14:textId="77777777" w:rsidR="00E10034" w:rsidRDefault="00E10034" w:rsidP="00440552">
      <w:pPr>
        <w:pStyle w:val="p1"/>
        <w:jc w:val="both"/>
        <w:rPr>
          <w:rFonts w:asciiTheme="majorHAnsi" w:hAnsiTheme="majorHAnsi"/>
          <w:sz w:val="22"/>
          <w:szCs w:val="22"/>
        </w:rPr>
      </w:pPr>
    </w:p>
    <w:p w14:paraId="7E2228BD" w14:textId="3311E0FC" w:rsidR="00502BDB" w:rsidRDefault="00E10034" w:rsidP="00440552">
      <w:pPr>
        <w:pStyle w:val="p1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</w:t>
      </w:r>
      <w:r w:rsidR="001E6654">
        <w:rPr>
          <w:rFonts w:asciiTheme="majorHAnsi" w:hAnsiTheme="majorHAnsi"/>
          <w:sz w:val="22"/>
          <w:szCs w:val="22"/>
        </w:rPr>
        <w:t xml:space="preserve">o date you’ve scanned the fracture region of </w:t>
      </w:r>
      <w:r w:rsidR="001E6654" w:rsidRPr="00E10034">
        <w:rPr>
          <w:rFonts w:asciiTheme="majorHAnsi" w:hAnsiTheme="majorHAnsi"/>
          <w:b/>
          <w:sz w:val="22"/>
          <w:szCs w:val="22"/>
        </w:rPr>
        <w:t>5</w:t>
      </w:r>
      <w:r w:rsidR="00502BDB" w:rsidRPr="00E10034">
        <w:rPr>
          <w:rFonts w:asciiTheme="majorHAnsi" w:hAnsiTheme="majorHAnsi"/>
          <w:b/>
          <w:sz w:val="22"/>
          <w:szCs w:val="22"/>
        </w:rPr>
        <w:t xml:space="preserve"> participants </w:t>
      </w:r>
      <w:r w:rsidR="001E6654" w:rsidRPr="00E10034">
        <w:rPr>
          <w:rFonts w:asciiTheme="majorHAnsi" w:hAnsiTheme="majorHAnsi"/>
          <w:b/>
          <w:sz w:val="22"/>
          <w:szCs w:val="22"/>
        </w:rPr>
        <w:t xml:space="preserve">at </w:t>
      </w:r>
      <w:r w:rsidRPr="00E10034">
        <w:rPr>
          <w:rFonts w:asciiTheme="majorHAnsi" w:hAnsiTheme="majorHAnsi"/>
          <w:b/>
          <w:sz w:val="22"/>
          <w:szCs w:val="22"/>
        </w:rPr>
        <w:t>the intervals shown below</w:t>
      </w:r>
      <w:r>
        <w:rPr>
          <w:rFonts w:asciiTheme="majorHAnsi" w:hAnsiTheme="majorHAnsi"/>
          <w:sz w:val="22"/>
          <w:szCs w:val="22"/>
        </w:rPr>
        <w:t xml:space="preserve">. </w:t>
      </w:r>
      <w:r w:rsidRPr="00E10034">
        <w:rPr>
          <w:rFonts w:asciiTheme="majorHAnsi" w:hAnsiTheme="majorHAnsi"/>
          <w:b/>
          <w:sz w:val="22"/>
          <w:szCs w:val="22"/>
        </w:rPr>
        <w:t>You hypothesize that bone mineral density will change over time</w:t>
      </w:r>
      <w:r>
        <w:rPr>
          <w:rFonts w:asciiTheme="majorHAnsi" w:hAnsiTheme="majorHAnsi"/>
          <w:sz w:val="22"/>
          <w:szCs w:val="22"/>
        </w:rPr>
        <w:t xml:space="preserve"> as the bone transitions through callus formation, callus mineralization, then finally bone remodeling. </w:t>
      </w:r>
    </w:p>
    <w:p w14:paraId="21C75DE2" w14:textId="4AE31CD1" w:rsidR="00E10034" w:rsidRDefault="00E10034" w:rsidP="00440552">
      <w:pPr>
        <w:pStyle w:val="p1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05D552D3" wp14:editId="41D7A592">
            <wp:extent cx="6134735" cy="1120140"/>
            <wp:effectExtent l="0" t="152400" r="1206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313ADEB0" w14:textId="24BCBCEE" w:rsidR="00502BDB" w:rsidRDefault="00502BDB" w:rsidP="00440552">
      <w:pPr>
        <w:pStyle w:val="p1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Below is </w:t>
      </w:r>
      <w:r w:rsidR="00E10034">
        <w:rPr>
          <w:rFonts w:asciiTheme="majorHAnsi" w:hAnsiTheme="majorHAnsi"/>
          <w:sz w:val="22"/>
          <w:szCs w:val="22"/>
        </w:rPr>
        <w:t>the graph of your data, which looks pr</w:t>
      </w:r>
      <w:r w:rsidR="00997DD5">
        <w:rPr>
          <w:rFonts w:asciiTheme="majorHAnsi" w:hAnsiTheme="majorHAnsi"/>
          <w:sz w:val="22"/>
          <w:szCs w:val="22"/>
        </w:rPr>
        <w:t xml:space="preserve">omising, but </w:t>
      </w:r>
      <w:r w:rsidR="00997DD5" w:rsidRPr="00997DD5">
        <w:rPr>
          <w:rFonts w:asciiTheme="majorHAnsi" w:hAnsiTheme="majorHAnsi"/>
          <w:i/>
          <w:sz w:val="22"/>
          <w:szCs w:val="22"/>
        </w:rPr>
        <w:t xml:space="preserve">are these changes </w:t>
      </w:r>
      <w:r w:rsidR="00E10034" w:rsidRPr="00997DD5">
        <w:rPr>
          <w:rFonts w:asciiTheme="majorHAnsi" w:hAnsiTheme="majorHAnsi"/>
          <w:i/>
          <w:sz w:val="22"/>
          <w:szCs w:val="22"/>
        </w:rPr>
        <w:t>statistically significant</w:t>
      </w:r>
      <w:r w:rsidR="00E10034">
        <w:rPr>
          <w:rFonts w:asciiTheme="majorHAnsi" w:hAnsiTheme="majorHAnsi"/>
          <w:sz w:val="22"/>
          <w:szCs w:val="22"/>
        </w:rPr>
        <w:t>.</w:t>
      </w:r>
    </w:p>
    <w:p w14:paraId="7055A359" w14:textId="77777777" w:rsidR="00997DD5" w:rsidRDefault="00997DD5" w:rsidP="00440552">
      <w:pPr>
        <w:pStyle w:val="p1"/>
        <w:jc w:val="both"/>
        <w:rPr>
          <w:rFonts w:asciiTheme="majorHAnsi" w:hAnsiTheme="majorHAnsi"/>
          <w:sz w:val="22"/>
          <w:szCs w:val="22"/>
        </w:rPr>
      </w:pPr>
    </w:p>
    <w:p w14:paraId="58D4026C" w14:textId="1923E378" w:rsidR="00E10034" w:rsidRDefault="00997DD5" w:rsidP="00440552">
      <w:pPr>
        <w:pStyle w:val="p1"/>
        <w:jc w:val="both"/>
        <w:rPr>
          <w:rFonts w:asciiTheme="majorHAnsi" w:hAnsiTheme="majorHAnsi"/>
          <w:sz w:val="22"/>
          <w:szCs w:val="22"/>
        </w:rPr>
      </w:pPr>
      <w:r>
        <w:rPr>
          <w:noProof/>
        </w:rPr>
        <w:drawing>
          <wp:inline distT="0" distB="0" distL="0" distR="0" wp14:anchorId="10DA40BF" wp14:editId="44A972B5">
            <wp:extent cx="6158865" cy="3939540"/>
            <wp:effectExtent l="0" t="0" r="13335" b="2286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A7DE360" w14:textId="34A948F1" w:rsidR="00440552" w:rsidRDefault="00440552" w:rsidP="00440552">
      <w:pPr>
        <w:pStyle w:val="p1"/>
        <w:jc w:val="center"/>
        <w:rPr>
          <w:rFonts w:asciiTheme="majorHAnsi" w:hAnsiTheme="majorHAnsi"/>
          <w:sz w:val="22"/>
          <w:szCs w:val="22"/>
        </w:rPr>
      </w:pPr>
    </w:p>
    <w:p w14:paraId="0A88A0C3" w14:textId="77777777" w:rsidR="00440552" w:rsidRDefault="00440552" w:rsidP="00440552">
      <w:pPr>
        <w:pStyle w:val="p1"/>
        <w:jc w:val="center"/>
        <w:rPr>
          <w:rFonts w:asciiTheme="majorHAnsi" w:hAnsiTheme="majorHAnsi"/>
          <w:sz w:val="22"/>
          <w:szCs w:val="22"/>
        </w:rPr>
      </w:pPr>
    </w:p>
    <w:p w14:paraId="180726AB" w14:textId="77777777" w:rsidR="00440552" w:rsidRDefault="00440552" w:rsidP="00440552">
      <w:pPr>
        <w:pStyle w:val="p1"/>
        <w:jc w:val="center"/>
        <w:rPr>
          <w:rFonts w:asciiTheme="majorHAnsi" w:hAnsiTheme="majorHAnsi"/>
          <w:sz w:val="22"/>
          <w:szCs w:val="22"/>
        </w:rPr>
      </w:pPr>
    </w:p>
    <w:p w14:paraId="579911C0" w14:textId="2040C32F" w:rsidR="0098591E" w:rsidRDefault="00997DD5" w:rsidP="00B42015">
      <w:pPr>
        <w:pStyle w:val="p1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lastRenderedPageBreak/>
        <w:t>Below is the data table summarizing the study</w:t>
      </w:r>
    </w:p>
    <w:p w14:paraId="33A26817" w14:textId="77777777" w:rsidR="00997DD5" w:rsidRDefault="00997DD5" w:rsidP="00B42015">
      <w:pPr>
        <w:pStyle w:val="p1"/>
        <w:rPr>
          <w:rFonts w:asciiTheme="majorHAnsi" w:hAnsiTheme="majorHAnsi"/>
          <w:sz w:val="22"/>
          <w:szCs w:val="22"/>
        </w:rPr>
      </w:pPr>
    </w:p>
    <w:p w14:paraId="78800821" w14:textId="03C9D76E" w:rsidR="00997DD5" w:rsidRPr="009E7CE2" w:rsidRDefault="00997DD5" w:rsidP="00B42015">
      <w:pPr>
        <w:pStyle w:val="p1"/>
        <w:rPr>
          <w:rFonts w:asciiTheme="majorHAnsi" w:hAnsiTheme="majorHAnsi"/>
          <w:b/>
          <w:sz w:val="22"/>
          <w:szCs w:val="22"/>
        </w:rPr>
      </w:pPr>
      <w:r w:rsidRPr="009E7CE2">
        <w:rPr>
          <w:rFonts w:asciiTheme="majorHAnsi" w:hAnsiTheme="majorHAnsi"/>
          <w:b/>
          <w:sz w:val="22"/>
          <w:szCs w:val="22"/>
        </w:rPr>
        <w:t>Table 1: Bone Mineral Density results for the first 5 participants of a fracture-healing study</w:t>
      </w:r>
    </w:p>
    <w:p w14:paraId="715A50F4" w14:textId="77777777" w:rsidR="00997DD5" w:rsidRDefault="00997DD5" w:rsidP="00B42015">
      <w:pPr>
        <w:pStyle w:val="p1"/>
        <w:rPr>
          <w:rFonts w:asciiTheme="majorHAnsi" w:hAnsiTheme="majorHAnsi"/>
          <w:sz w:val="22"/>
          <w:szCs w:val="22"/>
        </w:rPr>
      </w:pPr>
    </w:p>
    <w:tbl>
      <w:tblPr>
        <w:tblW w:w="10700" w:type="dxa"/>
        <w:jc w:val="center"/>
        <w:tblLook w:val="04A0" w:firstRow="1" w:lastRow="0" w:firstColumn="1" w:lastColumn="0" w:noHBand="0" w:noVBand="1"/>
      </w:tblPr>
      <w:tblGrid>
        <w:gridCol w:w="2080"/>
        <w:gridCol w:w="1282"/>
        <w:gridCol w:w="1306"/>
        <w:gridCol w:w="1306"/>
        <w:gridCol w:w="1306"/>
        <w:gridCol w:w="1820"/>
        <w:gridCol w:w="1600"/>
      </w:tblGrid>
      <w:tr w:rsidR="00997DD5" w:rsidRPr="00997DD5" w14:paraId="39FEFE38" w14:textId="77777777" w:rsidTr="00997DD5">
        <w:trPr>
          <w:trHeight w:val="320"/>
          <w:jc w:val="center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25780" w14:textId="77777777" w:rsidR="00997DD5" w:rsidRPr="00997DD5" w:rsidRDefault="00997DD5" w:rsidP="00997DD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E3A117" w14:textId="453937C1" w:rsidR="00997DD5" w:rsidRPr="00997DD5" w:rsidRDefault="00997DD5" w:rsidP="00997DD5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97DD5">
              <w:rPr>
                <w:rFonts w:ascii="Calibri" w:eastAsia="Times New Roman" w:hAnsi="Calibri" w:cs="Times New Roman"/>
                <w:color w:val="000000"/>
                <w:lang w:val="en-US"/>
              </w:rPr>
              <w:t>Bone Mineral Density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[mg HA/cm</w:t>
            </w:r>
            <w:r w:rsidRPr="00997DD5">
              <w:rPr>
                <w:rFonts w:ascii="Calibri" w:eastAsia="Times New Roman" w:hAnsi="Calibri" w:cs="Times New Roman"/>
                <w:color w:val="000000"/>
                <w:vertAlign w:val="superscript"/>
                <w:lang w:val="en-US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]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7D628" w14:textId="77777777" w:rsidR="00997DD5" w:rsidRPr="00997DD5" w:rsidRDefault="00997DD5" w:rsidP="00997DD5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F9E76" w14:textId="77777777" w:rsidR="00997DD5" w:rsidRPr="00997DD5" w:rsidRDefault="00997DD5" w:rsidP="00997DD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97DD5" w:rsidRPr="00997DD5" w14:paraId="31F1C641" w14:textId="77777777" w:rsidTr="00997DD5">
        <w:trPr>
          <w:trHeight w:val="320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B6CCF" w14:textId="77777777" w:rsidR="00997DD5" w:rsidRPr="00997DD5" w:rsidRDefault="00997DD5" w:rsidP="00997DD5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997DD5">
              <w:rPr>
                <w:rFonts w:ascii="Calibri" w:eastAsia="Times New Roman" w:hAnsi="Calibri" w:cs="Times New Roman"/>
                <w:color w:val="000000"/>
                <w:lang w:val="en-US"/>
              </w:rPr>
              <w:t>StudyID</w:t>
            </w:r>
            <w:proofErr w:type="spellEnd"/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39F918" w14:textId="77777777" w:rsidR="00997DD5" w:rsidRPr="00997DD5" w:rsidRDefault="00997DD5" w:rsidP="00997DD5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97DD5">
              <w:rPr>
                <w:rFonts w:ascii="Calibri" w:eastAsia="Times New Roman" w:hAnsi="Calibri" w:cs="Times New Roman"/>
                <w:color w:val="000000"/>
                <w:lang w:val="en-US"/>
              </w:rPr>
              <w:t>Baseline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15FAE3" w14:textId="77777777" w:rsidR="00997DD5" w:rsidRPr="00997DD5" w:rsidRDefault="00997DD5" w:rsidP="00997DD5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97DD5">
              <w:rPr>
                <w:rFonts w:ascii="Calibri" w:eastAsia="Times New Roman" w:hAnsi="Calibri" w:cs="Times New Roman"/>
                <w:color w:val="000000"/>
                <w:lang w:val="en-US"/>
              </w:rPr>
              <w:t>2 Weeks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46C942" w14:textId="77777777" w:rsidR="00997DD5" w:rsidRPr="00997DD5" w:rsidRDefault="00997DD5" w:rsidP="00997DD5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97DD5">
              <w:rPr>
                <w:rFonts w:ascii="Calibri" w:eastAsia="Times New Roman" w:hAnsi="Calibri" w:cs="Times New Roman"/>
                <w:color w:val="000000"/>
                <w:lang w:val="en-US"/>
              </w:rPr>
              <w:t>4 Weeks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A3A6F2" w14:textId="77777777" w:rsidR="00997DD5" w:rsidRPr="00997DD5" w:rsidRDefault="00997DD5" w:rsidP="00997DD5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97DD5">
              <w:rPr>
                <w:rFonts w:ascii="Calibri" w:eastAsia="Times New Roman" w:hAnsi="Calibri" w:cs="Times New Roman"/>
                <w:color w:val="000000"/>
                <w:lang w:val="en-US"/>
              </w:rPr>
              <w:t>6 Weeks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84DB5" w14:textId="77777777" w:rsidR="00997DD5" w:rsidRPr="00997DD5" w:rsidRDefault="00997DD5" w:rsidP="00997DD5">
            <w:pPr>
              <w:jc w:val="center"/>
              <w:rPr>
                <w:rFonts w:ascii="Calibri" w:eastAsia="Times New Roman" w:hAnsi="Calibri" w:cs="Times New Roman"/>
                <w:color w:val="548235"/>
                <w:lang w:val="en-US"/>
              </w:rPr>
            </w:pPr>
            <w:r w:rsidRPr="00997DD5">
              <w:rPr>
                <w:rFonts w:ascii="Calibri" w:eastAsia="Times New Roman" w:hAnsi="Calibri" w:cs="Times New Roman"/>
                <w:color w:val="548235"/>
                <w:lang w:val="en-US"/>
              </w:rPr>
              <w:t>Subject Averages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9F0A5" w14:textId="77777777" w:rsidR="00997DD5" w:rsidRPr="00997DD5" w:rsidRDefault="00997DD5" w:rsidP="00997DD5">
            <w:pPr>
              <w:jc w:val="center"/>
              <w:rPr>
                <w:rFonts w:ascii="Calibri" w:eastAsia="Times New Roman" w:hAnsi="Calibri" w:cs="Times New Roman"/>
                <w:color w:val="548235"/>
                <w:lang w:val="en-US"/>
              </w:rPr>
            </w:pPr>
          </w:p>
        </w:tc>
      </w:tr>
      <w:tr w:rsidR="00997DD5" w:rsidRPr="00997DD5" w14:paraId="40C9449C" w14:textId="77777777" w:rsidTr="00997DD5">
        <w:trPr>
          <w:trHeight w:val="32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F7D10" w14:textId="77777777" w:rsidR="00997DD5" w:rsidRPr="00997DD5" w:rsidRDefault="00997DD5" w:rsidP="00997DD5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97DD5">
              <w:rPr>
                <w:rFonts w:ascii="Calibri" w:eastAsia="Times New Roman" w:hAnsi="Calibri" w:cs="Times New Roman"/>
                <w:color w:val="000000"/>
                <w:lang w:val="en-US"/>
              </w:rPr>
              <w:t>DRF_001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D934C" w14:textId="77777777" w:rsidR="00997DD5" w:rsidRPr="00997DD5" w:rsidRDefault="00997DD5" w:rsidP="00997DD5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97DD5">
              <w:rPr>
                <w:rFonts w:ascii="Calibri" w:eastAsia="Times New Roman" w:hAnsi="Calibri" w:cs="Times New Roman"/>
                <w:color w:val="000000"/>
                <w:lang w:val="en-US"/>
              </w:rPr>
              <w:t>197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8A532" w14:textId="77777777" w:rsidR="00997DD5" w:rsidRPr="00997DD5" w:rsidRDefault="00997DD5" w:rsidP="00997DD5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97DD5">
              <w:rPr>
                <w:rFonts w:ascii="Calibri" w:eastAsia="Times New Roman" w:hAnsi="Calibri" w:cs="Times New Roman"/>
                <w:color w:val="000000"/>
                <w:lang w:val="en-US"/>
              </w:rPr>
              <w:t>195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66028" w14:textId="77777777" w:rsidR="00997DD5" w:rsidRPr="00997DD5" w:rsidRDefault="00997DD5" w:rsidP="00997DD5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97DD5">
              <w:rPr>
                <w:rFonts w:ascii="Calibri" w:eastAsia="Times New Roman" w:hAnsi="Calibri" w:cs="Times New Roman"/>
                <w:color w:val="000000"/>
                <w:lang w:val="en-US"/>
              </w:rPr>
              <w:t>225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3B513" w14:textId="77777777" w:rsidR="00997DD5" w:rsidRPr="00997DD5" w:rsidRDefault="00997DD5" w:rsidP="00997DD5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97DD5">
              <w:rPr>
                <w:rFonts w:ascii="Calibri" w:eastAsia="Times New Roman" w:hAnsi="Calibri" w:cs="Times New Roman"/>
                <w:color w:val="000000"/>
                <w:lang w:val="en-US"/>
              </w:rPr>
              <w:t>201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66BDF" w14:textId="77777777" w:rsidR="00997DD5" w:rsidRPr="00997DD5" w:rsidRDefault="00997DD5" w:rsidP="00997DD5">
            <w:pPr>
              <w:jc w:val="center"/>
              <w:rPr>
                <w:rFonts w:ascii="Calibri" w:eastAsia="Times New Roman" w:hAnsi="Calibri" w:cs="Times New Roman"/>
                <w:color w:val="548235"/>
                <w:lang w:val="en-US"/>
              </w:rPr>
            </w:pPr>
            <w:r w:rsidRPr="00997DD5">
              <w:rPr>
                <w:rFonts w:ascii="Calibri" w:eastAsia="Times New Roman" w:hAnsi="Calibri" w:cs="Times New Roman"/>
                <w:color w:val="548235"/>
                <w:lang w:val="en-US"/>
              </w:rPr>
              <w:t>205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53F47" w14:textId="77777777" w:rsidR="00997DD5" w:rsidRPr="00997DD5" w:rsidRDefault="00997DD5" w:rsidP="00997DD5">
            <w:pPr>
              <w:jc w:val="center"/>
              <w:rPr>
                <w:rFonts w:ascii="Calibri" w:eastAsia="Times New Roman" w:hAnsi="Calibri" w:cs="Times New Roman"/>
                <w:color w:val="548235"/>
                <w:lang w:val="en-US"/>
              </w:rPr>
            </w:pPr>
          </w:p>
        </w:tc>
      </w:tr>
      <w:tr w:rsidR="00997DD5" w:rsidRPr="00997DD5" w14:paraId="34D381EC" w14:textId="77777777" w:rsidTr="00997DD5">
        <w:trPr>
          <w:trHeight w:val="32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9E8E5" w14:textId="77777777" w:rsidR="00997DD5" w:rsidRPr="00997DD5" w:rsidRDefault="00997DD5" w:rsidP="00997DD5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97DD5">
              <w:rPr>
                <w:rFonts w:ascii="Calibri" w:eastAsia="Times New Roman" w:hAnsi="Calibri" w:cs="Times New Roman"/>
                <w:color w:val="000000"/>
                <w:lang w:val="en-US"/>
              </w:rPr>
              <w:t>DRF_003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852F7" w14:textId="77777777" w:rsidR="00997DD5" w:rsidRPr="00997DD5" w:rsidRDefault="00997DD5" w:rsidP="00997DD5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97DD5">
              <w:rPr>
                <w:rFonts w:ascii="Calibri" w:eastAsia="Times New Roman" w:hAnsi="Calibri" w:cs="Times New Roman"/>
                <w:color w:val="000000"/>
                <w:lang w:val="en-US"/>
              </w:rPr>
              <w:t>248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382EE" w14:textId="77777777" w:rsidR="00997DD5" w:rsidRPr="00997DD5" w:rsidRDefault="00997DD5" w:rsidP="00997DD5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97DD5">
              <w:rPr>
                <w:rFonts w:ascii="Calibri" w:eastAsia="Times New Roman" w:hAnsi="Calibri" w:cs="Times New Roman"/>
                <w:color w:val="000000"/>
                <w:lang w:val="en-US"/>
              </w:rPr>
              <w:t>287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2BCF3" w14:textId="77777777" w:rsidR="00997DD5" w:rsidRPr="00997DD5" w:rsidRDefault="00997DD5" w:rsidP="00997DD5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97DD5">
              <w:rPr>
                <w:rFonts w:ascii="Calibri" w:eastAsia="Times New Roman" w:hAnsi="Calibri" w:cs="Times New Roman"/>
                <w:color w:val="000000"/>
                <w:lang w:val="en-US"/>
              </w:rPr>
              <w:t>294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7A3F9" w14:textId="77777777" w:rsidR="00997DD5" w:rsidRPr="00997DD5" w:rsidRDefault="00997DD5" w:rsidP="00997DD5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97DD5">
              <w:rPr>
                <w:rFonts w:ascii="Calibri" w:eastAsia="Times New Roman" w:hAnsi="Calibri" w:cs="Times New Roman"/>
                <w:color w:val="000000"/>
                <w:lang w:val="en-US"/>
              </w:rPr>
              <w:t>277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A5E4D" w14:textId="77777777" w:rsidR="00997DD5" w:rsidRPr="00997DD5" w:rsidRDefault="00997DD5" w:rsidP="00997DD5">
            <w:pPr>
              <w:jc w:val="center"/>
              <w:rPr>
                <w:rFonts w:ascii="Calibri" w:eastAsia="Times New Roman" w:hAnsi="Calibri" w:cs="Times New Roman"/>
                <w:color w:val="548235"/>
                <w:lang w:val="en-US"/>
              </w:rPr>
            </w:pPr>
            <w:r w:rsidRPr="00997DD5">
              <w:rPr>
                <w:rFonts w:ascii="Calibri" w:eastAsia="Times New Roman" w:hAnsi="Calibri" w:cs="Times New Roman"/>
                <w:color w:val="548235"/>
                <w:lang w:val="en-US"/>
              </w:rPr>
              <w:t>276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07774" w14:textId="77777777" w:rsidR="00997DD5" w:rsidRPr="00997DD5" w:rsidRDefault="00997DD5" w:rsidP="00997DD5">
            <w:pPr>
              <w:jc w:val="center"/>
              <w:rPr>
                <w:rFonts w:ascii="Calibri" w:eastAsia="Times New Roman" w:hAnsi="Calibri" w:cs="Times New Roman"/>
                <w:color w:val="548235"/>
                <w:lang w:val="en-US"/>
              </w:rPr>
            </w:pPr>
          </w:p>
        </w:tc>
      </w:tr>
      <w:tr w:rsidR="00997DD5" w:rsidRPr="00997DD5" w14:paraId="4B5E95CC" w14:textId="77777777" w:rsidTr="00997DD5">
        <w:trPr>
          <w:trHeight w:val="32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BF9FA" w14:textId="77777777" w:rsidR="00997DD5" w:rsidRPr="00997DD5" w:rsidRDefault="00997DD5" w:rsidP="00997DD5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97DD5">
              <w:rPr>
                <w:rFonts w:ascii="Calibri" w:eastAsia="Times New Roman" w:hAnsi="Calibri" w:cs="Times New Roman"/>
                <w:color w:val="000000"/>
                <w:lang w:val="en-US"/>
              </w:rPr>
              <w:t>DRF_004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1AAFB" w14:textId="77777777" w:rsidR="00997DD5" w:rsidRPr="00997DD5" w:rsidRDefault="00997DD5" w:rsidP="00997DD5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97DD5">
              <w:rPr>
                <w:rFonts w:ascii="Calibri" w:eastAsia="Times New Roman" w:hAnsi="Calibri" w:cs="Times New Roman"/>
                <w:color w:val="000000"/>
                <w:lang w:val="en-US"/>
              </w:rPr>
              <w:t>239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641B" w14:textId="77777777" w:rsidR="00997DD5" w:rsidRPr="00997DD5" w:rsidRDefault="00997DD5" w:rsidP="00997DD5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97DD5">
              <w:rPr>
                <w:rFonts w:ascii="Calibri" w:eastAsia="Times New Roman" w:hAnsi="Calibri" w:cs="Times New Roman"/>
                <w:color w:val="000000"/>
                <w:lang w:val="en-US"/>
              </w:rPr>
              <w:t>246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242A5" w14:textId="77777777" w:rsidR="00997DD5" w:rsidRPr="00997DD5" w:rsidRDefault="00997DD5" w:rsidP="00997DD5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97DD5">
              <w:rPr>
                <w:rFonts w:ascii="Calibri" w:eastAsia="Times New Roman" w:hAnsi="Calibri" w:cs="Times New Roman"/>
                <w:color w:val="000000"/>
                <w:lang w:val="en-US"/>
              </w:rPr>
              <w:t>242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35774" w14:textId="77777777" w:rsidR="00997DD5" w:rsidRPr="00997DD5" w:rsidRDefault="00997DD5" w:rsidP="00997DD5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97DD5">
              <w:rPr>
                <w:rFonts w:ascii="Calibri" w:eastAsia="Times New Roman" w:hAnsi="Calibri" w:cs="Times New Roman"/>
                <w:color w:val="000000"/>
                <w:lang w:val="en-US"/>
              </w:rPr>
              <w:t>222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F0118" w14:textId="77777777" w:rsidR="00997DD5" w:rsidRPr="00997DD5" w:rsidRDefault="00997DD5" w:rsidP="00997DD5">
            <w:pPr>
              <w:jc w:val="center"/>
              <w:rPr>
                <w:rFonts w:ascii="Calibri" w:eastAsia="Times New Roman" w:hAnsi="Calibri" w:cs="Times New Roman"/>
                <w:color w:val="548235"/>
                <w:lang w:val="en-US"/>
              </w:rPr>
            </w:pPr>
            <w:r w:rsidRPr="00997DD5">
              <w:rPr>
                <w:rFonts w:ascii="Calibri" w:eastAsia="Times New Roman" w:hAnsi="Calibri" w:cs="Times New Roman"/>
                <w:color w:val="548235"/>
                <w:lang w:val="en-US"/>
              </w:rPr>
              <w:t>237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9BB2D" w14:textId="77777777" w:rsidR="00997DD5" w:rsidRPr="00997DD5" w:rsidRDefault="00997DD5" w:rsidP="00997DD5">
            <w:pPr>
              <w:jc w:val="center"/>
              <w:rPr>
                <w:rFonts w:ascii="Calibri" w:eastAsia="Times New Roman" w:hAnsi="Calibri" w:cs="Times New Roman"/>
                <w:color w:val="548235"/>
                <w:lang w:val="en-US"/>
              </w:rPr>
            </w:pPr>
          </w:p>
        </w:tc>
      </w:tr>
      <w:tr w:rsidR="00997DD5" w:rsidRPr="00997DD5" w14:paraId="0B20AE0A" w14:textId="77777777" w:rsidTr="00997DD5">
        <w:trPr>
          <w:trHeight w:val="32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5950B" w14:textId="77777777" w:rsidR="00997DD5" w:rsidRPr="00997DD5" w:rsidRDefault="00997DD5" w:rsidP="00997DD5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97DD5">
              <w:rPr>
                <w:rFonts w:ascii="Calibri" w:eastAsia="Times New Roman" w:hAnsi="Calibri" w:cs="Times New Roman"/>
                <w:color w:val="000000"/>
                <w:lang w:val="en-US"/>
              </w:rPr>
              <w:t>DRF_005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389FC" w14:textId="77777777" w:rsidR="00997DD5" w:rsidRPr="00997DD5" w:rsidRDefault="00997DD5" w:rsidP="00997DD5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97DD5">
              <w:rPr>
                <w:rFonts w:ascii="Calibri" w:eastAsia="Times New Roman" w:hAnsi="Calibri" w:cs="Times New Roman"/>
                <w:color w:val="000000"/>
                <w:lang w:val="en-US"/>
              </w:rPr>
              <w:t>238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14ADC" w14:textId="77777777" w:rsidR="00997DD5" w:rsidRPr="00997DD5" w:rsidRDefault="00997DD5" w:rsidP="00997DD5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97DD5">
              <w:rPr>
                <w:rFonts w:ascii="Calibri" w:eastAsia="Times New Roman" w:hAnsi="Calibri" w:cs="Times New Roman"/>
                <w:color w:val="000000"/>
                <w:lang w:val="en-US"/>
              </w:rPr>
              <w:t>266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1AA3F" w14:textId="77777777" w:rsidR="00997DD5" w:rsidRPr="00997DD5" w:rsidRDefault="00997DD5" w:rsidP="00997DD5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97DD5">
              <w:rPr>
                <w:rFonts w:ascii="Calibri" w:eastAsia="Times New Roman" w:hAnsi="Calibri" w:cs="Times New Roman"/>
                <w:color w:val="000000"/>
                <w:lang w:val="en-US"/>
              </w:rPr>
              <w:t>278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01EF" w14:textId="77777777" w:rsidR="00997DD5" w:rsidRPr="00997DD5" w:rsidRDefault="00997DD5" w:rsidP="00997DD5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97DD5">
              <w:rPr>
                <w:rFonts w:ascii="Calibri" w:eastAsia="Times New Roman" w:hAnsi="Calibri" w:cs="Times New Roman"/>
                <w:color w:val="000000"/>
                <w:lang w:val="en-US"/>
              </w:rPr>
              <w:t>273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01FDE" w14:textId="77777777" w:rsidR="00997DD5" w:rsidRPr="00997DD5" w:rsidRDefault="00997DD5" w:rsidP="00997DD5">
            <w:pPr>
              <w:jc w:val="center"/>
              <w:rPr>
                <w:rFonts w:ascii="Calibri" w:eastAsia="Times New Roman" w:hAnsi="Calibri" w:cs="Times New Roman"/>
                <w:color w:val="548235"/>
                <w:lang w:val="en-US"/>
              </w:rPr>
            </w:pPr>
            <w:r w:rsidRPr="00997DD5">
              <w:rPr>
                <w:rFonts w:ascii="Calibri" w:eastAsia="Times New Roman" w:hAnsi="Calibri" w:cs="Times New Roman"/>
                <w:color w:val="548235"/>
                <w:lang w:val="en-US"/>
              </w:rPr>
              <w:t>264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34CA9" w14:textId="77777777" w:rsidR="00997DD5" w:rsidRPr="00997DD5" w:rsidRDefault="00997DD5" w:rsidP="00997DD5">
            <w:pPr>
              <w:jc w:val="center"/>
              <w:rPr>
                <w:rFonts w:ascii="Calibri" w:eastAsia="Times New Roman" w:hAnsi="Calibri" w:cs="Times New Roman"/>
                <w:color w:val="548235"/>
                <w:lang w:val="en-US"/>
              </w:rPr>
            </w:pPr>
          </w:p>
        </w:tc>
      </w:tr>
      <w:tr w:rsidR="00997DD5" w:rsidRPr="00997DD5" w14:paraId="5662A05C" w14:textId="77777777" w:rsidTr="00997DD5">
        <w:trPr>
          <w:trHeight w:val="32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16369" w14:textId="77777777" w:rsidR="00997DD5" w:rsidRPr="00997DD5" w:rsidRDefault="00997DD5" w:rsidP="00997DD5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97DD5">
              <w:rPr>
                <w:rFonts w:ascii="Calibri" w:eastAsia="Times New Roman" w:hAnsi="Calibri" w:cs="Times New Roman"/>
                <w:color w:val="000000"/>
                <w:lang w:val="en-US"/>
              </w:rPr>
              <w:t>DRF_006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0FB2AC" w14:textId="77777777" w:rsidR="00997DD5" w:rsidRPr="00997DD5" w:rsidRDefault="00997DD5" w:rsidP="00997DD5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97DD5">
              <w:rPr>
                <w:rFonts w:ascii="Calibri" w:eastAsia="Times New Roman" w:hAnsi="Calibri" w:cs="Times New Roman"/>
                <w:color w:val="000000"/>
                <w:lang w:val="en-US"/>
              </w:rPr>
              <w:t>244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465052" w14:textId="77777777" w:rsidR="00997DD5" w:rsidRPr="00997DD5" w:rsidRDefault="00997DD5" w:rsidP="00997DD5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97DD5">
              <w:rPr>
                <w:rFonts w:ascii="Calibri" w:eastAsia="Times New Roman" w:hAnsi="Calibri" w:cs="Times New Roman"/>
                <w:color w:val="000000"/>
                <w:lang w:val="en-US"/>
              </w:rPr>
              <w:t>280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84197A" w14:textId="77777777" w:rsidR="00997DD5" w:rsidRPr="00997DD5" w:rsidRDefault="00997DD5" w:rsidP="00997DD5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97DD5">
              <w:rPr>
                <w:rFonts w:ascii="Calibri" w:eastAsia="Times New Roman" w:hAnsi="Calibri" w:cs="Times New Roman"/>
                <w:color w:val="000000"/>
                <w:lang w:val="en-US"/>
              </w:rPr>
              <w:t>285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2464B" w14:textId="77777777" w:rsidR="00997DD5" w:rsidRPr="00997DD5" w:rsidRDefault="00997DD5" w:rsidP="00997DD5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97DD5">
              <w:rPr>
                <w:rFonts w:ascii="Calibri" w:eastAsia="Times New Roman" w:hAnsi="Calibri" w:cs="Times New Roman"/>
                <w:color w:val="000000"/>
                <w:lang w:val="en-US"/>
              </w:rPr>
              <w:t>283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F9771" w14:textId="77777777" w:rsidR="00997DD5" w:rsidRPr="00997DD5" w:rsidRDefault="00997DD5" w:rsidP="00997DD5">
            <w:pPr>
              <w:jc w:val="center"/>
              <w:rPr>
                <w:rFonts w:ascii="Calibri" w:eastAsia="Times New Roman" w:hAnsi="Calibri" w:cs="Times New Roman"/>
                <w:color w:val="548235"/>
                <w:lang w:val="en-US"/>
              </w:rPr>
            </w:pPr>
            <w:r w:rsidRPr="00997DD5">
              <w:rPr>
                <w:rFonts w:ascii="Calibri" w:eastAsia="Times New Roman" w:hAnsi="Calibri" w:cs="Times New Roman"/>
                <w:color w:val="548235"/>
                <w:lang w:val="en-US"/>
              </w:rPr>
              <w:t>273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1AEFB" w14:textId="77777777" w:rsidR="00997DD5" w:rsidRPr="00997DD5" w:rsidRDefault="00997DD5" w:rsidP="00997DD5">
            <w:pPr>
              <w:jc w:val="center"/>
              <w:rPr>
                <w:rFonts w:ascii="Calibri" w:eastAsia="Times New Roman" w:hAnsi="Calibri" w:cs="Times New Roman"/>
                <w:color w:val="548235"/>
                <w:lang w:val="en-US"/>
              </w:rPr>
            </w:pPr>
          </w:p>
        </w:tc>
      </w:tr>
      <w:tr w:rsidR="00997DD5" w:rsidRPr="00997DD5" w14:paraId="5679C8BC" w14:textId="77777777" w:rsidTr="00997DD5">
        <w:trPr>
          <w:trHeight w:val="320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EC6B6" w14:textId="4B79B574" w:rsidR="00997DD5" w:rsidRPr="00997DD5" w:rsidRDefault="00997DD5" w:rsidP="00997DD5">
            <w:pPr>
              <w:jc w:val="center"/>
              <w:rPr>
                <w:rFonts w:ascii="Calibri" w:eastAsia="Times New Roman" w:hAnsi="Calibri" w:cs="Times New Roman"/>
                <w:color w:val="0070C0"/>
                <w:lang w:val="en-US"/>
              </w:rPr>
            </w:pPr>
            <w:r w:rsidRPr="00997DD5">
              <w:rPr>
                <w:rFonts w:ascii="Calibri" w:eastAsia="Times New Roman" w:hAnsi="Calibri" w:cs="Times New Roman"/>
                <w:color w:val="0070C0"/>
                <w:lang w:val="en-US"/>
              </w:rPr>
              <w:t>Time</w:t>
            </w:r>
            <w:r>
              <w:rPr>
                <w:rFonts w:ascii="Calibri" w:eastAsia="Times New Roman" w:hAnsi="Calibri" w:cs="Times New Roman"/>
                <w:color w:val="0070C0"/>
                <w:lang w:val="en-US"/>
              </w:rPr>
              <w:t>-P</w:t>
            </w:r>
            <w:r w:rsidRPr="00997DD5">
              <w:rPr>
                <w:rFonts w:ascii="Calibri" w:eastAsia="Times New Roman" w:hAnsi="Calibri" w:cs="Times New Roman"/>
                <w:color w:val="0070C0"/>
                <w:lang w:val="en-US"/>
              </w:rPr>
              <w:t>oint Averages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09ED0F" w14:textId="77777777" w:rsidR="00997DD5" w:rsidRPr="00997DD5" w:rsidRDefault="00997DD5" w:rsidP="00997DD5">
            <w:pPr>
              <w:jc w:val="center"/>
              <w:rPr>
                <w:rFonts w:ascii="Calibri" w:eastAsia="Times New Roman" w:hAnsi="Calibri" w:cs="Times New Roman"/>
                <w:color w:val="0070C0"/>
                <w:lang w:val="en-US"/>
              </w:rPr>
            </w:pPr>
            <w:r w:rsidRPr="00997DD5">
              <w:rPr>
                <w:rFonts w:ascii="Calibri" w:eastAsia="Times New Roman" w:hAnsi="Calibri" w:cs="Times New Roman"/>
                <w:color w:val="0070C0"/>
                <w:lang w:val="en-US"/>
              </w:rPr>
              <w:t>233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D85A73" w14:textId="77777777" w:rsidR="00997DD5" w:rsidRPr="00997DD5" w:rsidRDefault="00997DD5" w:rsidP="00997DD5">
            <w:pPr>
              <w:jc w:val="center"/>
              <w:rPr>
                <w:rFonts w:ascii="Calibri" w:eastAsia="Times New Roman" w:hAnsi="Calibri" w:cs="Times New Roman"/>
                <w:color w:val="0070C0"/>
                <w:lang w:val="en-US"/>
              </w:rPr>
            </w:pPr>
            <w:r w:rsidRPr="00997DD5">
              <w:rPr>
                <w:rFonts w:ascii="Calibri" w:eastAsia="Times New Roman" w:hAnsi="Calibri" w:cs="Times New Roman"/>
                <w:color w:val="0070C0"/>
                <w:lang w:val="en-US"/>
              </w:rPr>
              <w:t>255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12CD50" w14:textId="77777777" w:rsidR="00997DD5" w:rsidRPr="00997DD5" w:rsidRDefault="00997DD5" w:rsidP="00997DD5">
            <w:pPr>
              <w:jc w:val="center"/>
              <w:rPr>
                <w:rFonts w:ascii="Calibri" w:eastAsia="Times New Roman" w:hAnsi="Calibri" w:cs="Times New Roman"/>
                <w:color w:val="0070C0"/>
                <w:lang w:val="en-US"/>
              </w:rPr>
            </w:pPr>
            <w:r w:rsidRPr="00997DD5">
              <w:rPr>
                <w:rFonts w:ascii="Calibri" w:eastAsia="Times New Roman" w:hAnsi="Calibri" w:cs="Times New Roman"/>
                <w:color w:val="0070C0"/>
                <w:lang w:val="en-US"/>
              </w:rPr>
              <w:t>265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5B403E" w14:textId="77777777" w:rsidR="00997DD5" w:rsidRPr="00997DD5" w:rsidRDefault="00997DD5" w:rsidP="00997DD5">
            <w:pPr>
              <w:jc w:val="center"/>
              <w:rPr>
                <w:rFonts w:ascii="Calibri" w:eastAsia="Times New Roman" w:hAnsi="Calibri" w:cs="Times New Roman"/>
                <w:color w:val="0070C0"/>
                <w:lang w:val="en-US"/>
              </w:rPr>
            </w:pPr>
            <w:r w:rsidRPr="00997DD5">
              <w:rPr>
                <w:rFonts w:ascii="Calibri" w:eastAsia="Times New Roman" w:hAnsi="Calibri" w:cs="Times New Roman"/>
                <w:color w:val="0070C0"/>
                <w:lang w:val="en-US"/>
              </w:rPr>
              <w:t>251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C5D9F" w14:textId="77777777" w:rsidR="00997DD5" w:rsidRPr="00997DD5" w:rsidRDefault="00997DD5" w:rsidP="00997DD5">
            <w:pPr>
              <w:jc w:val="center"/>
              <w:rPr>
                <w:rFonts w:ascii="Calibri" w:eastAsia="Times New Roman" w:hAnsi="Calibri" w:cs="Times New Roman"/>
                <w:color w:val="C00000"/>
                <w:lang w:val="en-US"/>
              </w:rPr>
            </w:pPr>
            <w:r w:rsidRPr="00997DD5">
              <w:rPr>
                <w:rFonts w:ascii="Calibri" w:eastAsia="Times New Roman" w:hAnsi="Calibri" w:cs="Times New Roman"/>
                <w:color w:val="C00000"/>
                <w:lang w:val="en-US"/>
              </w:rPr>
              <w:t>251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06118" w14:textId="77777777" w:rsidR="00997DD5" w:rsidRPr="00997DD5" w:rsidRDefault="00997DD5" w:rsidP="00997DD5">
            <w:pPr>
              <w:jc w:val="center"/>
              <w:rPr>
                <w:rFonts w:ascii="Calibri" w:eastAsia="Times New Roman" w:hAnsi="Calibri" w:cs="Times New Roman"/>
                <w:color w:val="C00000"/>
                <w:lang w:val="en-US"/>
              </w:rPr>
            </w:pPr>
            <w:r w:rsidRPr="00997DD5">
              <w:rPr>
                <w:rFonts w:ascii="Calibri" w:eastAsia="Times New Roman" w:hAnsi="Calibri" w:cs="Times New Roman"/>
                <w:color w:val="C00000"/>
                <w:lang w:val="en-US"/>
              </w:rPr>
              <w:t>Grand Average</w:t>
            </w:r>
          </w:p>
        </w:tc>
      </w:tr>
    </w:tbl>
    <w:p w14:paraId="62C4C8A8" w14:textId="77777777" w:rsidR="00997DD5" w:rsidRDefault="00997DD5" w:rsidP="00B42015">
      <w:pPr>
        <w:pStyle w:val="p1"/>
        <w:rPr>
          <w:rFonts w:asciiTheme="majorHAnsi" w:hAnsiTheme="majorHAnsi"/>
          <w:sz w:val="22"/>
          <w:szCs w:val="22"/>
        </w:rPr>
      </w:pPr>
    </w:p>
    <w:p w14:paraId="25EA6951" w14:textId="77777777" w:rsidR="00440552" w:rsidRDefault="00440552" w:rsidP="00440552">
      <w:pPr>
        <w:pStyle w:val="p1"/>
        <w:jc w:val="center"/>
        <w:rPr>
          <w:rFonts w:asciiTheme="majorHAnsi" w:hAnsiTheme="majorHAnsi"/>
          <w:sz w:val="22"/>
          <w:szCs w:val="22"/>
        </w:rPr>
      </w:pPr>
    </w:p>
    <w:p w14:paraId="30E8EC54" w14:textId="59AE8A2C" w:rsidR="006B244C" w:rsidRPr="00EC4F2C" w:rsidRDefault="0081690F" w:rsidP="00502BDB">
      <w:pPr>
        <w:pStyle w:val="p1"/>
        <w:rPr>
          <w:rFonts w:asciiTheme="majorHAnsi" w:hAnsiTheme="majorHAnsi"/>
          <w:b/>
          <w:sz w:val="22"/>
          <w:szCs w:val="22"/>
        </w:rPr>
      </w:pPr>
      <w:r w:rsidRPr="00EC4F2C">
        <w:rPr>
          <w:rFonts w:asciiTheme="majorHAnsi" w:hAnsiTheme="majorHAnsi"/>
          <w:b/>
          <w:sz w:val="22"/>
          <w:szCs w:val="22"/>
        </w:rPr>
        <w:t xml:space="preserve">Table 2: </w:t>
      </w:r>
      <w:r w:rsidR="007B7D7A">
        <w:rPr>
          <w:rFonts w:asciiTheme="majorHAnsi" w:hAnsiTheme="majorHAnsi"/>
          <w:b/>
          <w:sz w:val="22"/>
          <w:szCs w:val="22"/>
        </w:rPr>
        <w:t>A S</w:t>
      </w:r>
      <w:r w:rsidR="009E7CE2">
        <w:rPr>
          <w:rFonts w:asciiTheme="majorHAnsi" w:hAnsiTheme="majorHAnsi"/>
          <w:b/>
          <w:sz w:val="22"/>
          <w:szCs w:val="22"/>
        </w:rPr>
        <w:t xml:space="preserve">omewhat </w:t>
      </w:r>
      <w:r w:rsidRPr="00EC4F2C">
        <w:rPr>
          <w:rFonts w:asciiTheme="majorHAnsi" w:hAnsiTheme="majorHAnsi"/>
          <w:b/>
          <w:sz w:val="22"/>
          <w:szCs w:val="22"/>
        </w:rPr>
        <w:t>Standard ANOVA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4"/>
        <w:gridCol w:w="1340"/>
        <w:gridCol w:w="2588"/>
        <w:gridCol w:w="1414"/>
        <w:gridCol w:w="1687"/>
        <w:gridCol w:w="1677"/>
      </w:tblGrid>
      <w:tr w:rsidR="007B7D7A" w14:paraId="1D8A7F04" w14:textId="77777777" w:rsidTr="007B7D7A">
        <w:trPr>
          <w:trHeight w:val="605"/>
        </w:trPr>
        <w:tc>
          <w:tcPr>
            <w:tcW w:w="1364" w:type="dxa"/>
            <w:vAlign w:val="center"/>
          </w:tcPr>
          <w:p w14:paraId="5C707508" w14:textId="77777777" w:rsidR="006B244C" w:rsidRPr="004032AB" w:rsidRDefault="006B244C" w:rsidP="004032AB">
            <w:pPr>
              <w:pStyle w:val="p1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1340" w:type="dxa"/>
            <w:vAlign w:val="center"/>
          </w:tcPr>
          <w:p w14:paraId="61469F20" w14:textId="6789A94A" w:rsidR="006B244C" w:rsidRPr="004032AB" w:rsidRDefault="00EC4F2C" w:rsidP="004032AB">
            <w:pPr>
              <w:pStyle w:val="p1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Degrees of freedom</w:t>
            </w:r>
          </w:p>
        </w:tc>
        <w:tc>
          <w:tcPr>
            <w:tcW w:w="2588" w:type="dxa"/>
            <w:vAlign w:val="center"/>
          </w:tcPr>
          <w:p w14:paraId="6D538C0D" w14:textId="6F8C85AA" w:rsidR="006B244C" w:rsidRPr="004032AB" w:rsidRDefault="006B244C" w:rsidP="004032AB">
            <w:pPr>
              <w:pStyle w:val="p1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4032AB">
              <w:rPr>
                <w:rFonts w:asciiTheme="majorHAnsi" w:hAnsiTheme="majorHAnsi"/>
                <w:b/>
                <w:sz w:val="22"/>
                <w:szCs w:val="22"/>
              </w:rPr>
              <w:t>Sum of Squares</w:t>
            </w:r>
          </w:p>
        </w:tc>
        <w:tc>
          <w:tcPr>
            <w:tcW w:w="1414" w:type="dxa"/>
            <w:tcBorders>
              <w:bottom w:val="single" w:sz="4" w:space="0" w:color="auto"/>
            </w:tcBorders>
            <w:vAlign w:val="center"/>
          </w:tcPr>
          <w:p w14:paraId="3930D179" w14:textId="7CF0CC75" w:rsidR="006B244C" w:rsidRPr="004032AB" w:rsidRDefault="006B244C" w:rsidP="004032AB">
            <w:pPr>
              <w:pStyle w:val="p1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4032AB">
              <w:rPr>
                <w:rFonts w:asciiTheme="majorHAnsi" w:hAnsiTheme="majorHAnsi"/>
                <w:b/>
                <w:sz w:val="22"/>
                <w:szCs w:val="22"/>
              </w:rPr>
              <w:t>Mean Squares</w:t>
            </w:r>
          </w:p>
        </w:tc>
        <w:tc>
          <w:tcPr>
            <w:tcW w:w="1687" w:type="dxa"/>
            <w:tcBorders>
              <w:bottom w:val="single" w:sz="4" w:space="0" w:color="auto"/>
            </w:tcBorders>
            <w:vAlign w:val="center"/>
          </w:tcPr>
          <w:p w14:paraId="20E0E773" w14:textId="06F32DC0" w:rsidR="006B244C" w:rsidRPr="004032AB" w:rsidRDefault="006B244C" w:rsidP="00EC4F2C">
            <w:pPr>
              <w:pStyle w:val="p1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4032AB">
              <w:rPr>
                <w:rFonts w:asciiTheme="majorHAnsi" w:hAnsiTheme="majorHAnsi"/>
                <w:b/>
                <w:sz w:val="22"/>
                <w:szCs w:val="22"/>
              </w:rPr>
              <w:t>F-</w:t>
            </w:r>
            <w:r w:rsidR="00EC4F2C">
              <w:rPr>
                <w:rFonts w:asciiTheme="majorHAnsi" w:hAnsiTheme="majorHAnsi"/>
                <w:b/>
                <w:sz w:val="22"/>
                <w:szCs w:val="22"/>
              </w:rPr>
              <w:t>ratio</w:t>
            </w:r>
          </w:p>
        </w:tc>
        <w:tc>
          <w:tcPr>
            <w:tcW w:w="1677" w:type="dxa"/>
            <w:tcBorders>
              <w:bottom w:val="single" w:sz="4" w:space="0" w:color="auto"/>
            </w:tcBorders>
            <w:vAlign w:val="center"/>
          </w:tcPr>
          <w:p w14:paraId="6F1BEE1B" w14:textId="0DC8ABC9" w:rsidR="006B244C" w:rsidRPr="004032AB" w:rsidRDefault="006B244C" w:rsidP="004032AB">
            <w:pPr>
              <w:pStyle w:val="p1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4032AB">
              <w:rPr>
                <w:rFonts w:asciiTheme="majorHAnsi" w:hAnsiTheme="majorHAnsi"/>
                <w:b/>
                <w:sz w:val="22"/>
                <w:szCs w:val="22"/>
              </w:rPr>
              <w:t>p-value</w:t>
            </w:r>
          </w:p>
        </w:tc>
      </w:tr>
      <w:tr w:rsidR="00C44017" w14:paraId="41905FC1" w14:textId="77777777" w:rsidTr="00C44017">
        <w:trPr>
          <w:trHeight w:val="786"/>
        </w:trPr>
        <w:tc>
          <w:tcPr>
            <w:tcW w:w="1364" w:type="dxa"/>
            <w:vAlign w:val="center"/>
          </w:tcPr>
          <w:p w14:paraId="65378402" w14:textId="2D0A2AFF" w:rsidR="006B244C" w:rsidRDefault="006B244C" w:rsidP="009E7CE2">
            <w:pPr>
              <w:pStyle w:val="p1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Between </w:t>
            </w:r>
            <w:r w:rsidR="009E7CE2">
              <w:rPr>
                <w:rFonts w:asciiTheme="majorHAnsi" w:hAnsiTheme="majorHAnsi"/>
                <w:sz w:val="22"/>
                <w:szCs w:val="22"/>
              </w:rPr>
              <w:t>Times</w:t>
            </w:r>
          </w:p>
        </w:tc>
        <w:tc>
          <w:tcPr>
            <w:tcW w:w="1340" w:type="dxa"/>
            <w:vAlign w:val="center"/>
          </w:tcPr>
          <w:p w14:paraId="1DD02C7A" w14:textId="77777777" w:rsidR="006B244C" w:rsidRDefault="006B244C" w:rsidP="004032AB">
            <w:pPr>
              <w:pStyle w:val="p1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588" w:type="dxa"/>
            <w:vAlign w:val="center"/>
          </w:tcPr>
          <w:p w14:paraId="5646FF70" w14:textId="77777777" w:rsidR="006B244C" w:rsidRDefault="006B244C" w:rsidP="004032AB">
            <w:pPr>
              <w:pStyle w:val="p1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4" w:type="dxa"/>
            <w:vAlign w:val="center"/>
          </w:tcPr>
          <w:p w14:paraId="7CC25196" w14:textId="77777777" w:rsidR="006B244C" w:rsidRDefault="006B244C" w:rsidP="004032AB">
            <w:pPr>
              <w:pStyle w:val="p1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87" w:type="dxa"/>
            <w:tcBorders>
              <w:bottom w:val="single" w:sz="4" w:space="0" w:color="auto"/>
            </w:tcBorders>
            <w:vAlign w:val="center"/>
          </w:tcPr>
          <w:p w14:paraId="45C0E8E5" w14:textId="77777777" w:rsidR="006B244C" w:rsidRDefault="006B244C" w:rsidP="004032AB">
            <w:pPr>
              <w:pStyle w:val="p1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77" w:type="dxa"/>
            <w:tcBorders>
              <w:bottom w:val="single" w:sz="4" w:space="0" w:color="auto"/>
            </w:tcBorders>
            <w:vAlign w:val="center"/>
          </w:tcPr>
          <w:p w14:paraId="14B36758" w14:textId="77777777" w:rsidR="006B244C" w:rsidRDefault="006B244C" w:rsidP="004032AB">
            <w:pPr>
              <w:pStyle w:val="p1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7B7D7A" w14:paraId="768F98A0" w14:textId="77777777" w:rsidTr="00C44017">
        <w:trPr>
          <w:trHeight w:val="926"/>
        </w:trPr>
        <w:tc>
          <w:tcPr>
            <w:tcW w:w="1364" w:type="dxa"/>
            <w:vAlign w:val="center"/>
          </w:tcPr>
          <w:p w14:paraId="5F61767F" w14:textId="0DCC4F8C" w:rsidR="009E7CE2" w:rsidRDefault="009E7CE2" w:rsidP="00556BA3">
            <w:pPr>
              <w:pStyle w:val="p1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Within </w:t>
            </w:r>
            <w:r w:rsidR="00556BA3">
              <w:rPr>
                <w:rFonts w:asciiTheme="majorHAnsi" w:hAnsiTheme="majorHAnsi"/>
                <w:sz w:val="22"/>
                <w:szCs w:val="22"/>
              </w:rPr>
              <w:t>Time</w:t>
            </w:r>
            <w:r>
              <w:rPr>
                <w:rFonts w:asciiTheme="majorHAnsi" w:hAnsiTheme="majorHAnsi"/>
                <w:sz w:val="22"/>
                <w:szCs w:val="22"/>
              </w:rPr>
              <w:t>s</w:t>
            </w:r>
          </w:p>
        </w:tc>
        <w:tc>
          <w:tcPr>
            <w:tcW w:w="1340" w:type="dxa"/>
            <w:vAlign w:val="center"/>
          </w:tcPr>
          <w:p w14:paraId="390BC06D" w14:textId="77777777" w:rsidR="009E7CE2" w:rsidRDefault="009E7CE2" w:rsidP="004032AB">
            <w:pPr>
              <w:pStyle w:val="p1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588" w:type="dxa"/>
            <w:vAlign w:val="center"/>
          </w:tcPr>
          <w:p w14:paraId="12E1EAB8" w14:textId="77777777" w:rsidR="009E7CE2" w:rsidRDefault="009E7CE2" w:rsidP="004032AB">
            <w:pPr>
              <w:pStyle w:val="p1"/>
              <w:jc w:val="center"/>
              <w:rPr>
                <w:rFonts w:asciiTheme="majorHAnsi" w:hAnsiTheme="majorHAnsi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1414" w:type="dxa"/>
            <w:tcBorders>
              <w:right w:val="single" w:sz="4" w:space="0" w:color="auto"/>
            </w:tcBorders>
            <w:vAlign w:val="center"/>
          </w:tcPr>
          <w:p w14:paraId="7FF65581" w14:textId="77777777" w:rsidR="009E7CE2" w:rsidRDefault="009E7CE2" w:rsidP="004032AB">
            <w:pPr>
              <w:pStyle w:val="p1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83B2CB4" w14:textId="77777777" w:rsidR="009E7CE2" w:rsidRDefault="009E7CE2" w:rsidP="004032AB">
            <w:pPr>
              <w:pStyle w:val="p1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2EAC2B" w14:textId="77777777" w:rsidR="009E7CE2" w:rsidRDefault="009E7CE2" w:rsidP="004032AB">
            <w:pPr>
              <w:pStyle w:val="p1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556BA3" w14:paraId="45587BBA" w14:textId="77777777" w:rsidTr="00C44017">
        <w:trPr>
          <w:trHeight w:val="787"/>
        </w:trPr>
        <w:tc>
          <w:tcPr>
            <w:tcW w:w="1364" w:type="dxa"/>
            <w:vAlign w:val="center"/>
          </w:tcPr>
          <w:p w14:paraId="40A2BB72" w14:textId="721461A2" w:rsidR="00556BA3" w:rsidRDefault="00556BA3" w:rsidP="00397859">
            <w:pPr>
              <w:pStyle w:val="p1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Within Subjects</w:t>
            </w:r>
          </w:p>
        </w:tc>
        <w:tc>
          <w:tcPr>
            <w:tcW w:w="1340" w:type="dxa"/>
            <w:vAlign w:val="center"/>
          </w:tcPr>
          <w:p w14:paraId="3DFDE36C" w14:textId="77777777" w:rsidR="00556BA3" w:rsidRDefault="00556BA3" w:rsidP="004032AB">
            <w:pPr>
              <w:pStyle w:val="p1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588" w:type="dxa"/>
            <w:vAlign w:val="center"/>
          </w:tcPr>
          <w:p w14:paraId="500A8C5C" w14:textId="77777777" w:rsidR="00556BA3" w:rsidRDefault="00556BA3" w:rsidP="004032AB">
            <w:pPr>
              <w:pStyle w:val="p1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FB7955D" w14:textId="77777777" w:rsidR="00556BA3" w:rsidRDefault="00556BA3" w:rsidP="004032AB">
            <w:pPr>
              <w:pStyle w:val="p1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8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0E9F8DD" w14:textId="77777777" w:rsidR="00556BA3" w:rsidRDefault="00556BA3" w:rsidP="004032AB">
            <w:pPr>
              <w:pStyle w:val="p1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FCF53A" w14:textId="77777777" w:rsidR="00556BA3" w:rsidRDefault="00556BA3" w:rsidP="004032AB">
            <w:pPr>
              <w:pStyle w:val="p1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7B7D7A" w14:paraId="7920D3FE" w14:textId="77777777" w:rsidTr="00C44017">
        <w:trPr>
          <w:trHeight w:val="955"/>
        </w:trPr>
        <w:tc>
          <w:tcPr>
            <w:tcW w:w="1364" w:type="dxa"/>
            <w:vAlign w:val="center"/>
          </w:tcPr>
          <w:p w14:paraId="5F79EF87" w14:textId="77777777" w:rsidR="009E7CE2" w:rsidRDefault="009E7CE2" w:rsidP="00397859">
            <w:pPr>
              <w:pStyle w:val="p1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Error</w:t>
            </w:r>
          </w:p>
          <w:p w14:paraId="5AB63F36" w14:textId="63E704E1" w:rsidR="009E7CE2" w:rsidRDefault="009E7CE2" w:rsidP="009E7CE2">
            <w:pPr>
              <w:pStyle w:val="p1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(unexplained variance)</w:t>
            </w:r>
          </w:p>
        </w:tc>
        <w:tc>
          <w:tcPr>
            <w:tcW w:w="1340" w:type="dxa"/>
            <w:vAlign w:val="center"/>
          </w:tcPr>
          <w:p w14:paraId="1CA3DB21" w14:textId="77777777" w:rsidR="009E7CE2" w:rsidRDefault="009E7CE2" w:rsidP="004032AB">
            <w:pPr>
              <w:pStyle w:val="p1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588" w:type="dxa"/>
            <w:vAlign w:val="center"/>
          </w:tcPr>
          <w:p w14:paraId="551A32AA" w14:textId="77777777" w:rsidR="009E7CE2" w:rsidRDefault="009E7CE2" w:rsidP="004032AB">
            <w:pPr>
              <w:pStyle w:val="p1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9168E01" w14:textId="77777777" w:rsidR="009E7CE2" w:rsidRDefault="009E7CE2" w:rsidP="004032AB">
            <w:pPr>
              <w:pStyle w:val="p1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8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152ABEF" w14:textId="77777777" w:rsidR="009E7CE2" w:rsidRDefault="009E7CE2" w:rsidP="004032AB">
            <w:pPr>
              <w:pStyle w:val="p1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9AB50E" w14:textId="77777777" w:rsidR="009E7CE2" w:rsidRDefault="009E7CE2" w:rsidP="004032AB">
            <w:pPr>
              <w:pStyle w:val="p1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14:paraId="4645D8AC" w14:textId="77777777" w:rsidR="004F691D" w:rsidRDefault="004F691D">
      <w:pPr>
        <w:rPr>
          <w:rFonts w:asciiTheme="majorHAnsi" w:hAnsiTheme="majorHAnsi"/>
        </w:rPr>
        <w:sectPr w:rsidR="004F691D" w:rsidSect="00997DD5">
          <w:headerReference w:type="default" r:id="rId12"/>
          <w:pgSz w:w="12240" w:h="15840"/>
          <w:pgMar w:top="950" w:right="1080" w:bottom="677" w:left="1080" w:header="708" w:footer="708" w:gutter="0"/>
          <w:cols w:space="708"/>
          <w:docGrid w:linePitch="360"/>
        </w:sectPr>
      </w:pPr>
    </w:p>
    <w:p w14:paraId="1563D169" w14:textId="39CE99FD" w:rsidR="000530C4" w:rsidRDefault="000530C4">
      <w:pPr>
        <w:rPr>
          <w:rFonts w:asciiTheme="majorHAnsi" w:hAnsiTheme="majorHAnsi"/>
          <w:b/>
        </w:rPr>
        <w:sectPr w:rsidR="000530C4" w:rsidSect="001C6C34">
          <w:type w:val="continuous"/>
          <w:pgSz w:w="12240" w:h="15840"/>
          <w:pgMar w:top="1440" w:right="1080" w:bottom="201" w:left="1080" w:header="708" w:footer="708" w:gutter="0"/>
          <w:cols w:num="2" w:space="708"/>
          <w:docGrid w:linePitch="360"/>
        </w:sectPr>
      </w:pPr>
    </w:p>
    <w:p w14:paraId="294CC00D" w14:textId="17F7ACED" w:rsidR="0081690F" w:rsidRPr="007B7D7A" w:rsidRDefault="007B7D7A" w:rsidP="007B7D7A">
      <w:pPr>
        <w:pStyle w:val="p1"/>
        <w:rPr>
          <w:rFonts w:asciiTheme="majorHAnsi" w:hAnsiTheme="majorHAnsi"/>
          <w:b/>
          <w:sz w:val="22"/>
          <w:szCs w:val="22"/>
        </w:rPr>
      </w:pPr>
      <w:r w:rsidRPr="007B7D7A">
        <w:rPr>
          <w:rFonts w:asciiTheme="majorHAnsi" w:hAnsiTheme="majorHAnsi"/>
          <w:b/>
          <w:sz w:val="22"/>
          <w:szCs w:val="22"/>
        </w:rPr>
        <w:t xml:space="preserve">Table 3: </w:t>
      </w:r>
      <w:r w:rsidR="000530C4" w:rsidRPr="007B7D7A">
        <w:rPr>
          <w:rFonts w:asciiTheme="majorHAnsi" w:hAnsiTheme="majorHAnsi"/>
          <w:b/>
          <w:sz w:val="22"/>
          <w:szCs w:val="22"/>
        </w:rPr>
        <w:t>Effect Size: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405"/>
        <w:gridCol w:w="3544"/>
        <w:gridCol w:w="3827"/>
      </w:tblGrid>
      <w:tr w:rsidR="0089780C" w14:paraId="4D45083F" w14:textId="77777777" w:rsidTr="00B05A40">
        <w:trPr>
          <w:trHeight w:val="521"/>
        </w:trPr>
        <w:tc>
          <w:tcPr>
            <w:tcW w:w="2405" w:type="dxa"/>
          </w:tcPr>
          <w:p w14:paraId="2556522A" w14:textId="0B18DE05" w:rsidR="000530C4" w:rsidRDefault="000530C4" w:rsidP="000530C4">
            <w:pPr>
              <w:jc w:val="center"/>
            </w:pPr>
            <w:r>
              <w:t>Effect Size Metric</w:t>
            </w:r>
          </w:p>
        </w:tc>
        <w:tc>
          <w:tcPr>
            <w:tcW w:w="3544" w:type="dxa"/>
          </w:tcPr>
          <w:p w14:paraId="7B9AE5BA" w14:textId="540A1971" w:rsidR="000530C4" w:rsidRDefault="000530C4" w:rsidP="000530C4">
            <w:pPr>
              <w:jc w:val="center"/>
            </w:pPr>
            <w:r>
              <w:t>Formula</w:t>
            </w:r>
          </w:p>
        </w:tc>
        <w:tc>
          <w:tcPr>
            <w:tcW w:w="3827" w:type="dxa"/>
          </w:tcPr>
          <w:p w14:paraId="006C13EC" w14:textId="227EE3A9" w:rsidR="000530C4" w:rsidRDefault="000530C4" w:rsidP="000530C4">
            <w:pPr>
              <w:jc w:val="center"/>
            </w:pPr>
            <w:r>
              <w:t>Example Value</w:t>
            </w:r>
          </w:p>
        </w:tc>
      </w:tr>
      <w:tr w:rsidR="0089780C" w14:paraId="19C9FF06" w14:textId="77777777" w:rsidTr="00C44017">
        <w:trPr>
          <w:trHeight w:val="1121"/>
        </w:trPr>
        <w:tc>
          <w:tcPr>
            <w:tcW w:w="2405" w:type="dxa"/>
          </w:tcPr>
          <w:p w14:paraId="7D52CD5D" w14:textId="77777777" w:rsidR="0089780C" w:rsidRDefault="0089780C"/>
          <w:p w14:paraId="14C925AB" w14:textId="54766C88" w:rsidR="0089780C" w:rsidRDefault="000530C4" w:rsidP="00C44017">
            <w:pPr>
              <w:jc w:val="center"/>
            </w:pPr>
            <w:r>
              <w:t>Partial Eta Squared</w:t>
            </w:r>
          </w:p>
          <w:p w14:paraId="6C5A259D" w14:textId="2D42C4C5" w:rsidR="0089780C" w:rsidRDefault="0089780C" w:rsidP="0089780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/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3544" w:type="dxa"/>
          </w:tcPr>
          <w:p w14:paraId="5961DD56" w14:textId="736F07F2" w:rsidR="000530C4" w:rsidRDefault="000530C4" w:rsidP="000530C4"/>
        </w:tc>
        <w:tc>
          <w:tcPr>
            <w:tcW w:w="3827" w:type="dxa"/>
          </w:tcPr>
          <w:p w14:paraId="1A751C43" w14:textId="77777777" w:rsidR="000530C4" w:rsidRDefault="000530C4"/>
        </w:tc>
      </w:tr>
      <w:tr w:rsidR="0089780C" w14:paraId="79AD5EC0" w14:textId="77777777" w:rsidTr="00C44017">
        <w:trPr>
          <w:trHeight w:val="1205"/>
        </w:trPr>
        <w:tc>
          <w:tcPr>
            <w:tcW w:w="2405" w:type="dxa"/>
          </w:tcPr>
          <w:p w14:paraId="6C9D5E6C" w14:textId="77777777" w:rsidR="0089780C" w:rsidRDefault="0089780C"/>
          <w:p w14:paraId="6C3C35F7" w14:textId="77777777" w:rsidR="000530C4" w:rsidRDefault="000530C4" w:rsidP="0089780C">
            <w:pPr>
              <w:jc w:val="center"/>
            </w:pPr>
            <w:r>
              <w:t>Omega Squared</w:t>
            </w:r>
          </w:p>
          <w:p w14:paraId="754943FF" w14:textId="4A8EE702" w:rsidR="0089780C" w:rsidRDefault="00AB3FCC" w:rsidP="0089780C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44" w:type="dxa"/>
          </w:tcPr>
          <w:p w14:paraId="16C27E08" w14:textId="77777777" w:rsidR="000530C4" w:rsidRDefault="000530C4"/>
        </w:tc>
        <w:tc>
          <w:tcPr>
            <w:tcW w:w="3827" w:type="dxa"/>
          </w:tcPr>
          <w:p w14:paraId="3E69BE11" w14:textId="77777777" w:rsidR="000530C4" w:rsidRDefault="000530C4"/>
        </w:tc>
      </w:tr>
    </w:tbl>
    <w:p w14:paraId="5949787B" w14:textId="77777777" w:rsidR="000530C4" w:rsidRDefault="000530C4"/>
    <w:sectPr w:rsidR="000530C4" w:rsidSect="000530C4">
      <w:type w:val="continuous"/>
      <w:pgSz w:w="12240" w:h="15840"/>
      <w:pgMar w:top="1440" w:right="1080" w:bottom="201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C5C998" w14:textId="77777777" w:rsidR="00876551" w:rsidRDefault="00876551" w:rsidP="00EC4F2C">
      <w:r>
        <w:separator/>
      </w:r>
    </w:p>
  </w:endnote>
  <w:endnote w:type="continuationSeparator" w:id="0">
    <w:p w14:paraId="1BF89D42" w14:textId="77777777" w:rsidR="00876551" w:rsidRDefault="00876551" w:rsidP="00EC4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31AB39" w14:textId="77777777" w:rsidR="00876551" w:rsidRDefault="00876551" w:rsidP="00EC4F2C">
      <w:r>
        <w:separator/>
      </w:r>
    </w:p>
  </w:footnote>
  <w:footnote w:type="continuationSeparator" w:id="0">
    <w:p w14:paraId="5A5A38F1" w14:textId="77777777" w:rsidR="00876551" w:rsidRDefault="00876551" w:rsidP="00EC4F2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5B913" w14:textId="75160570" w:rsidR="00EC4F2C" w:rsidRDefault="00EC4F2C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C7B"/>
    <w:rsid w:val="000069BB"/>
    <w:rsid w:val="0002473C"/>
    <w:rsid w:val="000530C4"/>
    <w:rsid w:val="000633A8"/>
    <w:rsid w:val="000A4B68"/>
    <w:rsid w:val="000A5CD3"/>
    <w:rsid w:val="00111D06"/>
    <w:rsid w:val="00123E71"/>
    <w:rsid w:val="00131267"/>
    <w:rsid w:val="00187F24"/>
    <w:rsid w:val="001C6C34"/>
    <w:rsid w:val="001E6654"/>
    <w:rsid w:val="002257C8"/>
    <w:rsid w:val="00233FBD"/>
    <w:rsid w:val="00274A1D"/>
    <w:rsid w:val="00287250"/>
    <w:rsid w:val="002E4177"/>
    <w:rsid w:val="003E05E8"/>
    <w:rsid w:val="00402809"/>
    <w:rsid w:val="004032AB"/>
    <w:rsid w:val="00415DFF"/>
    <w:rsid w:val="00416655"/>
    <w:rsid w:val="00440552"/>
    <w:rsid w:val="004C3ACA"/>
    <w:rsid w:val="004C6C43"/>
    <w:rsid w:val="004F691D"/>
    <w:rsid w:val="00502BDB"/>
    <w:rsid w:val="00517B8D"/>
    <w:rsid w:val="005241A7"/>
    <w:rsid w:val="00556BA3"/>
    <w:rsid w:val="0057221D"/>
    <w:rsid w:val="005D115D"/>
    <w:rsid w:val="005D7CC0"/>
    <w:rsid w:val="005F6938"/>
    <w:rsid w:val="00636BDB"/>
    <w:rsid w:val="006B244C"/>
    <w:rsid w:val="006B5F66"/>
    <w:rsid w:val="006E5E16"/>
    <w:rsid w:val="007164B9"/>
    <w:rsid w:val="00766F16"/>
    <w:rsid w:val="0077080F"/>
    <w:rsid w:val="007B7D7A"/>
    <w:rsid w:val="007C582C"/>
    <w:rsid w:val="0081690F"/>
    <w:rsid w:val="00824F75"/>
    <w:rsid w:val="00876551"/>
    <w:rsid w:val="0089780C"/>
    <w:rsid w:val="008A665B"/>
    <w:rsid w:val="008C29EF"/>
    <w:rsid w:val="008E39D4"/>
    <w:rsid w:val="009162B2"/>
    <w:rsid w:val="00974A1E"/>
    <w:rsid w:val="0098591E"/>
    <w:rsid w:val="00997DD5"/>
    <w:rsid w:val="009E7CE2"/>
    <w:rsid w:val="009F4123"/>
    <w:rsid w:val="009F6D6E"/>
    <w:rsid w:val="00A823CC"/>
    <w:rsid w:val="00A9212A"/>
    <w:rsid w:val="00AA6148"/>
    <w:rsid w:val="00AB3FCC"/>
    <w:rsid w:val="00AB7BC8"/>
    <w:rsid w:val="00AE4408"/>
    <w:rsid w:val="00AF7343"/>
    <w:rsid w:val="00B04BD1"/>
    <w:rsid w:val="00B05A40"/>
    <w:rsid w:val="00B42015"/>
    <w:rsid w:val="00BB4400"/>
    <w:rsid w:val="00BF3072"/>
    <w:rsid w:val="00C07057"/>
    <w:rsid w:val="00C36C1C"/>
    <w:rsid w:val="00C44017"/>
    <w:rsid w:val="00C456DD"/>
    <w:rsid w:val="00C5482A"/>
    <w:rsid w:val="00C9050C"/>
    <w:rsid w:val="00C96207"/>
    <w:rsid w:val="00D76AE3"/>
    <w:rsid w:val="00DC2D8E"/>
    <w:rsid w:val="00DF66F5"/>
    <w:rsid w:val="00E007AB"/>
    <w:rsid w:val="00E10034"/>
    <w:rsid w:val="00E55540"/>
    <w:rsid w:val="00E715A3"/>
    <w:rsid w:val="00E75C7B"/>
    <w:rsid w:val="00EA59ED"/>
    <w:rsid w:val="00EB7C69"/>
    <w:rsid w:val="00EC4F2C"/>
    <w:rsid w:val="00EC50FB"/>
    <w:rsid w:val="00F44CB4"/>
    <w:rsid w:val="00F67099"/>
    <w:rsid w:val="00F9077C"/>
    <w:rsid w:val="00FF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1ED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36BDB"/>
    <w:pPr>
      <w:widowControl w:val="0"/>
      <w:autoSpaceDE w:val="0"/>
      <w:autoSpaceDN w:val="0"/>
      <w:adjustRightInd w:val="0"/>
      <w:spacing w:before="200" w:line="271" w:lineRule="auto"/>
      <w:ind w:left="1985"/>
      <w:outlineLvl w:val="1"/>
    </w:pPr>
    <w:rPr>
      <w:rFonts w:ascii="Calibri" w:eastAsiaTheme="majorEastAsia" w:hAnsi="Calibri" w:cs="Arial"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636BDB"/>
    <w:pPr>
      <w:widowControl w:val="0"/>
      <w:autoSpaceDE w:val="0"/>
      <w:autoSpaceDN w:val="0"/>
      <w:adjustRightInd w:val="0"/>
      <w:spacing w:before="200" w:line="271" w:lineRule="auto"/>
      <w:ind w:left="1985"/>
      <w:outlineLvl w:val="2"/>
    </w:pPr>
    <w:rPr>
      <w:rFonts w:ascii="Franklin Gothic Book" w:eastAsiaTheme="majorEastAsia" w:hAnsi="Franklin Gothic Book" w:cs="Arial"/>
      <w:bCs/>
      <w:color w:val="CC0000"/>
      <w:spacing w:val="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6BDB"/>
    <w:rPr>
      <w:rFonts w:ascii="Calibri" w:eastAsiaTheme="majorEastAsia" w:hAnsi="Calibri" w:cs="Arial"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36BDB"/>
    <w:rPr>
      <w:rFonts w:ascii="Franklin Gothic Book" w:eastAsiaTheme="majorEastAsia" w:hAnsi="Franklin Gothic Book" w:cs="Arial"/>
      <w:bCs/>
      <w:color w:val="CC0000"/>
      <w:spacing w:val="5"/>
      <w:sz w:val="26"/>
      <w:szCs w:val="26"/>
    </w:rPr>
  </w:style>
  <w:style w:type="paragraph" w:customStyle="1" w:styleId="p1">
    <w:name w:val="p1"/>
    <w:basedOn w:val="Normal"/>
    <w:rsid w:val="00502BDB"/>
    <w:rPr>
      <w:rFonts w:ascii="Helvetica" w:hAnsi="Helvetica" w:cs="Times New Roman"/>
      <w:sz w:val="15"/>
      <w:szCs w:val="15"/>
      <w:lang w:val="en-US"/>
    </w:rPr>
  </w:style>
  <w:style w:type="character" w:customStyle="1" w:styleId="apple-converted-space">
    <w:name w:val="apple-converted-space"/>
    <w:basedOn w:val="DefaultParagraphFont"/>
    <w:rsid w:val="00502BDB"/>
  </w:style>
  <w:style w:type="table" w:styleId="TableGrid">
    <w:name w:val="Table Grid"/>
    <w:basedOn w:val="TableNormal"/>
    <w:uiPriority w:val="39"/>
    <w:rsid w:val="004405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8591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C4F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4F2C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EC4F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4F2C"/>
    <w:rPr>
      <w:lang w:val="en-CA"/>
    </w:rPr>
  </w:style>
  <w:style w:type="paragraph" w:styleId="ListParagraph">
    <w:name w:val="List Paragraph"/>
    <w:basedOn w:val="Normal"/>
    <w:uiPriority w:val="34"/>
    <w:qFormat/>
    <w:rsid w:val="00997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1.xm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daniellewhittier/Google%20Drive/01%20-%20Graduate%20Studies/04%20-%20Coursework/McCaig%20Stats%20Group/Repeated%20Measures%20ANOVA%20Exampl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Change in Bone Mineral Density During Fracture Healing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3100237470316"/>
          <c:y val="0.121085184278839"/>
          <c:w val="0.847810273715785"/>
          <c:h val="0.686718056495223"/>
        </c:manualLayout>
      </c:layout>
      <c:lineChart>
        <c:grouping val="standar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DRF_001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Sheet1!$B$2:$E$2</c:f>
              <c:strCache>
                <c:ptCount val="4"/>
                <c:pt idx="0">
                  <c:v>Baseline</c:v>
                </c:pt>
                <c:pt idx="1">
                  <c:v>2 Weeks</c:v>
                </c:pt>
                <c:pt idx="2">
                  <c:v>4 Weeks</c:v>
                </c:pt>
                <c:pt idx="3">
                  <c:v>6 Weeks</c:v>
                </c:pt>
              </c:strCache>
            </c:strRef>
          </c:cat>
          <c:val>
            <c:numRef>
              <c:f>Sheet1!$B$3:$E$3</c:f>
              <c:numCache>
                <c:formatCode>0</c:formatCode>
                <c:ptCount val="4"/>
                <c:pt idx="0">
                  <c:v>196.8311</c:v>
                </c:pt>
                <c:pt idx="1">
                  <c:v>195.2243181818182</c:v>
                </c:pt>
                <c:pt idx="2">
                  <c:v>224.9208510638298</c:v>
                </c:pt>
                <c:pt idx="3">
                  <c:v>201.2959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Sheet1!$A$4</c:f>
              <c:strCache>
                <c:ptCount val="1"/>
                <c:pt idx="0">
                  <c:v>DRF_003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Sheet1!$B$2:$E$2</c:f>
              <c:strCache>
                <c:ptCount val="4"/>
                <c:pt idx="0">
                  <c:v>Baseline</c:v>
                </c:pt>
                <c:pt idx="1">
                  <c:v>2 Weeks</c:v>
                </c:pt>
                <c:pt idx="2">
                  <c:v>4 Weeks</c:v>
                </c:pt>
                <c:pt idx="3">
                  <c:v>6 Weeks</c:v>
                </c:pt>
              </c:strCache>
            </c:strRef>
          </c:cat>
          <c:val>
            <c:numRef>
              <c:f>Sheet1!$B$4:$E$4</c:f>
              <c:numCache>
                <c:formatCode>0</c:formatCode>
                <c:ptCount val="4"/>
                <c:pt idx="0">
                  <c:v>248.3791</c:v>
                </c:pt>
                <c:pt idx="1">
                  <c:v>287.0106818181818</c:v>
                </c:pt>
                <c:pt idx="2">
                  <c:v>293.5765957446805</c:v>
                </c:pt>
                <c:pt idx="3">
                  <c:v>276.9943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Sheet1!$A$5</c:f>
              <c:strCache>
                <c:ptCount val="1"/>
                <c:pt idx="0">
                  <c:v>DRF_004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Sheet1!$B$2:$E$2</c:f>
              <c:strCache>
                <c:ptCount val="4"/>
                <c:pt idx="0">
                  <c:v>Baseline</c:v>
                </c:pt>
                <c:pt idx="1">
                  <c:v>2 Weeks</c:v>
                </c:pt>
                <c:pt idx="2">
                  <c:v>4 Weeks</c:v>
                </c:pt>
                <c:pt idx="3">
                  <c:v>6 Weeks</c:v>
                </c:pt>
              </c:strCache>
            </c:strRef>
          </c:cat>
          <c:val>
            <c:numRef>
              <c:f>Sheet1!$B$5:$E$5</c:f>
              <c:numCache>
                <c:formatCode>0</c:formatCode>
                <c:ptCount val="4"/>
                <c:pt idx="0">
                  <c:v>238.6378</c:v>
                </c:pt>
                <c:pt idx="1">
                  <c:v>245.863085106383</c:v>
                </c:pt>
                <c:pt idx="2">
                  <c:v>241.6819</c:v>
                </c:pt>
                <c:pt idx="3">
                  <c:v>221.7933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Sheet1!$A$6</c:f>
              <c:strCache>
                <c:ptCount val="1"/>
                <c:pt idx="0">
                  <c:v>DRF_005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Sheet1!$B$2:$E$2</c:f>
              <c:strCache>
                <c:ptCount val="4"/>
                <c:pt idx="0">
                  <c:v>Baseline</c:v>
                </c:pt>
                <c:pt idx="1">
                  <c:v>2 Weeks</c:v>
                </c:pt>
                <c:pt idx="2">
                  <c:v>4 Weeks</c:v>
                </c:pt>
                <c:pt idx="3">
                  <c:v>6 Weeks</c:v>
                </c:pt>
              </c:strCache>
            </c:strRef>
          </c:cat>
          <c:val>
            <c:numRef>
              <c:f>Sheet1!$B$6:$E$6</c:f>
              <c:numCache>
                <c:formatCode>0</c:formatCode>
                <c:ptCount val="4"/>
                <c:pt idx="0">
                  <c:v>238.4348</c:v>
                </c:pt>
                <c:pt idx="1">
                  <c:v>265.5097872340425</c:v>
                </c:pt>
                <c:pt idx="2">
                  <c:v>278.2478723404255</c:v>
                </c:pt>
                <c:pt idx="3">
                  <c:v>273.3413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Sheet1!$A$7</c:f>
              <c:strCache>
                <c:ptCount val="1"/>
                <c:pt idx="0">
                  <c:v>DRF_006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Sheet1!$B$2:$E$2</c:f>
              <c:strCache>
                <c:ptCount val="4"/>
                <c:pt idx="0">
                  <c:v>Baseline</c:v>
                </c:pt>
                <c:pt idx="1">
                  <c:v>2 Weeks</c:v>
                </c:pt>
                <c:pt idx="2">
                  <c:v>4 Weeks</c:v>
                </c:pt>
                <c:pt idx="3">
                  <c:v>6 Weeks</c:v>
                </c:pt>
              </c:strCache>
            </c:strRef>
          </c:cat>
          <c:val>
            <c:numRef>
              <c:f>Sheet1!$B$7:$E$7</c:f>
              <c:numCache>
                <c:formatCode>0</c:formatCode>
                <c:ptCount val="4"/>
                <c:pt idx="0">
                  <c:v>243.9143</c:v>
                </c:pt>
                <c:pt idx="1">
                  <c:v>279.5431914893617</c:v>
                </c:pt>
                <c:pt idx="2">
                  <c:v>284.5089361702126</c:v>
                </c:pt>
                <c:pt idx="3">
                  <c:v>283.2135106382976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Sheet1!$A$8</c:f>
              <c:strCache>
                <c:ptCount val="1"/>
                <c:pt idx="0">
                  <c:v>Timepoint Averages</c:v>
                </c:pt>
              </c:strCache>
            </c:strRef>
          </c:tx>
          <c:spPr>
            <a:ln w="3810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Sheet1!$B$2:$E$2</c:f>
              <c:strCache>
                <c:ptCount val="4"/>
                <c:pt idx="0">
                  <c:v>Baseline</c:v>
                </c:pt>
                <c:pt idx="1">
                  <c:v>2 Weeks</c:v>
                </c:pt>
                <c:pt idx="2">
                  <c:v>4 Weeks</c:v>
                </c:pt>
                <c:pt idx="3">
                  <c:v>6 Weeks</c:v>
                </c:pt>
              </c:strCache>
            </c:strRef>
          </c:cat>
          <c:val>
            <c:numRef>
              <c:f>Sheet1!$B$8:$E$8</c:f>
              <c:numCache>
                <c:formatCode>0</c:formatCode>
                <c:ptCount val="4"/>
                <c:pt idx="0">
                  <c:v>233.23942</c:v>
                </c:pt>
                <c:pt idx="1">
                  <c:v>254.6302127659575</c:v>
                </c:pt>
                <c:pt idx="2">
                  <c:v>264.5872310638298</c:v>
                </c:pt>
                <c:pt idx="3">
                  <c:v>251.3276621276596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467067392"/>
        <c:axId val="-1467065616"/>
      </c:lineChart>
      <c:catAx>
        <c:axId val="-1467067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67065616"/>
        <c:crosses val="autoZero"/>
        <c:auto val="1"/>
        <c:lblAlgn val="ctr"/>
        <c:lblOffset val="100"/>
        <c:noMultiLvlLbl val="0"/>
      </c:catAx>
      <c:valAx>
        <c:axId val="-1467065616"/>
        <c:scaling>
          <c:orientation val="minMax"/>
          <c:min val="17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Bone Minearl Density [mg HA/cm3]</a:t>
                </a:r>
              </a:p>
            </c:rich>
          </c:tx>
          <c:layout>
            <c:manualLayout>
              <c:xMode val="edge"/>
              <c:yMode val="edge"/>
              <c:x val="0.0179744719410074"/>
              <c:y val="0.19244135213662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67067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l"/>
      <c:layout>
        <c:manualLayout>
          <c:xMode val="edge"/>
          <c:yMode val="edge"/>
          <c:x val="0.0511975826714825"/>
          <c:y val="0.894714334950555"/>
          <c:w val="0.899613173353331"/>
          <c:h val="0.0844107923438272"/>
        </c:manualLayout>
      </c:layout>
      <c:overlay val="0"/>
      <c:spPr>
        <a:solidFill>
          <a:schemeClr val="bg1"/>
        </a:solidFill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100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1">
  <dgm:title val=""/>
  <dgm:desc val=""/>
  <dgm:catLst>
    <dgm:cat type="accent6" pri="11100"/>
  </dgm:catLst>
  <dgm:styleLbl name="node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6">
        <a:alpha val="4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2C4FC50-2E11-024B-903D-BDA981663B0D}" type="doc">
      <dgm:prSet loTypeId="urn:microsoft.com/office/officeart/2005/8/layout/hProcess11" loCatId="" qsTypeId="urn:microsoft.com/office/officeart/2005/8/quickstyle/simple2" qsCatId="simple" csTypeId="urn:microsoft.com/office/officeart/2005/8/colors/accent6_1" csCatId="accent6" phldr="1"/>
      <dgm:spPr/>
      <dgm:t>
        <a:bodyPr/>
        <a:lstStyle/>
        <a:p>
          <a:endParaRPr lang="en-US"/>
        </a:p>
      </dgm:t>
    </dgm:pt>
    <dgm:pt modelId="{C6130EE8-36C7-9A4D-BCEF-9DBBF83EF874}">
      <dgm:prSet phldrT="[Text]" custT="1"/>
      <dgm:spPr/>
      <dgm:t>
        <a:bodyPr/>
        <a:lstStyle/>
        <a:p>
          <a:r>
            <a:rPr lang="en-US" sz="1400" b="1"/>
            <a:t>2 weeks + </a:t>
          </a:r>
        </a:p>
        <a:p>
          <a:r>
            <a:rPr lang="en-US" sz="1400" b="1"/>
            <a:t>non-fractured wrist</a:t>
          </a:r>
        </a:p>
      </dgm:t>
    </dgm:pt>
    <dgm:pt modelId="{A4A1BE9A-1620-6549-B84E-D0FA5D6DF82C}" type="parTrans" cxnId="{1CA3AC13-BF06-704F-BBA0-1DCD829466FD}">
      <dgm:prSet/>
      <dgm:spPr/>
      <dgm:t>
        <a:bodyPr/>
        <a:lstStyle/>
        <a:p>
          <a:endParaRPr lang="en-US" sz="2400" b="1"/>
        </a:p>
      </dgm:t>
    </dgm:pt>
    <dgm:pt modelId="{E29F4A89-7DE3-C442-AD83-D2388348EF63}" type="sibTrans" cxnId="{1CA3AC13-BF06-704F-BBA0-1DCD829466FD}">
      <dgm:prSet/>
      <dgm:spPr/>
      <dgm:t>
        <a:bodyPr/>
        <a:lstStyle/>
        <a:p>
          <a:endParaRPr lang="en-US" sz="2400" b="1"/>
        </a:p>
      </dgm:t>
    </dgm:pt>
    <dgm:pt modelId="{76ABA45A-7DE0-FA4F-BF6D-B1F94559D909}">
      <dgm:prSet phldrT="[Text]" custT="1"/>
      <dgm:spPr/>
      <dgm:t>
        <a:bodyPr/>
        <a:lstStyle/>
        <a:p>
          <a:r>
            <a:rPr lang="en-US" sz="1400" b="1"/>
            <a:t>4 weeks</a:t>
          </a:r>
        </a:p>
      </dgm:t>
    </dgm:pt>
    <dgm:pt modelId="{6B09FA86-44F2-5242-8E77-07FC1003B1E7}" type="parTrans" cxnId="{B3B08745-64C7-D649-9BA1-57E82E33407F}">
      <dgm:prSet/>
      <dgm:spPr/>
      <dgm:t>
        <a:bodyPr/>
        <a:lstStyle/>
        <a:p>
          <a:endParaRPr lang="en-US" sz="2400" b="1"/>
        </a:p>
      </dgm:t>
    </dgm:pt>
    <dgm:pt modelId="{93249338-C5C4-464E-8F61-C734BFA28601}" type="sibTrans" cxnId="{B3B08745-64C7-D649-9BA1-57E82E33407F}">
      <dgm:prSet/>
      <dgm:spPr/>
      <dgm:t>
        <a:bodyPr/>
        <a:lstStyle/>
        <a:p>
          <a:endParaRPr lang="en-US" sz="2400" b="1"/>
        </a:p>
      </dgm:t>
    </dgm:pt>
    <dgm:pt modelId="{8EC9A727-299E-C441-98CD-83EF1170AB0A}">
      <dgm:prSet custT="1"/>
      <dgm:spPr/>
      <dgm:t>
        <a:bodyPr/>
        <a:lstStyle/>
        <a:p>
          <a:r>
            <a:rPr lang="en-US" sz="1400" b="1"/>
            <a:t>6 weeks</a:t>
          </a:r>
        </a:p>
      </dgm:t>
    </dgm:pt>
    <dgm:pt modelId="{748B3336-0D2C-0D40-BEC2-79489E3AED0D}" type="parTrans" cxnId="{02D43F74-1DB7-9748-BA36-7840A51DEC69}">
      <dgm:prSet/>
      <dgm:spPr/>
      <dgm:t>
        <a:bodyPr/>
        <a:lstStyle/>
        <a:p>
          <a:endParaRPr lang="en-US" sz="2400" b="1"/>
        </a:p>
      </dgm:t>
    </dgm:pt>
    <dgm:pt modelId="{718386B0-88AF-4547-878A-D97182B4B372}" type="sibTrans" cxnId="{02D43F74-1DB7-9748-BA36-7840A51DEC69}">
      <dgm:prSet/>
      <dgm:spPr/>
      <dgm:t>
        <a:bodyPr/>
        <a:lstStyle/>
        <a:p>
          <a:endParaRPr lang="en-US" sz="2400" b="1"/>
        </a:p>
      </dgm:t>
    </dgm:pt>
    <dgm:pt modelId="{215DB9DD-53B9-C34F-8B8D-C0D12C22557F}">
      <dgm:prSet custT="1"/>
      <dgm:spPr/>
      <dgm:t>
        <a:bodyPr/>
        <a:lstStyle/>
        <a:p>
          <a:r>
            <a:rPr lang="en-US" sz="1400" b="1"/>
            <a:t>8 weeks</a:t>
          </a:r>
        </a:p>
      </dgm:t>
    </dgm:pt>
    <dgm:pt modelId="{3093B7EA-7742-3A4E-AAF0-66C2A349AEA6}" type="parTrans" cxnId="{CB235E85-DD7D-5445-94AB-4F25D0509500}">
      <dgm:prSet/>
      <dgm:spPr/>
      <dgm:t>
        <a:bodyPr/>
        <a:lstStyle/>
        <a:p>
          <a:endParaRPr lang="en-US" sz="2400" b="1"/>
        </a:p>
      </dgm:t>
    </dgm:pt>
    <dgm:pt modelId="{FF2002EE-6C1B-4048-B6BF-2788B2F508BA}" type="sibTrans" cxnId="{CB235E85-DD7D-5445-94AB-4F25D0509500}">
      <dgm:prSet/>
      <dgm:spPr/>
      <dgm:t>
        <a:bodyPr/>
        <a:lstStyle/>
        <a:p>
          <a:endParaRPr lang="en-US" sz="2400" b="1"/>
        </a:p>
      </dgm:t>
    </dgm:pt>
    <dgm:pt modelId="{EC0CE7D6-5322-4C44-834F-6FC54E548446}" type="pres">
      <dgm:prSet presAssocID="{22C4FC50-2E11-024B-903D-BDA981663B0D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B0B833E4-1702-8B46-BE3D-15A27F389092}" type="pres">
      <dgm:prSet presAssocID="{22C4FC50-2E11-024B-903D-BDA981663B0D}" presName="arrow" presStyleLbl="bgShp" presStyleIdx="0" presStyleCnt="1"/>
      <dgm:spPr/>
    </dgm:pt>
    <dgm:pt modelId="{820F5717-EC35-034D-84E2-1DD31F7044C5}" type="pres">
      <dgm:prSet presAssocID="{22C4FC50-2E11-024B-903D-BDA981663B0D}" presName="points" presStyleCnt="0"/>
      <dgm:spPr/>
    </dgm:pt>
    <dgm:pt modelId="{908BE916-7D69-3347-B445-BC08EBF796B4}" type="pres">
      <dgm:prSet presAssocID="{C6130EE8-36C7-9A4D-BCEF-9DBBF83EF874}" presName="compositeA" presStyleCnt="0"/>
      <dgm:spPr/>
    </dgm:pt>
    <dgm:pt modelId="{C3C23DE4-E1D7-914E-865C-EABA7D4857AA}" type="pres">
      <dgm:prSet presAssocID="{C6130EE8-36C7-9A4D-BCEF-9DBBF83EF874}" presName="textA" presStyleLbl="revTx" presStyleIdx="0" presStyleCnt="4" custScaleX="16439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3B9CC30-9F24-EC4E-9414-D25EA6385746}" type="pres">
      <dgm:prSet presAssocID="{C6130EE8-36C7-9A4D-BCEF-9DBBF83EF874}" presName="circleA" presStyleLbl="node1" presStyleIdx="0" presStyleCnt="4"/>
      <dgm:spPr/>
    </dgm:pt>
    <dgm:pt modelId="{E646E6F0-715B-B240-8135-0E26BB9875E4}" type="pres">
      <dgm:prSet presAssocID="{C6130EE8-36C7-9A4D-BCEF-9DBBF83EF874}" presName="spaceA" presStyleCnt="0"/>
      <dgm:spPr/>
    </dgm:pt>
    <dgm:pt modelId="{88504E73-F104-5C4A-B83D-E0DE7FABA3EA}" type="pres">
      <dgm:prSet presAssocID="{E29F4A89-7DE3-C442-AD83-D2388348EF63}" presName="space" presStyleCnt="0"/>
      <dgm:spPr/>
    </dgm:pt>
    <dgm:pt modelId="{D254EA7D-38F6-6A41-B35B-D78925456A5C}" type="pres">
      <dgm:prSet presAssocID="{76ABA45A-7DE0-FA4F-BF6D-B1F94559D909}" presName="compositeB" presStyleCnt="0"/>
      <dgm:spPr/>
    </dgm:pt>
    <dgm:pt modelId="{D5E1E5DF-C4D7-5646-8816-A1E6342015FE}" type="pres">
      <dgm:prSet presAssocID="{76ABA45A-7DE0-FA4F-BF6D-B1F94559D909}" presName="textB" presStyleLbl="revTx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ABAC5FD-EC79-9743-BD04-F458E43AC888}" type="pres">
      <dgm:prSet presAssocID="{76ABA45A-7DE0-FA4F-BF6D-B1F94559D909}" presName="circleB" presStyleLbl="node1" presStyleIdx="1" presStyleCnt="4"/>
      <dgm:spPr/>
    </dgm:pt>
    <dgm:pt modelId="{D3E8A742-8D62-E844-A3C2-8446F44745F1}" type="pres">
      <dgm:prSet presAssocID="{76ABA45A-7DE0-FA4F-BF6D-B1F94559D909}" presName="spaceB" presStyleCnt="0"/>
      <dgm:spPr/>
    </dgm:pt>
    <dgm:pt modelId="{3A6CB230-69D3-B748-A22D-1659A56C3338}" type="pres">
      <dgm:prSet presAssocID="{93249338-C5C4-464E-8F61-C734BFA28601}" presName="space" presStyleCnt="0"/>
      <dgm:spPr/>
    </dgm:pt>
    <dgm:pt modelId="{8D5019B1-0E78-BC4C-B4FD-3C6F168B7C27}" type="pres">
      <dgm:prSet presAssocID="{8EC9A727-299E-C441-98CD-83EF1170AB0A}" presName="compositeA" presStyleCnt="0"/>
      <dgm:spPr/>
    </dgm:pt>
    <dgm:pt modelId="{6F1E2246-61E9-C543-95F7-4DF81128A02F}" type="pres">
      <dgm:prSet presAssocID="{8EC9A727-299E-C441-98CD-83EF1170AB0A}" presName="textA" presStyleLbl="revTx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72A0907-CECF-1F45-BBF1-D44DC4ED68E0}" type="pres">
      <dgm:prSet presAssocID="{8EC9A727-299E-C441-98CD-83EF1170AB0A}" presName="circleA" presStyleLbl="node1" presStyleIdx="2" presStyleCnt="4"/>
      <dgm:spPr/>
    </dgm:pt>
    <dgm:pt modelId="{C14FD000-5B47-B94D-8FFC-C3131CAC4642}" type="pres">
      <dgm:prSet presAssocID="{8EC9A727-299E-C441-98CD-83EF1170AB0A}" presName="spaceA" presStyleCnt="0"/>
      <dgm:spPr/>
    </dgm:pt>
    <dgm:pt modelId="{A60DD873-77FB-134B-BD57-EB5E582204C2}" type="pres">
      <dgm:prSet presAssocID="{718386B0-88AF-4547-878A-D97182B4B372}" presName="space" presStyleCnt="0"/>
      <dgm:spPr/>
    </dgm:pt>
    <dgm:pt modelId="{3510264D-2356-F243-80B4-814896C74382}" type="pres">
      <dgm:prSet presAssocID="{215DB9DD-53B9-C34F-8B8D-C0D12C22557F}" presName="compositeB" presStyleCnt="0"/>
      <dgm:spPr/>
    </dgm:pt>
    <dgm:pt modelId="{9D6EDA95-49C7-E444-95E5-057812A20611}" type="pres">
      <dgm:prSet presAssocID="{215DB9DD-53B9-C34F-8B8D-C0D12C22557F}" presName="textB" presStyleLbl="revTx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5D8CBC2-9A71-3D4C-B503-5E5E5A9949F1}" type="pres">
      <dgm:prSet presAssocID="{215DB9DD-53B9-C34F-8B8D-C0D12C22557F}" presName="circleB" presStyleLbl="node1" presStyleIdx="3" presStyleCnt="4"/>
      <dgm:spPr/>
    </dgm:pt>
    <dgm:pt modelId="{40BF02DD-92CB-5F46-BD3A-F26F1DE74F65}" type="pres">
      <dgm:prSet presAssocID="{215DB9DD-53B9-C34F-8B8D-C0D12C22557F}" presName="spaceB" presStyleCnt="0"/>
      <dgm:spPr/>
    </dgm:pt>
  </dgm:ptLst>
  <dgm:cxnLst>
    <dgm:cxn modelId="{2147D8A4-42B8-B743-8D8D-E4EA638038B8}" type="presOf" srcId="{8EC9A727-299E-C441-98CD-83EF1170AB0A}" destId="{6F1E2246-61E9-C543-95F7-4DF81128A02F}" srcOrd="0" destOrd="0" presId="urn:microsoft.com/office/officeart/2005/8/layout/hProcess11"/>
    <dgm:cxn modelId="{1CA3AC13-BF06-704F-BBA0-1DCD829466FD}" srcId="{22C4FC50-2E11-024B-903D-BDA981663B0D}" destId="{C6130EE8-36C7-9A4D-BCEF-9DBBF83EF874}" srcOrd="0" destOrd="0" parTransId="{A4A1BE9A-1620-6549-B84E-D0FA5D6DF82C}" sibTransId="{E29F4A89-7DE3-C442-AD83-D2388348EF63}"/>
    <dgm:cxn modelId="{ADA0A85D-7A08-6E4E-AE2C-9D81A1027B6F}" type="presOf" srcId="{22C4FC50-2E11-024B-903D-BDA981663B0D}" destId="{EC0CE7D6-5322-4C44-834F-6FC54E548446}" srcOrd="0" destOrd="0" presId="urn:microsoft.com/office/officeart/2005/8/layout/hProcess11"/>
    <dgm:cxn modelId="{B3B08745-64C7-D649-9BA1-57E82E33407F}" srcId="{22C4FC50-2E11-024B-903D-BDA981663B0D}" destId="{76ABA45A-7DE0-FA4F-BF6D-B1F94559D909}" srcOrd="1" destOrd="0" parTransId="{6B09FA86-44F2-5242-8E77-07FC1003B1E7}" sibTransId="{93249338-C5C4-464E-8F61-C734BFA28601}"/>
    <dgm:cxn modelId="{683EF06D-E772-1245-9CBA-B7E8CF7796AC}" type="presOf" srcId="{C6130EE8-36C7-9A4D-BCEF-9DBBF83EF874}" destId="{C3C23DE4-E1D7-914E-865C-EABA7D4857AA}" srcOrd="0" destOrd="0" presId="urn:microsoft.com/office/officeart/2005/8/layout/hProcess11"/>
    <dgm:cxn modelId="{13F066B8-94A5-3047-8ACD-A403F85DC1D6}" type="presOf" srcId="{215DB9DD-53B9-C34F-8B8D-C0D12C22557F}" destId="{9D6EDA95-49C7-E444-95E5-057812A20611}" srcOrd="0" destOrd="0" presId="urn:microsoft.com/office/officeart/2005/8/layout/hProcess11"/>
    <dgm:cxn modelId="{D1BA4CA1-92DE-A04A-BE62-CD148926EFE6}" type="presOf" srcId="{76ABA45A-7DE0-FA4F-BF6D-B1F94559D909}" destId="{D5E1E5DF-C4D7-5646-8816-A1E6342015FE}" srcOrd="0" destOrd="0" presId="urn:microsoft.com/office/officeart/2005/8/layout/hProcess11"/>
    <dgm:cxn modelId="{CB235E85-DD7D-5445-94AB-4F25D0509500}" srcId="{22C4FC50-2E11-024B-903D-BDA981663B0D}" destId="{215DB9DD-53B9-C34F-8B8D-C0D12C22557F}" srcOrd="3" destOrd="0" parTransId="{3093B7EA-7742-3A4E-AAF0-66C2A349AEA6}" sibTransId="{FF2002EE-6C1B-4048-B6BF-2788B2F508BA}"/>
    <dgm:cxn modelId="{02D43F74-1DB7-9748-BA36-7840A51DEC69}" srcId="{22C4FC50-2E11-024B-903D-BDA981663B0D}" destId="{8EC9A727-299E-C441-98CD-83EF1170AB0A}" srcOrd="2" destOrd="0" parTransId="{748B3336-0D2C-0D40-BEC2-79489E3AED0D}" sibTransId="{718386B0-88AF-4547-878A-D97182B4B372}"/>
    <dgm:cxn modelId="{6A658614-072E-0A41-A84B-700A3BDB6CC9}" type="presParOf" srcId="{EC0CE7D6-5322-4C44-834F-6FC54E548446}" destId="{B0B833E4-1702-8B46-BE3D-15A27F389092}" srcOrd="0" destOrd="0" presId="urn:microsoft.com/office/officeart/2005/8/layout/hProcess11"/>
    <dgm:cxn modelId="{C494FB6A-678E-9B4B-905E-1F0D7AEF3D2D}" type="presParOf" srcId="{EC0CE7D6-5322-4C44-834F-6FC54E548446}" destId="{820F5717-EC35-034D-84E2-1DD31F7044C5}" srcOrd="1" destOrd="0" presId="urn:microsoft.com/office/officeart/2005/8/layout/hProcess11"/>
    <dgm:cxn modelId="{1DEFBB0C-D4C8-4A4B-8487-87F5DD26AC4B}" type="presParOf" srcId="{820F5717-EC35-034D-84E2-1DD31F7044C5}" destId="{908BE916-7D69-3347-B445-BC08EBF796B4}" srcOrd="0" destOrd="0" presId="urn:microsoft.com/office/officeart/2005/8/layout/hProcess11"/>
    <dgm:cxn modelId="{E9776125-A876-0044-A66B-016415C40618}" type="presParOf" srcId="{908BE916-7D69-3347-B445-BC08EBF796B4}" destId="{C3C23DE4-E1D7-914E-865C-EABA7D4857AA}" srcOrd="0" destOrd="0" presId="urn:microsoft.com/office/officeart/2005/8/layout/hProcess11"/>
    <dgm:cxn modelId="{F6D3B10A-8621-274D-B82D-F9BD2EBBB73A}" type="presParOf" srcId="{908BE916-7D69-3347-B445-BC08EBF796B4}" destId="{53B9CC30-9F24-EC4E-9414-D25EA6385746}" srcOrd="1" destOrd="0" presId="urn:microsoft.com/office/officeart/2005/8/layout/hProcess11"/>
    <dgm:cxn modelId="{B137AC7D-D4FA-3541-AF8F-061FEE1E5F5D}" type="presParOf" srcId="{908BE916-7D69-3347-B445-BC08EBF796B4}" destId="{E646E6F0-715B-B240-8135-0E26BB9875E4}" srcOrd="2" destOrd="0" presId="urn:microsoft.com/office/officeart/2005/8/layout/hProcess11"/>
    <dgm:cxn modelId="{27419549-1114-BC4D-AF0A-BC5FAC2E2FF0}" type="presParOf" srcId="{820F5717-EC35-034D-84E2-1DD31F7044C5}" destId="{88504E73-F104-5C4A-B83D-E0DE7FABA3EA}" srcOrd="1" destOrd="0" presId="urn:microsoft.com/office/officeart/2005/8/layout/hProcess11"/>
    <dgm:cxn modelId="{3E7648AA-E842-794D-8D8E-AC8691CF2489}" type="presParOf" srcId="{820F5717-EC35-034D-84E2-1DD31F7044C5}" destId="{D254EA7D-38F6-6A41-B35B-D78925456A5C}" srcOrd="2" destOrd="0" presId="urn:microsoft.com/office/officeart/2005/8/layout/hProcess11"/>
    <dgm:cxn modelId="{10E933D2-4692-1940-AA33-F2773F88FCC0}" type="presParOf" srcId="{D254EA7D-38F6-6A41-B35B-D78925456A5C}" destId="{D5E1E5DF-C4D7-5646-8816-A1E6342015FE}" srcOrd="0" destOrd="0" presId="urn:microsoft.com/office/officeart/2005/8/layout/hProcess11"/>
    <dgm:cxn modelId="{1F05C027-6480-6748-B1D6-443A43141466}" type="presParOf" srcId="{D254EA7D-38F6-6A41-B35B-D78925456A5C}" destId="{FABAC5FD-EC79-9743-BD04-F458E43AC888}" srcOrd="1" destOrd="0" presId="urn:microsoft.com/office/officeart/2005/8/layout/hProcess11"/>
    <dgm:cxn modelId="{C0579FD0-6E2E-554E-BDA9-CF1DC481DFF8}" type="presParOf" srcId="{D254EA7D-38F6-6A41-B35B-D78925456A5C}" destId="{D3E8A742-8D62-E844-A3C2-8446F44745F1}" srcOrd="2" destOrd="0" presId="urn:microsoft.com/office/officeart/2005/8/layout/hProcess11"/>
    <dgm:cxn modelId="{FD21B16C-C82B-FF44-9311-33D895679A78}" type="presParOf" srcId="{820F5717-EC35-034D-84E2-1DD31F7044C5}" destId="{3A6CB230-69D3-B748-A22D-1659A56C3338}" srcOrd="3" destOrd="0" presId="urn:microsoft.com/office/officeart/2005/8/layout/hProcess11"/>
    <dgm:cxn modelId="{8351D8A5-5D34-2749-A90A-91591AFE649E}" type="presParOf" srcId="{820F5717-EC35-034D-84E2-1DD31F7044C5}" destId="{8D5019B1-0E78-BC4C-B4FD-3C6F168B7C27}" srcOrd="4" destOrd="0" presId="urn:microsoft.com/office/officeart/2005/8/layout/hProcess11"/>
    <dgm:cxn modelId="{3DC36149-D0F1-474D-B8D7-E3C1FF7C42FC}" type="presParOf" srcId="{8D5019B1-0E78-BC4C-B4FD-3C6F168B7C27}" destId="{6F1E2246-61E9-C543-95F7-4DF81128A02F}" srcOrd="0" destOrd="0" presId="urn:microsoft.com/office/officeart/2005/8/layout/hProcess11"/>
    <dgm:cxn modelId="{C4958B55-2A10-F046-BCD6-C72550124A5E}" type="presParOf" srcId="{8D5019B1-0E78-BC4C-B4FD-3C6F168B7C27}" destId="{A72A0907-CECF-1F45-BBF1-D44DC4ED68E0}" srcOrd="1" destOrd="0" presId="urn:microsoft.com/office/officeart/2005/8/layout/hProcess11"/>
    <dgm:cxn modelId="{7E6ABE51-D8F4-C042-8C15-7F0D0FCB1695}" type="presParOf" srcId="{8D5019B1-0E78-BC4C-B4FD-3C6F168B7C27}" destId="{C14FD000-5B47-B94D-8FFC-C3131CAC4642}" srcOrd="2" destOrd="0" presId="urn:microsoft.com/office/officeart/2005/8/layout/hProcess11"/>
    <dgm:cxn modelId="{B7CD0D83-85B8-764C-BE19-E1CAE58FA9DB}" type="presParOf" srcId="{820F5717-EC35-034D-84E2-1DD31F7044C5}" destId="{A60DD873-77FB-134B-BD57-EB5E582204C2}" srcOrd="5" destOrd="0" presId="urn:microsoft.com/office/officeart/2005/8/layout/hProcess11"/>
    <dgm:cxn modelId="{C5102DE7-AE43-794C-AF92-782844D6149F}" type="presParOf" srcId="{820F5717-EC35-034D-84E2-1DD31F7044C5}" destId="{3510264D-2356-F243-80B4-814896C74382}" srcOrd="6" destOrd="0" presId="urn:microsoft.com/office/officeart/2005/8/layout/hProcess11"/>
    <dgm:cxn modelId="{071A5C50-68D4-E74A-AABB-FE059D0491A0}" type="presParOf" srcId="{3510264D-2356-F243-80B4-814896C74382}" destId="{9D6EDA95-49C7-E444-95E5-057812A20611}" srcOrd="0" destOrd="0" presId="urn:microsoft.com/office/officeart/2005/8/layout/hProcess11"/>
    <dgm:cxn modelId="{7CD5BAB0-E3AA-044E-86AE-F36C27586068}" type="presParOf" srcId="{3510264D-2356-F243-80B4-814896C74382}" destId="{85D8CBC2-9A71-3D4C-B503-5E5E5A9949F1}" srcOrd="1" destOrd="0" presId="urn:microsoft.com/office/officeart/2005/8/layout/hProcess11"/>
    <dgm:cxn modelId="{61A054F5-FE0A-1544-AEC9-B8716D59D679}" type="presParOf" srcId="{3510264D-2356-F243-80B4-814896C74382}" destId="{40BF02DD-92CB-5F46-BD3A-F26F1DE74F65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B833E4-1702-8B46-BE3D-15A27F389092}">
      <dsp:nvSpPr>
        <dsp:cNvPr id="0" name=""/>
        <dsp:cNvSpPr/>
      </dsp:nvSpPr>
      <dsp:spPr>
        <a:xfrm>
          <a:off x="0" y="336041"/>
          <a:ext cx="6134735" cy="448056"/>
        </a:xfrm>
        <a:prstGeom prst="notchedRightArrow">
          <a:avLst/>
        </a:prstGeom>
        <a:solidFill>
          <a:schemeClr val="accent6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3C23DE4-E1D7-914E-865C-EABA7D4857AA}">
      <dsp:nvSpPr>
        <dsp:cNvPr id="0" name=""/>
        <dsp:cNvSpPr/>
      </dsp:nvSpPr>
      <dsp:spPr>
        <a:xfrm>
          <a:off x="1325" y="0"/>
          <a:ext cx="1892451" cy="44805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b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/>
            <a:t>2 weeks + 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/>
            <a:t>non-fractured wrist</a:t>
          </a:r>
        </a:p>
      </dsp:txBody>
      <dsp:txXfrm>
        <a:off x="1325" y="0"/>
        <a:ext cx="1892451" cy="448056"/>
      </dsp:txXfrm>
    </dsp:sp>
    <dsp:sp modelId="{53B9CC30-9F24-EC4E-9414-D25EA6385746}">
      <dsp:nvSpPr>
        <dsp:cNvPr id="0" name=""/>
        <dsp:cNvSpPr/>
      </dsp:nvSpPr>
      <dsp:spPr>
        <a:xfrm>
          <a:off x="891544" y="504063"/>
          <a:ext cx="112014" cy="11201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D5E1E5DF-C4D7-5646-8816-A1E6342015FE}">
      <dsp:nvSpPr>
        <dsp:cNvPr id="0" name=""/>
        <dsp:cNvSpPr/>
      </dsp:nvSpPr>
      <dsp:spPr>
        <a:xfrm>
          <a:off x="1951335" y="672083"/>
          <a:ext cx="1151161" cy="44805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/>
            <a:t>4 weeks</a:t>
          </a:r>
        </a:p>
      </dsp:txBody>
      <dsp:txXfrm>
        <a:off x="1951335" y="672083"/>
        <a:ext cx="1151161" cy="448056"/>
      </dsp:txXfrm>
    </dsp:sp>
    <dsp:sp modelId="{FABAC5FD-EC79-9743-BD04-F458E43AC888}">
      <dsp:nvSpPr>
        <dsp:cNvPr id="0" name=""/>
        <dsp:cNvSpPr/>
      </dsp:nvSpPr>
      <dsp:spPr>
        <a:xfrm>
          <a:off x="2470909" y="504063"/>
          <a:ext cx="112014" cy="11201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6F1E2246-61E9-C543-95F7-4DF81128A02F}">
      <dsp:nvSpPr>
        <dsp:cNvPr id="0" name=""/>
        <dsp:cNvSpPr/>
      </dsp:nvSpPr>
      <dsp:spPr>
        <a:xfrm>
          <a:off x="3160054" y="0"/>
          <a:ext cx="1151161" cy="44805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b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/>
            <a:t>6 weeks</a:t>
          </a:r>
        </a:p>
      </dsp:txBody>
      <dsp:txXfrm>
        <a:off x="3160054" y="0"/>
        <a:ext cx="1151161" cy="448056"/>
      </dsp:txXfrm>
    </dsp:sp>
    <dsp:sp modelId="{A72A0907-CECF-1F45-BBF1-D44DC4ED68E0}">
      <dsp:nvSpPr>
        <dsp:cNvPr id="0" name=""/>
        <dsp:cNvSpPr/>
      </dsp:nvSpPr>
      <dsp:spPr>
        <a:xfrm>
          <a:off x="3679628" y="504063"/>
          <a:ext cx="112014" cy="11201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9D6EDA95-49C7-E444-95E5-057812A20611}">
      <dsp:nvSpPr>
        <dsp:cNvPr id="0" name=""/>
        <dsp:cNvSpPr/>
      </dsp:nvSpPr>
      <dsp:spPr>
        <a:xfrm>
          <a:off x="4368774" y="672083"/>
          <a:ext cx="1151161" cy="44805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/>
            <a:t>8 weeks</a:t>
          </a:r>
        </a:p>
      </dsp:txBody>
      <dsp:txXfrm>
        <a:off x="4368774" y="672083"/>
        <a:ext cx="1151161" cy="448056"/>
      </dsp:txXfrm>
    </dsp:sp>
    <dsp:sp modelId="{85D8CBC2-9A71-3D4C-B503-5E5E5A9949F1}">
      <dsp:nvSpPr>
        <dsp:cNvPr id="0" name=""/>
        <dsp:cNvSpPr/>
      </dsp:nvSpPr>
      <dsp:spPr>
        <a:xfrm>
          <a:off x="4888348" y="504063"/>
          <a:ext cx="112014" cy="11201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284</Words>
  <Characters>1621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Whittier</dc:creator>
  <cp:keywords/>
  <dc:description/>
  <cp:lastModifiedBy>Danielle Whittier</cp:lastModifiedBy>
  <cp:revision>9</cp:revision>
  <cp:lastPrinted>2018-02-15T16:55:00Z</cp:lastPrinted>
  <dcterms:created xsi:type="dcterms:W3CDTF">2018-02-15T03:08:00Z</dcterms:created>
  <dcterms:modified xsi:type="dcterms:W3CDTF">2018-02-15T17:21:00Z</dcterms:modified>
</cp:coreProperties>
</file>