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Arial" w:cs="Arial" w:eastAsia="Arial" w:hAnsi="Arial"/>
          <w:b/>
          <w:bCs/>
          <w:color w:val="1C3A5E"/>
          <w:sz w:val="56"/>
          <w:szCs w:val="56"/>
        </w:rPr>
        <w:t xml:space="preserve">Polyurethane Finishes for Wood:</w:t>
      </w:r>
    </w:p>
    <w:p>
      <w:pPr>
        <w:spacing w:after="60"/>
      </w:pPr>
      <w:r>
        <w:rPr>
          <w:rFonts w:ascii="Arial" w:cs="Arial" w:eastAsia="Arial" w:hAnsi="Arial"/>
          <w:color w:val="666666"/>
          <w:sz w:val="26"/>
          <w:szCs w:val="26"/>
        </w:rPr>
        <w:t xml:space="preserve">A Comprehensive Guide for Cabinetmakers, Furniture Builders, and Finishing Professionals</w:t>
      </w:r>
    </w:p>
    <w:p>
      <w:pPr>
        <w:pBdr>
          <w:bottom w:val="single" w:color="1C3A5E" w:sz="14" w:space="10"/>
        </w:pBdr>
        <w:spacing w:after="400"/>
      </w:pPr>
      <w:r>
        <w:rPr>
          <w:rFonts w:ascii="Arial" w:cs="Arial" w:eastAsia="Arial" w:hAnsi="Arial"/>
          <w:color w:val="666666"/>
          <w:sz w:val="21"/>
          <w:szCs w:val="21"/>
        </w:rPr>
        <w:t xml:space="preserve">Covering consumer brush-on products through professional 1K and 2K waterborne systems</w:t>
      </w:r>
    </w:p>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How to Use This Guide</w:t>
      </w:r>
    </w:p>
    <w:p>
      <w:pPr>
        <w:spacing w:after="160"/>
        <w:jc w:val="both"/>
      </w:pPr>
      <w:r>
        <w:rPr>
          <w:rFonts w:ascii="Arial" w:cs="Arial" w:eastAsia="Arial" w:hAnsi="Arial"/>
          <w:color w:val="1A1A1A"/>
          <w:sz w:val="22"/>
          <w:szCs w:val="22"/>
        </w:rPr>
        <w:t xml:space="preserve">This guide addresses the full spectrum of polyurethane finishing products — from readily available consumer formulations to professional-grade European coating systems — with equal attention to performance characteristics, application methodology, and occupational safety. It is written for woodworkers and finishing professionals at every experience level.</w:t>
      </w:r>
    </w:p>
    <w:p>
      <w:pPr>
        <w:spacing w:after="160"/>
        <w:jc w:val="both"/>
      </w:pPr>
      <w:r>
        <w:rPr>
          <w:rFonts w:ascii="Arial" w:cs="Arial" w:eastAsia="Arial" w:hAnsi="Arial"/>
          <w:color w:val="1A1A1A"/>
          <w:sz w:val="22"/>
          <w:szCs w:val="22"/>
        </w:rPr>
        <w:t xml:space="preserve">Locate your starting point below and navigate accordingly: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A5E" w:sz="1"/>
              <w:left w:val="single" w:color="1C3A5E" w:sz="1"/>
              <w:bottom w:val="single" w:color="1C3A5E" w:sz="1"/>
              <w:right w:val="single" w:color="1C3A5E" w:sz="1"/>
            </w:tcBorders>
            <w:shd w:fill="EAF0F8" w:val="clear"/>
            <w:tcMar>
              <w:top w:type="dxa" w:w="180"/>
              <w:left w:type="dxa" w:w="240"/>
              <w:bottom w:type="dxa" w:w="180"/>
              <w:right w:type="dxa" w:w="240"/>
            </w:tcMar>
          </w:tcPr>
          <w:p>
            <w:pPr>
              <w:spacing w:after="80"/>
            </w:pPr>
            <w:r>
              <w:rPr>
                <w:rFonts w:ascii="Arial" w:cs="Arial" w:eastAsia="Arial" w:hAnsi="Arial"/>
                <w:b/>
                <w:bCs/>
                <w:caps/>
                <w:color w:val="1C3A5E"/>
                <w:sz w:val="21"/>
                <w:szCs w:val="21"/>
              </w:rPr>
              <w:t xml:space="preserve">Reader Navigation</w:t>
            </w:r>
          </w:p>
          <w:p>
            <w:pPr>
              <w:spacing w:after="60"/>
              <w:jc w:val="both"/>
            </w:pPr>
            <w:r>
              <w:rPr>
                <w:rFonts w:ascii="Arial" w:cs="Arial" w:eastAsia="Arial" w:hAnsi="Arial"/>
                <w:color w:val="1A1A1A"/>
                <w:sz w:val="21"/>
                <w:szCs w:val="21"/>
              </w:rPr>
              <w:t xml:space="preserve">DIY — first-time finisher, brush application:  Sections 1, 2, 3, 5, 9A</w:t>
            </w:r>
          </w:p>
          <w:p>
            <w:pPr>
              <w:spacing w:after="60"/>
              <w:jc w:val="both"/>
            </w:pPr>
            <w:r>
              <w:rPr>
                <w:rFonts w:ascii="Arial" w:cs="Arial" w:eastAsia="Arial" w:hAnsi="Arial"/>
                <w:color w:val="1A1A1A"/>
                <w:sz w:val="21"/>
                <w:szCs w:val="21"/>
              </w:rPr>
              <w:t xml:space="preserve">Hobbyist woodworker seeking improved results:  Sections 1, 2, 3, 4, 5, 9A</w:t>
            </w:r>
          </w:p>
          <w:p>
            <w:pPr>
              <w:spacing w:after="60"/>
              <w:jc w:val="both"/>
            </w:pPr>
            <w:r>
              <w:rPr>
                <w:rFonts w:ascii="Arial" w:cs="Arial" w:eastAsia="Arial" w:hAnsi="Arial"/>
                <w:color w:val="1A1A1A"/>
                <w:sz w:val="21"/>
                <w:szCs w:val="21"/>
              </w:rPr>
              <w:t xml:space="preserve">Cabinet maker or furniture builder, in-house finishing:  Read in full</w:t>
            </w:r>
          </w:p>
          <w:p>
            <w:pPr>
              <w:spacing w:after="60"/>
              <w:jc w:val="both"/>
            </w:pPr>
            <w:r>
              <w:rPr>
                <w:rFonts w:ascii="Arial" w:cs="Arial" w:eastAsia="Arial" w:hAnsi="Arial"/>
                <w:color w:val="1A1A1A"/>
                <w:sz w:val="21"/>
                <w:szCs w:val="21"/>
              </w:rPr>
              <w:t xml:space="preserve">Currently outsourcing finishing, evaluating in-house:  Sections 1, 4, 6, 7, 8</w:t>
            </w:r>
          </w:p>
          <w:p>
            <w:pPr>
              <w:spacing w:after="60"/>
              <w:jc w:val="both"/>
            </w:pPr>
            <w:r>
              <w:rPr>
                <w:rFonts w:ascii="Arial" w:cs="Arial" w:eastAsia="Arial" w:hAnsi="Arial"/>
                <w:color w:val="1A1A1A"/>
                <w:sz w:val="21"/>
                <w:szCs w:val="21"/>
              </w:rPr>
              <w:t xml:space="preserve">Transitioning to professional spray systems:  Sections 4, 6, 7, 8, 9B</w:t>
            </w:r>
          </w:p>
        </w:tc>
      </w:tr>
    </w:tbl>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Section 1: Understanding Polyurethane — Chemistry, Function, and Purpose</w:t>
      </w:r>
    </w:p>
    <w:p>
      <w:pPr>
        <w:pStyle w:val="Heading2"/>
        <w:spacing w:before="360" w:after="100"/>
      </w:pPr>
      <w:r>
        <w:rPr>
          <w:rFonts w:ascii="Arial" w:cs="Arial" w:eastAsia="Arial" w:hAnsi="Arial"/>
          <w:b/>
          <w:bCs/>
          <w:color w:val="1A1A1A"/>
          <w:sz w:val="26"/>
          <w:szCs w:val="26"/>
        </w:rPr>
        <w:t xml:space="preserve">Definition and Function</w:t>
      </w:r>
    </w:p>
    <w:p>
      <w:pPr>
        <w:spacing w:after="160"/>
        <w:jc w:val="both"/>
      </w:pPr>
      <w:r>
        <w:rPr>
          <w:rFonts w:ascii="Arial" w:cs="Arial" w:eastAsia="Arial" w:hAnsi="Arial"/>
          <w:color w:val="1A1A1A"/>
          <w:sz w:val="22"/>
          <w:szCs w:val="22"/>
        </w:rPr>
        <w:t xml:space="preserve">Polyurethane is a synthetic polymer resin applied as a clear or near-clear protective topcoat to wood surfaces. Its primary function is to form a durable, continuous film that shields the substrate from abrasion, moisture, chemical exposure, and mechanical wear. Unlike paint or pigmented coatings, polyurethane is formulated to protect and enhance the wood's natural appearance rather than obscure it.</w:t>
      </w:r>
    </w:p>
    <w:p>
      <w:pPr>
        <w:spacing w:after="160"/>
        <w:jc w:val="both"/>
      </w:pPr>
      <w:r>
        <w:rPr>
          <w:rFonts w:ascii="Arial" w:cs="Arial" w:eastAsia="Arial" w:hAnsi="Arial"/>
          <w:color w:val="1A1A1A"/>
          <w:sz w:val="22"/>
          <w:szCs w:val="22"/>
        </w:rPr>
        <w:t xml:space="preserve">The term 'polyurethane' denotes the polymer backbone of the finish — a chain structure built from the reaction of polyols and isocyanates. This chemistry is responsible for the material's core performance attributes: exceptional film hardness, resistance to chemical attack, and durability under sustained physical stress. It is not coincidental that polyurethane is the standard finishing system for hardwood floors, commercial cabinetry, and high-use furniture — environments where a softer finish would fail within months.</w:t>
      </w:r>
    </w:p>
    <w:p>
      <w:pPr>
        <w:pStyle w:val="Heading2"/>
        <w:spacing w:before="360" w:after="100"/>
      </w:pPr>
      <w:r>
        <w:rPr>
          <w:rFonts w:ascii="Arial" w:cs="Arial" w:eastAsia="Arial" w:hAnsi="Arial"/>
          <w:b/>
          <w:bCs/>
          <w:color w:val="1A1A1A"/>
          <w:sz w:val="26"/>
          <w:szCs w:val="26"/>
        </w:rPr>
        <w:t xml:space="preserve">Why Raw Wood Requires a Protective Finish</w:t>
      </w:r>
    </w:p>
    <w:p>
      <w:pPr>
        <w:spacing w:after="160"/>
        <w:jc w:val="both"/>
      </w:pPr>
      <w:r>
        <w:rPr>
          <w:rFonts w:ascii="Arial" w:cs="Arial" w:eastAsia="Arial" w:hAnsi="Arial"/>
          <w:color w:val="1A1A1A"/>
          <w:sz w:val="22"/>
          <w:szCs w:val="22"/>
        </w:rPr>
        <w:t xml:space="preserve">Unfinished wood is a hygroscopic material — it continuously absorbs and releases moisture in response to changes in ambient humidity and temperature. This moisture cycling causes dimensional movement: expansion in humid conditions, contraction in dry ones. Over time, an unprotected surface accumulates stains, scratches, biological contamination, and irreversible surface damage that no amount of refinishing will fully correct.</w:t>
      </w:r>
    </w:p>
    <w:p>
      <w:pPr>
        <w:spacing w:after="160"/>
        <w:jc w:val="both"/>
      </w:pPr>
      <w:r>
        <w:rPr>
          <w:rFonts w:ascii="Arial" w:cs="Arial" w:eastAsia="Arial" w:hAnsi="Arial"/>
          <w:color w:val="1A1A1A"/>
          <w:sz w:val="22"/>
          <w:szCs w:val="22"/>
        </w:rPr>
        <w:t xml:space="preserve">A properly applied polyurethane finish accomplishes several things simultaneously: it seals the wood surface to moderate moisture exchange, adds significant surface hardness, provides resistance to household chemicals and food acids, and creates a stable platform that makes the piece cleanable and maintainable for decades.</w:t>
      </w:r>
    </w:p>
    <w:p>
      <w:pPr>
        <w:pStyle w:val="Heading2"/>
        <w:spacing w:before="360" w:after="100"/>
      </w:pPr>
      <w:r>
        <w:rPr>
          <w:rFonts w:ascii="Arial" w:cs="Arial" w:eastAsia="Arial" w:hAnsi="Arial"/>
          <w:b/>
          <w:bCs/>
          <w:color w:val="1A1A1A"/>
          <w:sz w:val="26"/>
          <w:szCs w:val="26"/>
        </w:rPr>
        <w:t xml:space="preserve">The Chemistry Behind the Performance</w:t>
      </w:r>
    </w:p>
    <w:p>
      <w:pPr>
        <w:spacing w:after="160"/>
        <w:jc w:val="both"/>
      </w:pPr>
      <w:r>
        <w:rPr>
          <w:rFonts w:ascii="Arial" w:cs="Arial" w:eastAsia="Arial" w:hAnsi="Arial"/>
          <w:color w:val="1A1A1A"/>
          <w:sz w:val="22"/>
          <w:szCs w:val="22"/>
        </w:rPr>
        <w:t xml:space="preserve">All polyurethane products cure through a chemical reaction rather than simple evaporation. When the urethane polymer crosslinks — whether through oxidative curing (oil-based), air drying with mild self-crosslinking (1K waterborne), or catalytic reaction with an isocyanate hardener (2K) — the resulting film is fundamentally different from a film that merely dries. It is a thermoset material: once cured, it cannot be re-dissolved by the solvents that originally carried it.</w:t>
      </w:r>
    </w:p>
    <w:p>
      <w:pPr>
        <w:spacing w:after="160"/>
        <w:jc w:val="both"/>
      </w:pPr>
      <w:r>
        <w:rPr>
          <w:rFonts w:ascii="Arial" w:cs="Arial" w:eastAsia="Arial" w:hAnsi="Arial"/>
          <w:color w:val="1A1A1A"/>
          <w:sz w:val="22"/>
          <w:szCs w:val="22"/>
        </w:rPr>
        <w:t xml:space="preserve">This crosslinked structure is the source of polyurethane's resistance to heat, solvents, and mechanical abrasion. The degree of crosslinking — which is highest in catalyzed 2K systems — directly correlates with performance. Understanding this principle explains why a 2K finish on a dining table outperforms a consumer oil-based product applied to the same surface, even when both look identical to the naked eye at the time of application.</w:t>
      </w:r>
    </w:p>
    <w:p>
      <w:pPr>
        <w:spacing w:after="160"/>
        <w:jc w:val="both"/>
      </w:pPr>
      <w:r>
        <w:rPr>
          <w:rFonts w:ascii="Arial" w:cs="Arial" w:eastAsia="Arial" w:hAnsi="Arial"/>
          <w:color w:val="1A1A1A"/>
          <w:sz w:val="22"/>
          <w:szCs w:val="22"/>
        </w:rPr>
        <w:t xml:space="preserve">The isocyanate component — present in both the catalyst of 2K systems and in residual form within all polyurethane products — is central to this chemistry and is the primary source of occupational health concern. This topic receives dedicated treatment in Section 8.</w:t>
      </w:r>
    </w:p>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Section 2: The Product Spectrum — An Overview</w:t>
      </w:r>
    </w:p>
    <w:p>
      <w:pPr>
        <w:spacing w:after="160"/>
        <w:jc w:val="both"/>
      </w:pPr>
      <w:r>
        <w:rPr>
          <w:rFonts w:ascii="Arial" w:cs="Arial" w:eastAsia="Arial" w:hAnsi="Arial"/>
          <w:color w:val="1A1A1A"/>
          <w:sz w:val="22"/>
          <w:szCs w:val="22"/>
        </w:rPr>
        <w:t xml:space="preserve">Polyurethane finishing products exist on a continuous spectrum from entry-level consumer formulations to industrial-grade two-component systems. The following table provides a structured overview before each category is examined in depth.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Category</w:t>
            </w:r>
          </w:p>
        </w:tc>
        <w:tc>
          <w:tcPr>
            <w:tcW w:type="dxa" w:w="1872"/>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Representative Products</w:t>
            </w:r>
          </w:p>
        </w:tc>
        <w:tc>
          <w:tcPr>
            <w:tcW w:type="dxa" w:w="1872"/>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Application Method</w:t>
            </w:r>
          </w:p>
        </w:tc>
        <w:tc>
          <w:tcPr>
            <w:tcW w:type="dxa" w:w="1872"/>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Primary Use Case</w:t>
            </w:r>
          </w:p>
        </w:tc>
        <w:tc>
          <w:tcPr>
            <w:tcW w:type="dxa" w:w="1872"/>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Skill Level Required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Consumer Oil-Based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Minwax Fast-Drying, Varathane Ultimate, Rust-Oleum Ultimate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Brush or wipe-on cloth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DIY furniture, traditional wood tones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Beginner</w:t>
            </w:r>
          </w:p>
        </w:tc>
      </w:tr>
      <w:tr>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Consumer Water-Based</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Minwax Water-Based, Varathane Diamond, General Finishes High Performance</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Brush, foam applicator, or wipe</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DIY — light woods, faster project timelines</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Beginner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Professional 1K Waterborne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Renner 851 (uncatalyzed), Milesi 1K, GF Enduro, Envirolak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HVLP or airless spray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Cabinet and furniture shops entering professional finishing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Intermediate</w:t>
            </w:r>
          </w:p>
        </w:tc>
      </w:tr>
      <w:tr>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Professional 2K Waterborne</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Renner 851 (catalyzed), Milesi 2K, GF Enduro 2K, ICA 2K</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Airless or HVLP spray only</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Commercial cabinetry, high-use furniture, production shops</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Advanced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Solvent-Based 2K (Traditional)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Classical isocyanate/polyol systems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Dedicated spray booth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High-end production and OEM environments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Professional</w:t>
            </w:r>
          </w:p>
        </w:tc>
      </w:tr>
    </w:tbl>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Section 3: Consumer-Grade Products — Oil-Based and Water-Based Polyurethane</w:t>
      </w:r>
    </w:p>
    <w:p>
      <w:pPr>
        <w:spacing w:after="160"/>
        <w:jc w:val="both"/>
      </w:pPr>
      <w:r>
        <w:rPr>
          <w:rFonts w:ascii="Arial" w:cs="Arial" w:eastAsia="Arial" w:hAnsi="Arial"/>
          <w:color w:val="1A1A1A"/>
          <w:sz w:val="22"/>
          <w:szCs w:val="22"/>
        </w:rPr>
        <w:t xml:space="preserve">Consumer polyurethane products — those available at Home Depot, Lowe's, and similar retailers — represent the accessible entry point to protective wood finishing. They require no specialized equipment, no mixing, and no spray infrastructure. For the appropriate application, they deliver adequate to good results when properly applied.</w:t>
      </w:r>
    </w:p>
    <w:p>
      <w:pPr>
        <w:spacing w:after="160"/>
        <w:jc w:val="both"/>
      </w:pPr>
      <w:r>
        <w:rPr>
          <w:rFonts w:ascii="Arial" w:cs="Arial" w:eastAsia="Arial" w:hAnsi="Arial"/>
          <w:color w:val="1A1A1A"/>
          <w:sz w:val="22"/>
          <w:szCs w:val="22"/>
        </w:rPr>
        <w:t xml:space="preserve">Two distinct chemistries are available in this category: oil-based and water-based. They are not interchangeable, and selecting between them should be an informed decision based on the wood species, desired aesthetic, environmental conditions, and end-use requirements of the piece.</w:t>
      </w:r>
    </w:p>
    <w:p>
      <w:pPr>
        <w:pStyle w:val="Heading2"/>
        <w:spacing w:before="360" w:after="100"/>
      </w:pPr>
      <w:r>
        <w:rPr>
          <w:rFonts w:ascii="Arial" w:cs="Arial" w:eastAsia="Arial" w:hAnsi="Arial"/>
          <w:b/>
          <w:bCs/>
          <w:color w:val="1A1A1A"/>
          <w:sz w:val="26"/>
          <w:szCs w:val="26"/>
        </w:rPr>
        <w:t xml:space="preserve">Oil-Based Polyurethane</w:t>
      </w:r>
    </w:p>
    <w:p>
      <w:pPr>
        <w:pStyle w:val="Heading3"/>
        <w:spacing w:before="240" w:after="80"/>
      </w:pPr>
      <w:r>
        <w:rPr>
          <w:rFonts w:ascii="Arial" w:cs="Arial" w:eastAsia="Arial" w:hAnsi="Arial"/>
          <w:b/>
          <w:bCs/>
          <w:color w:val="1C3A5E"/>
          <w:sz w:val="22"/>
          <w:szCs w:val="22"/>
        </w:rPr>
        <w:t xml:space="preserve">Chemistry and Cure Mechanism</w:t>
      </w:r>
    </w:p>
    <w:p>
      <w:pPr>
        <w:spacing w:after="160"/>
        <w:jc w:val="both"/>
      </w:pPr>
      <w:r>
        <w:rPr>
          <w:rFonts w:ascii="Arial" w:cs="Arial" w:eastAsia="Arial" w:hAnsi="Arial"/>
          <w:color w:val="1A1A1A"/>
          <w:sz w:val="22"/>
          <w:szCs w:val="22"/>
        </w:rPr>
        <w:t xml:space="preserve">Oil-based polyurethane suspends urethane resin in petroleum-derived solvents — typically mineral spirits or naphtha. Upon application, the solvent phase evaporates slowly over many hours, depositing the resin on the surface. The film then undergoes oxidative crosslinking — a relatively mild chemical reaction initiated by oxygen in the air — to achieve its final hardness. This process is slower and produces a less fully crosslinked film than catalyzed systems, but it is self-initiating and requires no mixing.</w:t>
      </w:r>
    </w:p>
    <w:p>
      <w:pPr>
        <w:spacing w:after="160"/>
        <w:jc w:val="both"/>
      </w:pPr>
      <w:r>
        <w:rPr>
          <w:rFonts w:ascii="Arial" w:cs="Arial" w:eastAsia="Arial" w:hAnsi="Arial"/>
          <w:color w:val="1A1A1A"/>
          <w:sz w:val="22"/>
          <w:szCs w:val="22"/>
        </w:rPr>
        <w:t xml:space="preserve">The extended open time created by slow solvent evaporation — often cited as a disadvantage — is simultaneously responsible for the exceptional self-leveling that oil-based products are known for. The finish has time to flow out and eliminate brush marks before it begins to set, which makes achieving a smooth surface more forgiving for less experienced applicators.</w:t>
      </w:r>
    </w:p>
    <w:p>
      <w:pPr>
        <w:pStyle w:val="Heading3"/>
        <w:spacing w:before="240" w:after="80"/>
      </w:pPr>
      <w:r>
        <w:rPr>
          <w:rFonts w:ascii="Arial" w:cs="Arial" w:eastAsia="Arial" w:hAnsi="Arial"/>
          <w:b/>
          <w:bCs/>
          <w:color w:val="1C3A5E"/>
          <w:sz w:val="22"/>
          <w:szCs w:val="22"/>
        </w:rPr>
        <w:t xml:space="preserve">Aesthetic Characteristics</w:t>
      </w:r>
    </w:p>
    <w:p>
      <w:pPr>
        <w:spacing w:after="160"/>
        <w:jc w:val="both"/>
      </w:pPr>
      <w:r>
        <w:rPr>
          <w:rFonts w:ascii="Arial" w:cs="Arial" w:eastAsia="Arial" w:hAnsi="Arial"/>
          <w:color w:val="1A1A1A"/>
          <w:sz w:val="22"/>
          <w:szCs w:val="22"/>
        </w:rPr>
        <w:t xml:space="preserve">Oil-based polyurethane imparts a characteristic amber or warm golden tone to wood. This results from the natural color of the alkyd resin chemistry and intensifies over time as the finish continues to oxidize. On darker wood species — walnut, cherry, red oak, mahogany — this warmth is often considered aesthetically desirable and consistent with traditional furniture aesthetics.</w:t>
      </w:r>
    </w:p>
    <w:p>
      <w:pPr>
        <w:spacing w:after="160"/>
        <w:jc w:val="both"/>
      </w:pPr>
      <w:r>
        <w:rPr>
          <w:rFonts w:ascii="Arial" w:cs="Arial" w:eastAsia="Arial" w:hAnsi="Arial"/>
          <w:color w:val="1A1A1A"/>
          <w:sz w:val="22"/>
          <w:szCs w:val="22"/>
        </w:rPr>
        <w:t xml:space="preserve">On light-toned species — maple, rift-sawn white oak, ash, or any piece finished with a white or gray stain — this yellowing is problematic and will worsen progressively over the life of the finish. For such applications, a non-yellowing water-based or 2K waterborne system is the appropriate choice.</w:t>
      </w:r>
    </w:p>
    <w:p>
      <w:pPr>
        <w:pStyle w:val="Heading3"/>
        <w:spacing w:before="240" w:after="80"/>
      </w:pPr>
      <w:r>
        <w:rPr>
          <w:rFonts w:ascii="Arial" w:cs="Arial" w:eastAsia="Arial" w:hAnsi="Arial"/>
          <w:b/>
          <w:bCs/>
          <w:color w:val="1C3A5E"/>
          <w:sz w:val="22"/>
          <w:szCs w:val="22"/>
        </w:rPr>
        <w:t xml:space="preserve">Performance Characteristics, 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Attribute</w:t>
            </w:r>
          </w:p>
        </w:tc>
        <w:tc>
          <w:tcPr>
            <w:tcW w:type="dxa" w:w="4680"/>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Oil-Based Polyurethane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Durability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Good — adequate for most residential furniture applications; softer than professional systems</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Dry time between coats</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8 to 24 hours; full cure 30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Number of coats (typical)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2 to 3</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VOC content</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High — 450 to 700+ g/L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Odor during application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Strong — petroleum solvent odor; requires ventilation</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Yellowing over time</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Pronounced; deepens with 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Cleanup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Mineral spirits required</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Cost (approximate)</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$25 to $45 per quart at retail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Application flexibility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Brush, wipe-on, limited spray</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Fire risk</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Solvent-laden application rags present spontaneous combustion hazard</w:t>
            </w:r>
          </w:p>
        </w:tc>
      </w:tr>
    </w:tbl>
    <w:p>
      <w:pPr>
        <w:spacing w:after="80"/>
      </w:pPr>
      <w:r>
        <w:t xml:space="preserve"/>
      </w:r>
    </w:p>
    <w:p>
      <w:pPr>
        <w:spacing w:after="160"/>
        <w:jc w:val="both"/>
      </w:pPr>
      <w:r>
        <w:rPr>
          <w:rFonts w:ascii="Arial" w:cs="Arial" w:eastAsia="Arial" w:hAnsi="Arial"/>
          <w:color w:val="1A1A1A"/>
          <w:sz w:val="22"/>
          <w:szCs w:val="22"/>
        </w:rPr>
        <w:t xml:space="preserve">Common retail products in this category include Varathane Ultimate Polyurethane and Rust-Oleum Ultimate Polyurethane — both representing the higher end of consumer oil-based performance — as well as the widely recognized Minwax Fast-Drying Polyurethane, which remains adequate for lower-demand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00" w:sz="1"/>
              <w:left w:val="single" w:color="7B2D00" w:sz="1"/>
              <w:bottom w:val="single" w:color="7B2D00" w:sz="1"/>
              <w:right w:val="single" w:color="7B2D00" w:sz="1"/>
            </w:tcBorders>
            <w:shd w:fill="FFF4ED" w:val="clear"/>
            <w:tcMar>
              <w:top w:type="dxa" w:w="180"/>
              <w:left w:type="dxa" w:w="240"/>
              <w:bottom w:type="dxa" w:w="180"/>
              <w:right w:type="dxa" w:w="240"/>
            </w:tcMar>
          </w:tcPr>
          <w:p>
            <w:pPr>
              <w:spacing w:after="80"/>
            </w:pPr>
            <w:r>
              <w:rPr>
                <w:rFonts w:ascii="Arial" w:cs="Arial" w:eastAsia="Arial" w:hAnsi="Arial"/>
                <w:b/>
                <w:bCs/>
                <w:caps/>
                <w:color w:val="7B2D00"/>
                <w:sz w:val="21"/>
                <w:szCs w:val="21"/>
              </w:rPr>
              <w:t xml:space="preserve">Safety Notice</w:t>
            </w:r>
          </w:p>
          <w:p>
            <w:pPr>
              <w:spacing w:after="60"/>
              <w:jc w:val="both"/>
            </w:pPr>
            <w:r>
              <w:rPr>
                <w:rFonts w:ascii="Arial" w:cs="Arial" w:eastAsia="Arial" w:hAnsi="Arial"/>
                <w:color w:val="1A1A1A"/>
                <w:sz w:val="21"/>
                <w:szCs w:val="21"/>
              </w:rPr>
              <w:t xml:space="preserve">Oil-based polyurethane produces significant VOC off-gassing during application and throughout the curing period. Application must occur in spaces with active cross-ventilation.</w:t>
            </w:r>
          </w:p>
          <w:p>
            <w:pPr>
              <w:spacing w:after="60"/>
              <w:jc w:val="both"/>
            </w:pPr>
            <w:r>
              <w:rPr>
                <w:rFonts w:ascii="Arial" w:cs="Arial" w:eastAsia="Arial" w:hAnsi="Arial"/>
                <w:color w:val="1A1A1A"/>
                <w:sz w:val="21"/>
                <w:szCs w:val="21"/>
              </w:rPr>
              <w:t xml:space="preserve">Application cloths, rags, and finishing pads saturated with oil-based products are a documented spontaneous combustion hazard. As the oil oxidizes, it generates heat. Bundled or crumpled rags can reach ignition temperature without an external heat source. Spread rags flat to dry outdoors, or submerge immediately in water in a sealed metal container prior to disposal. This is not a theoretical risk.</w:t>
            </w:r>
          </w:p>
          <w:p>
            <w:pPr>
              <w:spacing w:after="60"/>
              <w:jc w:val="both"/>
            </w:pPr>
            <w:r>
              <w:rPr>
                <w:rFonts w:ascii="Arial" w:cs="Arial" w:eastAsia="Arial" w:hAnsi="Arial"/>
                <w:color w:val="1A1A1A"/>
                <w:sz w:val="21"/>
                <w:szCs w:val="21"/>
              </w:rPr>
              <w:t xml:space="preserve">A respirator with organic vapor (OV) cartridges is recommended during application. Nitrile gloves and eye protection are required.</w:t>
            </w:r>
          </w:p>
          <w:p>
            <w:pPr>
              <w:spacing w:after="60"/>
              <w:jc w:val="both"/>
            </w:pPr>
            <w:r>
              <w:rPr>
                <w:rFonts w:ascii="Arial" w:cs="Arial" w:eastAsia="Arial" w:hAnsi="Arial"/>
                <w:color w:val="1A1A1A"/>
                <w:sz w:val="21"/>
                <w:szCs w:val="21"/>
              </w:rPr>
              <w:t xml:space="preserve">Keep all ignition sources — open flames, sparks, operating power tools — away from the finishing area during application and until solvents have fully dissipated.</w:t>
            </w:r>
          </w:p>
        </w:tc>
      </w:tr>
    </w:tbl>
    <w:p>
      <w:pPr>
        <w:spacing w:after="160"/>
      </w:pPr>
      <w:r>
        <w:t xml:space="preserve"/>
      </w:r>
    </w:p>
    <w:p>
      <w:pPr>
        <w:pStyle w:val="Heading2"/>
        <w:spacing w:before="360" w:after="100"/>
      </w:pPr>
      <w:r>
        <w:rPr>
          <w:rFonts w:ascii="Arial" w:cs="Arial" w:eastAsia="Arial" w:hAnsi="Arial"/>
          <w:b/>
          <w:bCs/>
          <w:color w:val="1A1A1A"/>
          <w:sz w:val="26"/>
          <w:szCs w:val="26"/>
        </w:rPr>
        <w:t xml:space="preserve">Water-Based Polyurethane</w:t>
      </w:r>
    </w:p>
    <w:p>
      <w:pPr>
        <w:pStyle w:val="Heading3"/>
        <w:spacing w:before="240" w:after="80"/>
      </w:pPr>
      <w:r>
        <w:rPr>
          <w:rFonts w:ascii="Arial" w:cs="Arial" w:eastAsia="Arial" w:hAnsi="Arial"/>
          <w:b/>
          <w:bCs/>
          <w:color w:val="1C3A5E"/>
          <w:sz w:val="22"/>
          <w:szCs w:val="22"/>
        </w:rPr>
        <w:t xml:space="preserve">Chemistry and Cure Mechanism</w:t>
      </w:r>
    </w:p>
    <w:p>
      <w:pPr>
        <w:spacing w:after="160"/>
        <w:jc w:val="both"/>
      </w:pPr>
      <w:r>
        <w:rPr>
          <w:rFonts w:ascii="Arial" w:cs="Arial" w:eastAsia="Arial" w:hAnsi="Arial"/>
          <w:color w:val="1A1A1A"/>
          <w:sz w:val="22"/>
          <w:szCs w:val="22"/>
        </w:rPr>
        <w:t xml:space="preserve">Water-based polyurethane disperses urethane resin particles in water rather than petroleum solvents. Upon application, water evaporates relatively quickly, depositing the resin. Better-formulated consumer water-based products incorporate self-crosslinking chemistry — polyazetidine (PAZ) or carbodiimide (CDI) crosslinkers — that improve the final film hardness compared to earlier generations of the product category, which simply dried without meaningful crosslinking.</w:t>
      </w:r>
    </w:p>
    <w:p>
      <w:pPr>
        <w:spacing w:after="160"/>
        <w:jc w:val="both"/>
      </w:pPr>
      <w:r>
        <w:rPr>
          <w:rFonts w:ascii="Arial" w:cs="Arial" w:eastAsia="Arial" w:hAnsi="Arial"/>
          <w:color w:val="1A1A1A"/>
          <w:sz w:val="22"/>
          <w:szCs w:val="22"/>
        </w:rPr>
        <w:t xml:space="preserve">Contemporary high-quality water-based formulations have closed much of the historical performance gap with oil-based products, particularly in furniture applications. The primary remaining limitations are in high-heat and sustained chemical exposure scenarios, where the denser crosslinked film of a 2K catalyzed system still holds a meaningful advantage.</w:t>
      </w:r>
    </w:p>
    <w:p>
      <w:pPr>
        <w:pStyle w:val="Heading3"/>
        <w:spacing w:before="240" w:after="80"/>
      </w:pPr>
      <w:r>
        <w:rPr>
          <w:rFonts w:ascii="Arial" w:cs="Arial" w:eastAsia="Arial" w:hAnsi="Arial"/>
          <w:b/>
          <w:bCs/>
          <w:color w:val="1C3A5E"/>
          <w:sz w:val="22"/>
          <w:szCs w:val="22"/>
        </w:rPr>
        <w:t xml:space="preserve">Aesthetic Characteristics</w:t>
      </w:r>
    </w:p>
    <w:p>
      <w:pPr>
        <w:spacing w:after="160"/>
        <w:jc w:val="both"/>
      </w:pPr>
      <w:r>
        <w:rPr>
          <w:rFonts w:ascii="Arial" w:cs="Arial" w:eastAsia="Arial" w:hAnsi="Arial"/>
          <w:color w:val="1A1A1A"/>
          <w:sz w:val="22"/>
          <w:szCs w:val="22"/>
        </w:rPr>
        <w:t xml:space="preserve">Water-based polyurethane cures water-clear and remains non-yellowing throughout its service life, making it the correct choice wherever color neutrality is a design requirement. This is particularly significant for rift-sawn white oak, maple, and any piece finished with light or cool-toned stains — species and colorways where even modest ambering would compromise the intended aesthetic.</w:t>
      </w:r>
    </w:p>
    <w:p>
      <w:pPr>
        <w:spacing w:after="160"/>
        <w:jc w:val="both"/>
      </w:pPr>
      <w:r>
        <w:rPr>
          <w:rFonts w:ascii="Arial" w:cs="Arial" w:eastAsia="Arial" w:hAnsi="Arial"/>
          <w:color w:val="1A1A1A"/>
          <w:sz w:val="22"/>
          <w:szCs w:val="22"/>
        </w:rPr>
        <w:t xml:space="preserve">For modern, minimalist, Scandinavian, or industrial-contemporary furniture and cabinetry — where natural wood tones and cool, clean finishes are the design language — water-based polyurethane is the appropriate consumer-grade selection.</w:t>
      </w:r>
    </w:p>
    <w:p>
      <w:pPr>
        <w:pStyle w:val="Heading3"/>
        <w:spacing w:before="240" w:after="80"/>
      </w:pPr>
      <w:r>
        <w:rPr>
          <w:rFonts w:ascii="Arial" w:cs="Arial" w:eastAsia="Arial" w:hAnsi="Arial"/>
          <w:b/>
          <w:bCs/>
          <w:color w:val="1C3A5E"/>
          <w:sz w:val="22"/>
          <w:szCs w:val="22"/>
        </w:rPr>
        <w:t xml:space="preserve">Performance Characteristics, 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Attribute</w:t>
            </w:r>
          </w:p>
        </w:tc>
        <w:tc>
          <w:tcPr>
            <w:tcW w:type="dxa" w:w="4680"/>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Water-Based Polyurethane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Durability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Moderate to good; quality-dependent; improved significantly with self-crosslinking formulas</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Dry time between coats</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2 to 4 hours; multiple coats possible in one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Number of coats (typical)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3 to 4</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VOC content</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Low — 100 to 275 g/L typically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Odor during application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Minimal; significantly safer for indoor use</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Yellowing over time</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None; maintains clarity throughout service life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Cleanup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Soap and water</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Cost (approximate)</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$35 to $75 per quart at retail for quality products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Application flexibility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Brush, foam applicator, wipe-on, spray</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Grain raising</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First coat raises wood grain; pre-raise or sand after first coat required</w:t>
            </w:r>
          </w:p>
        </w:tc>
      </w:tr>
    </w:tbl>
    <w:p>
      <w:pPr>
        <w:spacing w:after="80"/>
      </w:pPr>
      <w:r>
        <w:t xml:space="preserve"/>
      </w:r>
    </w:p>
    <w:p>
      <w:pPr>
        <w:spacing w:after="160"/>
        <w:jc w:val="both"/>
      </w:pPr>
      <w:r>
        <w:rPr>
          <w:rFonts w:ascii="Arial" w:cs="Arial" w:eastAsia="Arial" w:hAnsi="Arial"/>
          <w:color w:val="1A1A1A"/>
          <w:sz w:val="22"/>
          <w:szCs w:val="22"/>
        </w:rPr>
        <w:t xml:space="preserve">Representative products include General Finishes High Performance Water Based Top Coat — consistently regarded as among the best consumer water-based options for furniture — along with Varathane Diamond Wood Finish and General Finishes Arm-R-Seal, the latter being an oil-modified waterborne urethane that bridges characteristics of both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00" w:sz="1"/>
              <w:left w:val="single" w:color="7B2D00" w:sz="1"/>
              <w:bottom w:val="single" w:color="7B2D00" w:sz="1"/>
              <w:right w:val="single" w:color="7B2D00" w:sz="1"/>
            </w:tcBorders>
            <w:shd w:fill="FFF4ED" w:val="clear"/>
            <w:tcMar>
              <w:top w:type="dxa" w:w="180"/>
              <w:left w:type="dxa" w:w="240"/>
              <w:bottom w:type="dxa" w:w="180"/>
              <w:right w:type="dxa" w:w="240"/>
            </w:tcMar>
          </w:tcPr>
          <w:p>
            <w:pPr>
              <w:spacing w:after="80"/>
            </w:pPr>
            <w:r>
              <w:rPr>
                <w:rFonts w:ascii="Arial" w:cs="Arial" w:eastAsia="Arial" w:hAnsi="Arial"/>
                <w:b/>
                <w:bCs/>
                <w:caps/>
                <w:color w:val="7B2D00"/>
                <w:sz w:val="21"/>
                <w:szCs w:val="21"/>
              </w:rPr>
              <w:t xml:space="preserve">Safety Notice</w:t>
            </w:r>
          </w:p>
          <w:p>
            <w:pPr>
              <w:spacing w:after="60"/>
              <w:jc w:val="both"/>
            </w:pPr>
            <w:r>
              <w:rPr>
                <w:rFonts w:ascii="Arial" w:cs="Arial" w:eastAsia="Arial" w:hAnsi="Arial"/>
                <w:color w:val="1A1A1A"/>
                <w:sz w:val="21"/>
                <w:szCs w:val="21"/>
              </w:rPr>
              <w:t xml:space="preserve">Water-based polyurethane contains significantly lower VOC levels than oil-based formulations; however, it is not inert. All polyurethane products contain diisocyanates in their polymer structure.</w:t>
            </w:r>
          </w:p>
          <w:p>
            <w:pPr>
              <w:spacing w:after="60"/>
              <w:jc w:val="both"/>
            </w:pPr>
            <w:r>
              <w:rPr>
                <w:rFonts w:ascii="Arial" w:cs="Arial" w:eastAsia="Arial" w:hAnsi="Arial"/>
                <w:color w:val="1A1A1A"/>
                <w:sz w:val="21"/>
                <w:szCs w:val="21"/>
              </w:rPr>
              <w:t xml:space="preserve">A basic dust mask (N95 particulate respirator) does not protect against chemical vapors. Use an organic vapor respirator when applying water-based products in enclosed or poorly ventilated spaces.</w:t>
            </w:r>
          </w:p>
          <w:p>
            <w:pPr>
              <w:spacing w:after="60"/>
              <w:jc w:val="both"/>
            </w:pPr>
            <w:r>
              <w:rPr>
                <w:rFonts w:ascii="Arial" w:cs="Arial" w:eastAsia="Arial" w:hAnsi="Arial"/>
                <w:color w:val="1A1A1A"/>
                <w:sz w:val="21"/>
                <w:szCs w:val="21"/>
              </w:rPr>
              <w:t xml:space="preserve">Spray application of any polyurethane product — including water-based — dramatically increases inhalation exposure through atomized mist. An OV/P100 respirator is required for spray application regardless of product chemistry.</w:t>
            </w:r>
          </w:p>
          <w:p>
            <w:pPr>
              <w:spacing w:after="60"/>
              <w:jc w:val="both"/>
            </w:pPr>
            <w:r>
              <w:rPr>
                <w:rFonts w:ascii="Arial" w:cs="Arial" w:eastAsia="Arial" w:hAnsi="Arial"/>
                <w:color w:val="1A1A1A"/>
                <w:sz w:val="21"/>
                <w:szCs w:val="21"/>
              </w:rPr>
              <w:t xml:space="preserve">Water-based products do not present the same spontaneous combustion risk as oil-based formulations. Standard disposal of application materials is acceptable.</w:t>
            </w:r>
          </w:p>
        </w:tc>
      </w:tr>
    </w:tbl>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Section 4: Professional-Grade Systems — 1K and 2K Waterborne Polyurethane</w:t>
      </w:r>
    </w:p>
    <w:p>
      <w:pPr>
        <w:spacing w:after="160"/>
        <w:jc w:val="both"/>
      </w:pPr>
      <w:r>
        <w:rPr>
          <w:rFonts w:ascii="Arial" w:cs="Arial" w:eastAsia="Arial" w:hAnsi="Arial"/>
          <w:color w:val="1A1A1A"/>
          <w:sz w:val="22"/>
          <w:szCs w:val="22"/>
        </w:rPr>
        <w:t xml:space="preserve">Professional waterborne polyurethane systems represent a categorically different class of finishing product compared to consumer-grade formulations. Engineered specifically for commercial cabinetry and furniture production environments, these products deliver film performance, production efficiency, and finish quality that consumer products cannot replicate — regardless of application skill. The distinguishing characteristics include superior crosslink density, faster and more predictable production cycles, better flow and leveling under spray application, and finish quality that meets or exceeds commercial durability standards such as those established by the Kitchen Cabinet Manufacturers Association (KCMA).</w:t>
      </w:r>
    </w:p>
    <w:p>
      <w:pPr>
        <w:spacing w:after="160"/>
        <w:jc w:val="both"/>
      </w:pPr>
      <w:r>
        <w:rPr>
          <w:rFonts w:ascii="Arial" w:cs="Arial" w:eastAsia="Arial" w:hAnsi="Arial"/>
          <w:color w:val="1A1A1A"/>
          <w:sz w:val="22"/>
          <w:szCs w:val="22"/>
        </w:rPr>
        <w:t xml:space="preserve">The European wood coatings industry — led by Italian and German manufacturers — has been producing these systems for decades and remains the technical leader in the category. Brands such as Renner, Milesi, and ICA established the performance benchmarks that domestic manufacturers like General Finishes are now approaching with products such as the Enduro 2K line.</w:t>
      </w:r>
    </w:p>
    <w:p>
      <w:pPr>
        <w:pStyle w:val="Heading2"/>
        <w:spacing w:before="360" w:after="100"/>
      </w:pPr>
      <w:r>
        <w:rPr>
          <w:rFonts w:ascii="Arial" w:cs="Arial" w:eastAsia="Arial" w:hAnsi="Arial"/>
          <w:b/>
          <w:bCs/>
          <w:color w:val="1A1A1A"/>
          <w:sz w:val="26"/>
          <w:szCs w:val="26"/>
        </w:rPr>
        <w:t xml:space="preserve">Understanding 1K and 2K: Component Nomenclature</w:t>
      </w:r>
    </w:p>
    <w:p>
      <w:pPr>
        <w:spacing w:after="160"/>
        <w:jc w:val="both"/>
      </w:pPr>
      <w:r>
        <w:rPr>
          <w:rFonts w:ascii="Arial" w:cs="Arial" w:eastAsia="Arial" w:hAnsi="Arial"/>
          <w:color w:val="1A1A1A"/>
          <w:sz w:val="22"/>
          <w:szCs w:val="22"/>
        </w:rPr>
        <w:t xml:space="preserve">The designations 1K and 2K derive from the German Komponente, meaning component. They indicate the number of reactive components in the system:</w:t>
      </w:r>
    </w:p>
    <w:p>
      <w:pPr>
        <w:pStyle w:val="ListParagraph"/>
        <w:numPr>
          <w:ilvl w:val="0"/>
          <w:numId w:val="2"/>
        </w:numPr>
        <w:spacing w:after="80"/>
      </w:pPr>
      <w:r>
        <w:rPr>
          <w:rFonts w:ascii="Arial" w:cs="Arial" w:eastAsia="Arial" w:hAnsi="Arial"/>
          <w:b w:val="false"/>
          <w:bCs w:val="false"/>
          <w:color w:val="1A1A1A"/>
          <w:sz w:val="22"/>
          <w:szCs w:val="22"/>
        </w:rPr>
        <w:t xml:space="preserve">1K (single-component): The coating is supplied as a single product, ready for application with only thinning as required. Cure is achieved through evaporation and mild self-crosslinking chemistry (PAZ or CDI crosslinkers). No mixing ratio to manage, no pot life constraint. The finish achieves meaningful crosslinking but not to the degree of a catalyzed system.</w:t>
      </w:r>
    </w:p>
    <w:p>
      <w:pPr>
        <w:pStyle w:val="ListParagraph"/>
        <w:numPr>
          <w:ilvl w:val="0"/>
          <w:numId w:val="2"/>
        </w:numPr>
        <w:spacing w:after="80"/>
      </w:pPr>
      <w:r>
        <w:rPr>
          <w:rFonts w:ascii="Arial" w:cs="Arial" w:eastAsia="Arial" w:hAnsi="Arial"/>
          <w:b w:val="false"/>
          <w:bCs w:val="false"/>
          <w:color w:val="1A1A1A"/>
          <w:sz w:val="22"/>
          <w:szCs w:val="22"/>
        </w:rPr>
        <w:t xml:space="preserve">2K (two-component): The coating consists of a resin base (Part A) combined with an isocyanate catalyst/hardener (Part B) immediately prior to application. The two components react exothermically to form a densely crosslinked urethane film with performance characteristics substantially superior to any single-component system. The mixed material has a finite pot life — typically two to four hours at room temperature — after which it becomes too viscous to spray effectively.</w:t>
      </w:r>
    </w:p>
    <w:p>
      <w:pPr>
        <w:spacing w:after="80"/>
      </w:pPr>
      <w:r>
        <w:t xml:space="preserve"/>
      </w:r>
    </w:p>
    <w:p>
      <w:pPr>
        <w:spacing w:after="160"/>
        <w:jc w:val="both"/>
      </w:pPr>
      <w:r>
        <w:rPr>
          <w:rFonts w:ascii="Arial" w:cs="Arial" w:eastAsia="Arial" w:hAnsi="Arial"/>
          <w:color w:val="1A1A1A"/>
          <w:sz w:val="22"/>
          <w:szCs w:val="22"/>
        </w:rPr>
        <w:t xml:space="preserve">An important nuance: certain professional products, such as Renner's 851 series, are designed to function as either a 1K or a 2K system depending on whether the catalyst is added. This flexibility is operationally valuable — the same base product can be used uncatalyzed for lower-demand applications or catalyzed for surfaces requiring maximum durability.</w:t>
      </w:r>
    </w:p>
    <w:p>
      <w:pPr>
        <w:pStyle w:val="Heading2"/>
        <w:spacing w:before="360" w:after="100"/>
      </w:pPr>
      <w:r>
        <w:rPr>
          <w:rFonts w:ascii="Arial" w:cs="Arial" w:eastAsia="Arial" w:hAnsi="Arial"/>
          <w:b/>
          <w:bCs/>
          <w:color w:val="1A1A1A"/>
          <w:sz w:val="26"/>
          <w:szCs w:val="26"/>
        </w:rPr>
        <w:t xml:space="preserve">Professional 1K Waterborne Systems</w:t>
      </w:r>
    </w:p>
    <w:p>
      <w:pPr>
        <w:pStyle w:val="Heading3"/>
        <w:spacing w:before="240" w:after="80"/>
      </w:pPr>
      <w:r>
        <w:rPr>
          <w:rFonts w:ascii="Arial" w:cs="Arial" w:eastAsia="Arial" w:hAnsi="Arial"/>
          <w:b/>
          <w:bCs/>
          <w:color w:val="1C3A5E"/>
          <w:sz w:val="22"/>
          <w:szCs w:val="22"/>
        </w:rPr>
        <w:t xml:space="preserve">Performance Profile</w:t>
      </w:r>
    </w:p>
    <w:p>
      <w:pPr>
        <w:spacing w:after="160"/>
        <w:jc w:val="both"/>
      </w:pPr>
      <w:r>
        <w:rPr>
          <w:rFonts w:ascii="Arial" w:cs="Arial" w:eastAsia="Arial" w:hAnsi="Arial"/>
          <w:color w:val="1A1A1A"/>
          <w:sz w:val="22"/>
          <w:szCs w:val="22"/>
        </w:rPr>
        <w:t xml:space="preserve">Professional 1K waterborne systems occupy the performance tier between consumer water-based products and catalyzed 2K finishes. They deliver significantly better flow, build, and hardness than consumer formulations, and they are capable of meeting KCMA standards in many configurations. For cabinet refinishing in occupied residential environments — where controlling isocyanate exposure is a priority — a professional 1K is often the optimal balance of performance and safety profile.</w:t>
      </w:r>
    </w:p>
    <w:p>
      <w:pPr>
        <w:pStyle w:val="ListParagraph"/>
        <w:numPr>
          <w:ilvl w:val="0"/>
          <w:numId w:val="2"/>
        </w:numPr>
        <w:spacing w:after="80"/>
      </w:pPr>
      <w:r>
        <w:rPr>
          <w:rFonts w:ascii="Arial" w:cs="Arial" w:eastAsia="Arial" w:hAnsi="Arial"/>
          <w:b w:val="false"/>
          <w:bCs w:val="false"/>
          <w:color w:val="1A1A1A"/>
          <w:sz w:val="22"/>
          <w:szCs w:val="22"/>
        </w:rPr>
        <w:t xml:space="preserve">Superior atomization and leveling compared to consumer products when sprayed through HVLP or airless equipment</w:t>
      </w:r>
    </w:p>
    <w:p>
      <w:pPr>
        <w:pStyle w:val="ListParagraph"/>
        <w:numPr>
          <w:ilvl w:val="0"/>
          <w:numId w:val="2"/>
        </w:numPr>
        <w:spacing w:after="80"/>
      </w:pPr>
      <w:r>
        <w:rPr>
          <w:rFonts w:ascii="Arial" w:cs="Arial" w:eastAsia="Arial" w:hAnsi="Arial"/>
          <w:b w:val="false"/>
          <w:bCs w:val="false"/>
          <w:color w:val="1A1A1A"/>
          <w:sz w:val="22"/>
          <w:szCs w:val="22"/>
        </w:rPr>
        <w:t xml:space="preserve">Faster recoat windows — many professional 1K products can be recoated in 45 to 90 minutes under optimal conditions</w:t>
      </w:r>
    </w:p>
    <w:p>
      <w:pPr>
        <w:pStyle w:val="ListParagraph"/>
        <w:numPr>
          <w:ilvl w:val="0"/>
          <w:numId w:val="2"/>
        </w:numPr>
        <w:spacing w:after="80"/>
      </w:pPr>
      <w:r>
        <w:rPr>
          <w:rFonts w:ascii="Arial" w:cs="Arial" w:eastAsia="Arial" w:hAnsi="Arial"/>
          <w:b w:val="false"/>
          <w:bCs w:val="false"/>
          <w:color w:val="1A1A1A"/>
          <w:sz w:val="22"/>
          <w:szCs w:val="22"/>
        </w:rPr>
        <w:t xml:space="preserve">Higher build per coat than consumer formulations</w:t>
      </w:r>
    </w:p>
    <w:p>
      <w:pPr>
        <w:pStyle w:val="ListParagraph"/>
        <w:numPr>
          <w:ilvl w:val="0"/>
          <w:numId w:val="2"/>
        </w:numPr>
        <w:spacing w:after="80"/>
      </w:pPr>
      <w:r>
        <w:rPr>
          <w:rFonts w:ascii="Arial" w:cs="Arial" w:eastAsia="Arial" w:hAnsi="Arial"/>
          <w:b w:val="false"/>
          <w:bCs w:val="false"/>
          <w:color w:val="1A1A1A"/>
          <w:sz w:val="22"/>
          <w:szCs w:val="22"/>
        </w:rPr>
        <w:t xml:space="preserve">More consistent batch-to-batch performance than consumer products</w:t>
      </w:r>
    </w:p>
    <w:p>
      <w:pPr>
        <w:pStyle w:val="ListParagraph"/>
        <w:numPr>
          <w:ilvl w:val="0"/>
          <w:numId w:val="2"/>
        </w:numPr>
        <w:spacing w:after="80"/>
      </w:pPr>
      <w:r>
        <w:rPr>
          <w:rFonts w:ascii="Arial" w:cs="Arial" w:eastAsia="Arial" w:hAnsi="Arial"/>
          <w:b w:val="false"/>
          <w:bCs w:val="false"/>
          <w:color w:val="1A1A1A"/>
          <w:sz w:val="22"/>
          <w:szCs w:val="22"/>
        </w:rPr>
        <w:t xml:space="preserve">No pot life management required — operational flexibility</w:t>
      </w:r>
    </w:p>
    <w:p>
      <w:pPr>
        <w:pStyle w:val="Heading3"/>
        <w:spacing w:before="240" w:after="80"/>
      </w:pPr>
      <w:r>
        <w:rPr>
          <w:rFonts w:ascii="Arial" w:cs="Arial" w:eastAsia="Arial" w:hAnsi="Arial"/>
          <w:b/>
          <w:bCs/>
          <w:color w:val="1C3A5E"/>
          <w:sz w:val="22"/>
          <w:szCs w:val="22"/>
        </w:rPr>
        <w:t xml:space="preserve">Representative Professional 1K Products</w:t>
      </w:r>
    </w:p>
    <w:p>
      <w:pPr>
        <w:pStyle w:val="ListParagraph"/>
        <w:numPr>
          <w:ilvl w:val="0"/>
          <w:numId w:val="2"/>
        </w:numPr>
        <w:spacing w:after="80"/>
      </w:pPr>
      <w:r>
        <w:rPr>
          <w:rFonts w:ascii="Arial" w:cs="Arial" w:eastAsia="Arial" w:hAnsi="Arial"/>
          <w:b w:val="false"/>
          <w:bCs w:val="false"/>
          <w:color w:val="1A1A1A"/>
          <w:sz w:val="22"/>
          <w:szCs w:val="22"/>
        </w:rPr>
        <w:t xml:space="preserve">Renner 851 Series (uncatalyzed): The most widely discussed professional waterborne system in the North American cabinet finishing community. Fast drying, excellent sandability, outstanding finish quality when properly applied.</w:t>
      </w:r>
    </w:p>
    <w:p>
      <w:pPr>
        <w:pStyle w:val="ListParagraph"/>
        <w:numPr>
          <w:ilvl w:val="0"/>
          <w:numId w:val="2"/>
        </w:numPr>
        <w:spacing w:after="80"/>
      </w:pPr>
      <w:r>
        <w:rPr>
          <w:rFonts w:ascii="Arial" w:cs="Arial" w:eastAsia="Arial" w:hAnsi="Arial"/>
          <w:b w:val="false"/>
          <w:bCs w:val="false"/>
          <w:color w:val="1A1A1A"/>
          <w:sz w:val="22"/>
          <w:szCs w:val="22"/>
        </w:rPr>
        <w:t xml:space="preserve">Renner 1094 / 1245 Waterborne Topcoats: Additional 1K options within the Renner line for furniture and cabinetry.</w:t>
      </w:r>
    </w:p>
    <w:p>
      <w:pPr>
        <w:pStyle w:val="ListParagraph"/>
        <w:numPr>
          <w:ilvl w:val="0"/>
          <w:numId w:val="2"/>
        </w:numPr>
        <w:spacing w:after="80"/>
      </w:pPr>
      <w:r>
        <w:rPr>
          <w:rFonts w:ascii="Arial" w:cs="Arial" w:eastAsia="Arial" w:hAnsi="Arial"/>
          <w:b w:val="false"/>
          <w:bCs w:val="false"/>
          <w:color w:val="1A1A1A"/>
          <w:sz w:val="22"/>
          <w:szCs w:val="22"/>
        </w:rPr>
        <w:t xml:space="preserve">Milesi 1K Waterborne: Italian-engineered; exceptional clarity and flow characteristics.</w:t>
      </w:r>
    </w:p>
    <w:p>
      <w:pPr>
        <w:pStyle w:val="ListParagraph"/>
        <w:numPr>
          <w:ilvl w:val="0"/>
          <w:numId w:val="2"/>
        </w:numPr>
        <w:spacing w:after="80"/>
      </w:pPr>
      <w:r>
        <w:rPr>
          <w:rFonts w:ascii="Arial" w:cs="Arial" w:eastAsia="Arial" w:hAnsi="Arial"/>
          <w:b w:val="false"/>
          <w:bCs w:val="false"/>
          <w:color w:val="1A1A1A"/>
          <w:sz w:val="22"/>
          <w:szCs w:val="22"/>
        </w:rPr>
        <w:t xml:space="preserve">General Finishes Enduro (1K): Domestically produced; accessible through finishing supply distributors; an established entry point into professional 1K finishing for shops transitioning from consumer products.</w:t>
      </w:r>
    </w:p>
    <w:p>
      <w:pPr>
        <w:pStyle w:val="ListParagraph"/>
        <w:numPr>
          <w:ilvl w:val="0"/>
          <w:numId w:val="2"/>
        </w:numPr>
        <w:spacing w:after="80"/>
      </w:pPr>
      <w:r>
        <w:rPr>
          <w:rFonts w:ascii="Arial" w:cs="Arial" w:eastAsia="Arial" w:hAnsi="Arial"/>
          <w:b w:val="false"/>
          <w:bCs w:val="false"/>
          <w:color w:val="1A1A1A"/>
          <w:sz w:val="22"/>
          <w:szCs w:val="22"/>
        </w:rPr>
        <w:t xml:space="preserve">Envirolak T-Series: Canadian formulation with strong market presence, particularly valued for primer performance on MDF substrates.</w:t>
      </w:r>
    </w:p>
    <w:p>
      <w:pPr>
        <w:pStyle w:val="Heading2"/>
        <w:spacing w:before="360" w:after="100"/>
      </w:pPr>
      <w:r>
        <w:rPr>
          <w:rFonts w:ascii="Arial" w:cs="Arial" w:eastAsia="Arial" w:hAnsi="Arial"/>
          <w:b/>
          <w:bCs/>
          <w:color w:val="1A1A1A"/>
          <w:sz w:val="26"/>
          <w:szCs w:val="26"/>
        </w:rPr>
        <w:t xml:space="preserve">Professional 2K Waterborne Systems</w:t>
      </w:r>
    </w:p>
    <w:p>
      <w:pPr>
        <w:pStyle w:val="Heading3"/>
        <w:spacing w:before="240" w:after="80"/>
      </w:pPr>
      <w:r>
        <w:rPr>
          <w:rFonts w:ascii="Arial" w:cs="Arial" w:eastAsia="Arial" w:hAnsi="Arial"/>
          <w:b/>
          <w:bCs/>
          <w:color w:val="1C3A5E"/>
          <w:sz w:val="22"/>
          <w:szCs w:val="22"/>
        </w:rPr>
        <w:t xml:space="preserve">Performance Profile</w:t>
      </w:r>
    </w:p>
    <w:p>
      <w:pPr>
        <w:spacing w:after="160"/>
        <w:jc w:val="both"/>
      </w:pPr>
      <w:r>
        <w:rPr>
          <w:rFonts w:ascii="Arial" w:cs="Arial" w:eastAsia="Arial" w:hAnsi="Arial"/>
          <w:color w:val="1A1A1A"/>
          <w:sz w:val="22"/>
          <w:szCs w:val="22"/>
        </w:rPr>
        <w:t xml:space="preserve">Two-component waterborne polyurethane is the current performance standard for high-use commercial cabinetry and furniture finishing. The isocyanate catalyst — typically hexamethylene diisocyanate (HDI) in waterborne formulations — reacts with the hydroxyl groups in the resin to form a densely crosslinked polymer network that no single-component system can replicate. The result is a finish with exceptional scratch resistance, chemical resistance, UV stability, and longevity under sustained daily use.</w:t>
      </w:r>
    </w:p>
    <w:p>
      <w:pPr>
        <w:spacing w:after="160"/>
        <w:jc w:val="both"/>
      </w:pPr>
      <w:r>
        <w:rPr>
          <w:rFonts w:ascii="Arial" w:cs="Arial" w:eastAsia="Arial" w:hAnsi="Arial"/>
          <w:color w:val="1A1A1A"/>
          <w:sz w:val="22"/>
          <w:szCs w:val="22"/>
        </w:rPr>
        <w:t xml:space="preserve">The operational profile of 2K systems demands more disciplined workflow than 1K products. The pot life constraint requires that spraying sessions be planned deliberately, mixed volumes calculated in advance, and spray equipment cleaned before the mixed material reaches the end of its working life. These are manageable constraints in a professional shop context, but they represent a meaningful operational change for finishers accustomed to single-component products.</w:t>
      </w:r>
    </w:p>
    <w:p>
      <w:pPr>
        <w:pStyle w:val="Heading3"/>
        <w:spacing w:before="240" w:after="80"/>
      </w:pPr>
      <w:r>
        <w:rPr>
          <w:rFonts w:ascii="Arial" w:cs="Arial" w:eastAsia="Arial" w:hAnsi="Arial"/>
          <w:b/>
          <w:bCs/>
          <w:color w:val="1C3A5E"/>
          <w:sz w:val="22"/>
          <w:szCs w:val="22"/>
        </w:rPr>
        <w:t xml:space="preserve">Key Performance Advantages Over 1K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Performance Attribute</w:t>
            </w:r>
          </w:p>
        </w:tc>
        <w:tc>
          <w:tcPr>
            <w:tcW w:type="dxa" w:w="3120"/>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1K Professional</w:t>
            </w:r>
          </w:p>
        </w:tc>
        <w:tc>
          <w:tcPr>
            <w:tcW w:type="dxa" w:w="3120"/>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2K Professional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Film hardness (pencil hardness scale)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H to 2H typical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3H to 5H typical</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Chemical resistance</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Good — handles mild cleaners and food contact</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Excellent — handles aggressive cleaning agents, alcohol, acids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Scratch and abrasion resistance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Good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Excellent — approaches automotive-grade surface hardness</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UV resistance</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Moderate</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Excellent — maintains clarity and adhesion under UV exposure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Production speed (recoat)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45 to 90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45 to 60 minutes for many formulations</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Full cure time</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12 to 24 hours</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8 hours (Renner 851); 5 days for some formulations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Pot life after mixing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2 to 4 hours depending on product and temperature</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Isocyanate exposure during spray</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Residual — lower risk</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Elevated — free isocyanate present; full PPE required</w:t>
            </w:r>
          </w:p>
        </w:tc>
      </w:tr>
    </w:tbl>
    <w:p>
      <w:pPr>
        <w:spacing w:after="80"/>
      </w:pPr>
      <w:r>
        <w:t xml:space="preserve"/>
      </w:r>
    </w:p>
    <w:p>
      <w:pPr>
        <w:pStyle w:val="Heading3"/>
        <w:spacing w:before="240" w:after="80"/>
      </w:pPr>
      <w:r>
        <w:rPr>
          <w:rFonts w:ascii="Arial" w:cs="Arial" w:eastAsia="Arial" w:hAnsi="Arial"/>
          <w:b/>
          <w:bCs/>
          <w:color w:val="1C3A5E"/>
          <w:sz w:val="22"/>
          <w:szCs w:val="22"/>
        </w:rPr>
        <w:t xml:space="preserve">Representative Professional 2K Products</w:t>
      </w:r>
    </w:p>
    <w:p>
      <w:pPr>
        <w:pStyle w:val="ListParagraph"/>
        <w:numPr>
          <w:ilvl w:val="0"/>
          <w:numId w:val="2"/>
        </w:numPr>
        <w:spacing w:after="80"/>
      </w:pPr>
      <w:r>
        <w:rPr>
          <w:rFonts w:ascii="Arial" w:cs="Arial" w:eastAsia="Arial" w:hAnsi="Arial"/>
          <w:b w:val="false"/>
          <w:bCs w:val="false"/>
          <w:color w:val="1A1A1A"/>
          <w:sz w:val="22"/>
          <w:szCs w:val="22"/>
        </w:rPr>
        <w:t xml:space="preserve">Renner 851 Series (catalyzed): The benchmark 2K waterborne system in the professional cabinet finishing market. Dry to touch in 45 to 60 minutes; sandable within 1 hour; 3 to 4 coats achievable in a single production day. Full cure in approximately 8 hours when catalyzed. Available through specialty finishing supply distributors.</w:t>
      </w:r>
    </w:p>
    <w:p>
      <w:pPr>
        <w:pStyle w:val="ListParagraph"/>
        <w:numPr>
          <w:ilvl w:val="0"/>
          <w:numId w:val="2"/>
        </w:numPr>
        <w:spacing w:after="80"/>
      </w:pPr>
      <w:r>
        <w:rPr>
          <w:rFonts w:ascii="Arial" w:cs="Arial" w:eastAsia="Arial" w:hAnsi="Arial"/>
          <w:b w:val="false"/>
          <w:bCs w:val="false"/>
          <w:color w:val="1A1A1A"/>
          <w:sz w:val="22"/>
          <w:szCs w:val="22"/>
        </w:rPr>
        <w:t xml:space="preserve">Milesi 2K Waterborne: Italian formulation with outstanding clarity and a characteristic glass-like finish quality. Pot life approximately 2 hours — requires faster-paced workflow than Renner. Premium product positioning.</w:t>
      </w:r>
    </w:p>
    <w:p>
      <w:pPr>
        <w:pStyle w:val="ListParagraph"/>
        <w:numPr>
          <w:ilvl w:val="0"/>
          <w:numId w:val="2"/>
        </w:numPr>
        <w:spacing w:after="80"/>
      </w:pPr>
      <w:r>
        <w:rPr>
          <w:rFonts w:ascii="Arial" w:cs="Arial" w:eastAsia="Arial" w:hAnsi="Arial"/>
          <w:b w:val="false"/>
          <w:bCs w:val="false"/>
          <w:color w:val="1A1A1A"/>
          <w:sz w:val="22"/>
          <w:szCs w:val="22"/>
        </w:rPr>
        <w:t xml:space="preserve">General Finishes Enduro 2K: US-manufactured; broadly available through domestic finishing suppliers. Isocyanate-catalyzed; 4-hour pot life; rated for interior and exterior use. An accessible entry point for domestic shops.</w:t>
      </w:r>
    </w:p>
    <w:p>
      <w:pPr>
        <w:pStyle w:val="ListParagraph"/>
        <w:numPr>
          <w:ilvl w:val="0"/>
          <w:numId w:val="2"/>
        </w:numPr>
        <w:spacing w:after="80"/>
      </w:pPr>
      <w:r>
        <w:rPr>
          <w:rFonts w:ascii="Arial" w:cs="Arial" w:eastAsia="Arial" w:hAnsi="Arial"/>
          <w:b w:val="false"/>
          <w:bCs w:val="false"/>
          <w:color w:val="1A1A1A"/>
          <w:sz w:val="22"/>
          <w:szCs w:val="22"/>
        </w:rPr>
        <w:t xml:space="preserve">ICA Waterborne 2K: European manufacturer with strong commercial track record; EuHIA award recipient for waterborne technology.</w:t>
      </w:r>
    </w:p>
    <w:p>
      <w:pPr>
        <w:pStyle w:val="ListParagraph"/>
        <w:numPr>
          <w:ilvl w:val="0"/>
          <w:numId w:val="2"/>
        </w:numPr>
        <w:spacing w:after="80"/>
      </w:pPr>
      <w:r>
        <w:rPr>
          <w:rFonts w:ascii="Arial" w:cs="Arial" w:eastAsia="Arial" w:hAnsi="Arial"/>
          <w:b w:val="false"/>
          <w:bCs w:val="false"/>
          <w:color w:val="1A1A1A"/>
          <w:sz w:val="22"/>
          <w:szCs w:val="22"/>
        </w:rPr>
        <w:t xml:space="preserve">Envirolak 2K: Canadian formulation; consistent performance profile; strong support from domestic distribution network.</w:t>
      </w:r>
    </w:p>
    <w:p>
      <w:pPr>
        <w:pStyle w:val="Heading3"/>
        <w:spacing w:before="240" w:after="80"/>
      </w:pPr>
      <w:r>
        <w:rPr>
          <w:rFonts w:ascii="Arial" w:cs="Arial" w:eastAsia="Arial" w:hAnsi="Arial"/>
          <w:b/>
          <w:bCs/>
          <w:color w:val="1C3A5E"/>
          <w:sz w:val="22"/>
          <w:szCs w:val="22"/>
        </w:rPr>
        <w:t xml:space="preserve">Pot Life — Operational Implications</w:t>
      </w:r>
    </w:p>
    <w:p>
      <w:pPr>
        <w:spacing w:after="160"/>
        <w:jc w:val="both"/>
      </w:pPr>
      <w:r>
        <w:rPr>
          <w:rFonts w:ascii="Arial" w:cs="Arial" w:eastAsia="Arial" w:hAnsi="Arial"/>
          <w:color w:val="1A1A1A"/>
          <w:sz w:val="22"/>
          <w:szCs w:val="22"/>
        </w:rPr>
        <w:t xml:space="preserve">Pot life refers to the interval between catalyzation and the point at which the mixed material becomes too viscous for effective application. It is a function of chemistry, temperature, and mixing ratio. Pot life is typically stated at 68 to 72 degrees Fahrenheit (20 to 22 degrees Celsius) — higher temperatures shorten it meaningfully.</w:t>
      </w:r>
    </w:p>
    <w:p>
      <w:pPr>
        <w:pStyle w:val="ListParagraph"/>
        <w:numPr>
          <w:ilvl w:val="0"/>
          <w:numId w:val="2"/>
        </w:numPr>
        <w:spacing w:after="80"/>
      </w:pPr>
      <w:r>
        <w:rPr>
          <w:rFonts w:ascii="Arial" w:cs="Arial" w:eastAsia="Arial" w:hAnsi="Arial"/>
          <w:b w:val="false"/>
          <w:bCs w:val="false"/>
          <w:color w:val="1A1A1A"/>
          <w:sz w:val="22"/>
          <w:szCs w:val="22"/>
        </w:rPr>
        <w:t xml:space="preserve">Renner 851 (catalyzed): Approximately 4-hour pot life at 68 degrees F</w:t>
      </w:r>
    </w:p>
    <w:p>
      <w:pPr>
        <w:pStyle w:val="ListParagraph"/>
        <w:numPr>
          <w:ilvl w:val="0"/>
          <w:numId w:val="2"/>
        </w:numPr>
        <w:spacing w:after="80"/>
      </w:pPr>
      <w:r>
        <w:rPr>
          <w:rFonts w:ascii="Arial" w:cs="Arial" w:eastAsia="Arial" w:hAnsi="Arial"/>
          <w:b w:val="false"/>
          <w:bCs w:val="false"/>
          <w:color w:val="1A1A1A"/>
          <w:sz w:val="22"/>
          <w:szCs w:val="22"/>
        </w:rPr>
        <w:t xml:space="preserve">Milesi 2K: Approximately 2-hour pot life — the most demanding operationally of the common professional systems</w:t>
      </w:r>
    </w:p>
    <w:p>
      <w:pPr>
        <w:pStyle w:val="ListParagraph"/>
        <w:numPr>
          <w:ilvl w:val="0"/>
          <w:numId w:val="2"/>
        </w:numPr>
        <w:spacing w:after="80"/>
      </w:pPr>
      <w:r>
        <w:rPr>
          <w:rFonts w:ascii="Arial" w:cs="Arial" w:eastAsia="Arial" w:hAnsi="Arial"/>
          <w:b w:val="false"/>
          <w:bCs w:val="false"/>
          <w:color w:val="1A1A1A"/>
          <w:sz w:val="22"/>
          <w:szCs w:val="22"/>
        </w:rPr>
        <w:t xml:space="preserve">General Finishes Enduro 2K: Approximately 4-hour pot life</w:t>
      </w:r>
    </w:p>
    <w:p>
      <w:pPr>
        <w:spacing w:after="160"/>
        <w:jc w:val="both"/>
      </w:pPr>
      <w:r>
        <w:rPr>
          <w:rFonts w:ascii="Arial" w:cs="Arial" w:eastAsia="Arial" w:hAnsi="Arial"/>
          <w:color w:val="1A1A1A"/>
          <w:sz w:val="22"/>
          <w:szCs w:val="22"/>
        </w:rPr>
        <w:t xml:space="preserve">The practical implication: mix only the volume of material that can be applied within the pot life window. Clean spray equipment before the window closes. Mixed material that exceeds its pot life cannot be salvaged — it must be allowed to cure and be disposed of as solid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00" w:sz="1"/>
              <w:left w:val="single" w:color="7B2D00" w:sz="1"/>
              <w:bottom w:val="single" w:color="7B2D00" w:sz="1"/>
              <w:right w:val="single" w:color="7B2D00" w:sz="1"/>
            </w:tcBorders>
            <w:shd w:fill="FFF4ED" w:val="clear"/>
            <w:tcMar>
              <w:top w:type="dxa" w:w="180"/>
              <w:left w:type="dxa" w:w="240"/>
              <w:bottom w:type="dxa" w:w="180"/>
              <w:right w:type="dxa" w:w="240"/>
            </w:tcMar>
          </w:tcPr>
          <w:p>
            <w:pPr>
              <w:spacing w:after="80"/>
            </w:pPr>
            <w:r>
              <w:rPr>
                <w:rFonts w:ascii="Arial" w:cs="Arial" w:eastAsia="Arial" w:hAnsi="Arial"/>
                <w:b/>
                <w:bCs/>
                <w:caps/>
                <w:color w:val="7B2D00"/>
                <w:sz w:val="21"/>
                <w:szCs w:val="21"/>
              </w:rPr>
              <w:t xml:space="preserve">Safety Notice</w:t>
            </w:r>
          </w:p>
          <w:p>
            <w:pPr>
              <w:spacing w:after="60"/>
              <w:jc w:val="both"/>
            </w:pPr>
            <w:r>
              <w:rPr>
                <w:rFonts w:ascii="Arial" w:cs="Arial" w:eastAsia="Arial" w:hAnsi="Arial"/>
                <w:color w:val="1A1A1A"/>
                <w:sz w:val="21"/>
                <w:szCs w:val="21"/>
              </w:rPr>
              <w:t xml:space="preserve">Two-component polyurethane systems containing isocyanate catalysts present the highest occupational health risk of any finishing product category addressed in this guide. The following information is not precautionary boilerplate — it reflects established occupational medicine and regulatory guidance from NIOSH and OSHA.</w:t>
            </w:r>
          </w:p>
          <w:p>
            <w:pPr>
              <w:spacing w:after="60"/>
              <w:jc w:val="both"/>
            </w:pPr>
            <w:r>
              <w:rPr>
                <w:rFonts w:ascii="Arial" w:cs="Arial" w:eastAsia="Arial" w:hAnsi="Arial"/>
                <w:color w:val="1A1A1A"/>
                <w:sz w:val="21"/>
                <w:szCs w:val="21"/>
              </w:rPr>
              <w:t xml:space="preserve">Isocyanates are respiratory sensitizers. Repeated exposure — even at concentrations below established permissible exposure limits — can induce permanent immunological sensitization. Once sensitized, an individual may experience severe asthmatic or anaphylactic reactions upon subsequent exposures at any concentration. This sensitization is irreversible.</w:t>
            </w:r>
          </w:p>
          <w:p>
            <w:pPr>
              <w:spacing w:after="60"/>
              <w:jc w:val="both"/>
            </w:pPr>
            <w:r>
              <w:rPr>
                <w:rFonts w:ascii="Arial" w:cs="Arial" w:eastAsia="Arial" w:hAnsi="Arial"/>
                <w:color w:val="1A1A1A"/>
                <w:sz w:val="21"/>
                <w:szCs w:val="21"/>
              </w:rPr>
              <w:t xml:space="preserve">Isocyanates are also absorbed transdermally. Skin contact with uncured 2K material can itself induce sensitization, not only inhalation. Full skin coverage — chemical-resistant gloves, long sleeves, no exposed skin — is required.</w:t>
            </w:r>
          </w:p>
          <w:p>
            <w:pPr>
              <w:spacing w:after="60"/>
              <w:jc w:val="both"/>
            </w:pPr>
            <w:r>
              <w:rPr>
                <w:rFonts w:ascii="Arial" w:cs="Arial" w:eastAsia="Arial" w:hAnsi="Arial"/>
                <w:color w:val="1A1A1A"/>
                <w:sz w:val="21"/>
                <w:szCs w:val="21"/>
              </w:rPr>
              <w:t xml:space="preserve">During spray application of 2K products: a supplied-air respirator (PAPR or airline) is the recommended control measure for regular professional use. For occasional use, a half-face respirator with OV/P100 cartridges is the minimum acceptable PPE — a half-face OV respirator alone is insufficient.</w:t>
            </w:r>
          </w:p>
          <w:p>
            <w:pPr>
              <w:spacing w:after="60"/>
              <w:jc w:val="both"/>
            </w:pPr>
            <w:r>
              <w:rPr>
                <w:rFonts w:ascii="Arial" w:cs="Arial" w:eastAsia="Arial" w:hAnsi="Arial"/>
                <w:color w:val="1A1A1A"/>
                <w:sz w:val="21"/>
                <w:szCs w:val="21"/>
              </w:rPr>
              <w:t xml:space="preserve">Once a 2K coating has fully cured, the isocyanate has reacted completely into the polymer network. The cured surface is chemically inert and presents no ongoing hazard to end users or building occupants.</w:t>
            </w:r>
          </w:p>
          <w:p>
            <w:pPr>
              <w:spacing w:after="60"/>
              <w:jc w:val="both"/>
            </w:pPr>
            <w:r>
              <w:rPr>
                <w:rFonts w:ascii="Arial" w:cs="Arial" w:eastAsia="Arial" w:hAnsi="Arial"/>
                <w:color w:val="1A1A1A"/>
                <w:sz w:val="21"/>
                <w:szCs w:val="21"/>
              </w:rPr>
              <w:t xml:space="preserve">Neither Renner, Milesi, nor any other 2K product manufacturer can be held responsible for health consequences resulting from application without proper PPE. Review the Safety Data Sheet (SDS) for every product before use.</w:t>
            </w:r>
          </w:p>
        </w:tc>
      </w:tr>
    </w:tbl>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Section 5: Product Selection — Matching Finish to Application</w:t>
      </w:r>
    </w:p>
    <w:p>
      <w:pPr>
        <w:spacing w:after="160"/>
        <w:jc w:val="both"/>
      </w:pPr>
      <w:r>
        <w:rPr>
          <w:rFonts w:ascii="Arial" w:cs="Arial" w:eastAsia="Arial" w:hAnsi="Arial"/>
          <w:color w:val="1A1A1A"/>
          <w:sz w:val="22"/>
          <w:szCs w:val="22"/>
        </w:rPr>
        <w:t xml:space="preserve">Selecting the appropriate polyurethane system requires evaluation of several interdependent variables: the substrate and species, the intended service environment, the applicator's equipment and skill level, the safety infrastructure available, and the performance standard required by the end use or client. The following framework structures this decision.</w:t>
      </w:r>
    </w:p>
    <w:p>
      <w:pPr>
        <w:pStyle w:val="Heading2"/>
        <w:spacing w:before="360" w:after="100"/>
      </w:pPr>
      <w:r>
        <w:rPr>
          <w:rFonts w:ascii="Arial" w:cs="Arial" w:eastAsia="Arial" w:hAnsi="Arial"/>
          <w:b/>
          <w:bCs/>
          <w:color w:val="1A1A1A"/>
          <w:sz w:val="26"/>
          <w:szCs w:val="26"/>
        </w:rPr>
        <w:t xml:space="preserve">Selection by End User and Application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A5E" w:sz="1"/>
              <w:left w:val="single" w:color="1C3A5E" w:sz="1"/>
              <w:bottom w:val="single" w:color="1C3A5E" w:sz="1"/>
              <w:right w:val="single" w:color="1C3A5E" w:sz="1"/>
            </w:tcBorders>
            <w:shd w:fill="EAF0F8" w:val="clear"/>
            <w:tcMar>
              <w:top w:type="dxa" w:w="180"/>
              <w:left w:type="dxa" w:w="240"/>
              <w:bottom w:type="dxa" w:w="180"/>
              <w:right w:type="dxa" w:w="240"/>
            </w:tcMar>
          </w:tcPr>
          <w:p>
            <w:pPr>
              <w:spacing w:after="80"/>
            </w:pPr>
            <w:r>
              <w:rPr>
                <w:rFonts w:ascii="Arial" w:cs="Arial" w:eastAsia="Arial" w:hAnsi="Arial"/>
                <w:b/>
                <w:bCs/>
                <w:caps/>
                <w:color w:val="1C3A5E"/>
                <w:sz w:val="21"/>
                <w:szCs w:val="21"/>
              </w:rPr>
              <w:t xml:space="preserve">For the DIY Finisher — Brush or Wipe Application</w:t>
            </w:r>
          </w:p>
          <w:p>
            <w:pPr>
              <w:spacing w:after="60"/>
              <w:jc w:val="both"/>
            </w:pPr>
            <w:r>
              <w:rPr>
                <w:rFonts w:ascii="Arial" w:cs="Arial" w:eastAsia="Arial" w:hAnsi="Arial"/>
                <w:color w:val="1A1A1A"/>
                <w:sz w:val="21"/>
                <w:szCs w:val="21"/>
              </w:rPr>
              <w:t xml:space="preserve">Appropriate products: Consumer oil-based (dark woods, traditional aesthetics) or consumer water-based (light woods, modern aesthetics, low-odor environments).</w:t>
            </w:r>
          </w:p>
          <w:p>
            <w:pPr>
              <w:spacing w:after="60"/>
              <w:jc w:val="both"/>
            </w:pPr>
            <w:r>
              <w:rPr>
                <w:rFonts w:ascii="Arial" w:cs="Arial" w:eastAsia="Arial" w:hAnsi="Arial"/>
                <w:color w:val="1A1A1A"/>
                <w:sz w:val="21"/>
                <w:szCs w:val="21"/>
              </w:rPr>
              <w:t xml:space="preserve">Recommended: Varathane Ultimate Polyurethane (oil-based) or General Finishes High Performance Top Coat (water-based).</w:t>
            </w:r>
          </w:p>
          <w:p>
            <w:pPr>
              <w:spacing w:after="60"/>
              <w:jc w:val="both"/>
            </w:pPr>
            <w:r>
              <w:rPr>
                <w:rFonts w:ascii="Arial" w:cs="Arial" w:eastAsia="Arial" w:hAnsi="Arial"/>
                <w:color w:val="1A1A1A"/>
                <w:sz w:val="21"/>
                <w:szCs w:val="21"/>
              </w:rPr>
              <w:t xml:space="preserve">Key consideration: Product selection is secondary to proper surface preparation and technique. A well-applied consumer product will consistently outperform a poorly applied professional one.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A5E" w:sz="1"/>
              <w:left w:val="single" w:color="1C3A5E" w:sz="1"/>
              <w:bottom w:val="single" w:color="1C3A5E" w:sz="1"/>
              <w:right w:val="single" w:color="1C3A5E" w:sz="1"/>
            </w:tcBorders>
            <w:shd w:fill="EAF0F8" w:val="clear"/>
            <w:tcMar>
              <w:top w:type="dxa" w:w="180"/>
              <w:left w:type="dxa" w:w="240"/>
              <w:bottom w:type="dxa" w:w="180"/>
              <w:right w:type="dxa" w:w="240"/>
            </w:tcMar>
          </w:tcPr>
          <w:p>
            <w:pPr>
              <w:spacing w:after="80"/>
            </w:pPr>
            <w:r>
              <w:rPr>
                <w:rFonts w:ascii="Arial" w:cs="Arial" w:eastAsia="Arial" w:hAnsi="Arial"/>
                <w:b/>
                <w:bCs/>
                <w:caps/>
                <w:color w:val="1C3A5E"/>
                <w:sz w:val="21"/>
                <w:szCs w:val="21"/>
              </w:rPr>
              <w:t xml:space="preserve">For the Hobbyist Woodworker — Seeking Improved Results</w:t>
            </w:r>
          </w:p>
          <w:p>
            <w:pPr>
              <w:spacing w:after="60"/>
              <w:jc w:val="both"/>
            </w:pPr>
            <w:r>
              <w:rPr>
                <w:rFonts w:ascii="Arial" w:cs="Arial" w:eastAsia="Arial" w:hAnsi="Arial"/>
                <w:color w:val="1A1A1A"/>
                <w:sz w:val="21"/>
                <w:szCs w:val="21"/>
              </w:rPr>
              <w:t xml:space="preserve">Appropriate products: High-quality consumer water-based with self-crosslinking chemistry, or entry-level professional 1K via spray.</w:t>
            </w:r>
          </w:p>
          <w:p>
            <w:pPr>
              <w:spacing w:after="60"/>
              <w:jc w:val="both"/>
            </w:pPr>
            <w:r>
              <w:rPr>
                <w:rFonts w:ascii="Arial" w:cs="Arial" w:eastAsia="Arial" w:hAnsi="Arial"/>
                <w:color w:val="1A1A1A"/>
                <w:sz w:val="21"/>
                <w:szCs w:val="21"/>
              </w:rPr>
              <w:t xml:space="preserve">Recommended: General Finishes Enduro (spray application) or Arm-R-Seal (brush/wipe). If spray equipment is available, Renner or Milesi 1K products become accessible and deliver a material improvement in finish quality.</w:t>
            </w:r>
          </w:p>
          <w:p>
            <w:pPr>
              <w:spacing w:after="60"/>
              <w:jc w:val="both"/>
            </w:pPr>
            <w:r>
              <w:rPr>
                <w:rFonts w:ascii="Arial" w:cs="Arial" w:eastAsia="Arial" w:hAnsi="Arial"/>
                <w:color w:val="1A1A1A"/>
                <w:sz w:val="21"/>
                <w:szCs w:val="21"/>
              </w:rPr>
              <w:t xml:space="preserve">Key consideration: If investing in spray equipment, allocate budget for proper respiratory protection simultaneously — the two are inseparable.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A5E" w:sz="1"/>
              <w:left w:val="single" w:color="1C3A5E" w:sz="1"/>
              <w:bottom w:val="single" w:color="1C3A5E" w:sz="1"/>
              <w:right w:val="single" w:color="1C3A5E" w:sz="1"/>
            </w:tcBorders>
            <w:shd w:fill="EAF0F8" w:val="clear"/>
            <w:tcMar>
              <w:top w:type="dxa" w:w="180"/>
              <w:left w:type="dxa" w:w="240"/>
              <w:bottom w:type="dxa" w:w="180"/>
              <w:right w:type="dxa" w:w="240"/>
            </w:tcMar>
          </w:tcPr>
          <w:p>
            <w:pPr>
              <w:spacing w:after="80"/>
            </w:pPr>
            <w:r>
              <w:rPr>
                <w:rFonts w:ascii="Arial" w:cs="Arial" w:eastAsia="Arial" w:hAnsi="Arial"/>
                <w:b/>
                <w:bCs/>
                <w:caps/>
                <w:color w:val="1C3A5E"/>
                <w:sz w:val="21"/>
                <w:szCs w:val="21"/>
              </w:rPr>
              <w:t xml:space="preserve">For the Cabinet Maker or Furniture Builder — In-House Finishing</w:t>
            </w:r>
          </w:p>
          <w:p>
            <w:pPr>
              <w:spacing w:after="60"/>
              <w:jc w:val="both"/>
            </w:pPr>
            <w:r>
              <w:rPr>
                <w:rFonts w:ascii="Arial" w:cs="Arial" w:eastAsia="Arial" w:hAnsi="Arial"/>
                <w:color w:val="1A1A1A"/>
                <w:sz w:val="21"/>
                <w:szCs w:val="21"/>
              </w:rPr>
              <w:t xml:space="preserve">Refinishing in occupied residential spaces: Professional 1K (Renner 851 uncatalyzed, Milesi 1K, GF Enduro). Reduces isocyanate exposure in environments where occupant safety cannot be fully controlled. Still requires spray respirator and ventilation.</w:t>
            </w:r>
          </w:p>
          <w:p>
            <w:pPr>
              <w:spacing w:after="60"/>
              <w:jc w:val="both"/>
            </w:pPr>
            <w:r>
              <w:rPr>
                <w:rFonts w:ascii="Arial" w:cs="Arial" w:eastAsia="Arial" w:hAnsi="Arial"/>
                <w:color w:val="1A1A1A"/>
                <w:sz w:val="21"/>
                <w:szCs w:val="21"/>
              </w:rPr>
              <w:t xml:space="preserve">New construction in a shop environment: Professional 2K is the industry standard. The performance differential over 1K is meaningful for kitchen cabinetry that will sustain years of cleaning agent exposure and daily contact.</w:t>
            </w:r>
          </w:p>
          <w:p>
            <w:pPr>
              <w:spacing w:after="60"/>
              <w:jc w:val="both"/>
            </w:pPr>
            <w:r>
              <w:rPr>
                <w:rFonts w:ascii="Arial" w:cs="Arial" w:eastAsia="Arial" w:hAnsi="Arial"/>
                <w:color w:val="1A1A1A"/>
                <w:sz w:val="21"/>
                <w:szCs w:val="21"/>
              </w:rPr>
              <w:t xml:space="preserve">High-use furniture — dining tables, restaurant or commercial pieces: 2K is the appropriate specification. The scratch and chemical resistance of a catalyzed system is not replicable with 1K chemistry.</w:t>
            </w:r>
          </w:p>
          <w:p>
            <w:pPr>
              <w:spacing w:after="60"/>
              <w:jc w:val="both"/>
            </w:pPr>
            <w:r>
              <w:rPr>
                <w:rFonts w:ascii="Arial" w:cs="Arial" w:eastAsia="Arial" w:hAnsi="Arial"/>
                <w:color w:val="1A1A1A"/>
                <w:sz w:val="21"/>
                <w:szCs w:val="21"/>
              </w:rPr>
              <w:t xml:space="preserve">Key consideration: The transition to 2K finishing requires a concurrent investment in proper ventilation infrastructure and PPE. This is not optional — it is a regulatory and ethical obligation.</w:t>
            </w:r>
          </w:p>
        </w:tc>
      </w:tr>
    </w:tbl>
    <w:p>
      <w:pPr>
        <w:spacing w:after="80"/>
      </w:pPr>
      <w:r>
        <w:t xml:space="preserve"/>
      </w:r>
    </w:p>
    <w:p>
      <w:pPr>
        <w:pStyle w:val="Heading2"/>
        <w:spacing w:before="360" w:after="100"/>
      </w:pPr>
      <w:r>
        <w:rPr>
          <w:rFonts w:ascii="Arial" w:cs="Arial" w:eastAsia="Arial" w:hAnsi="Arial"/>
          <w:b/>
          <w:bCs/>
          <w:color w:val="1A1A1A"/>
          <w:sz w:val="26"/>
          <w:szCs w:val="26"/>
        </w:rPr>
        <w:t xml:space="preserve">Selection by Wood Species and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Wood / Aesthetic Goal</w:t>
            </w:r>
          </w:p>
        </w:tc>
        <w:tc>
          <w:tcPr>
            <w:tcW w:type="dxa" w:w="3120"/>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Recommended System</w:t>
            </w:r>
          </w:p>
        </w:tc>
        <w:tc>
          <w:tcPr>
            <w:tcW w:type="dxa" w:w="3120"/>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Walnut — traditional warm finish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Oil-based consumer or 2K waterborne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Ambering of oil-based is compatible; 2K for superior durability</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Rift-sawn white oak — natural/modern</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Water-based consumer or professional 1K/2K waterborne</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Non-yellowing system preserves the clean, natural tone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Maple — white or gray stain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Water-based only — any 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Oil-based ambering will compromise light stain; water-based is mandatory</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Cherry — allows or benefits from ambering</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Oil-based or 2K waterborne</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Warm tone compatible; cherry will amber naturally with age regardless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Painted cabinetry — color 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2K waterborne (tinted)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Maximum color stability and resistance to yellowing over service life</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Exterior or high-UV exposure</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2K waterborne with UV package, or exterior-rated 2K</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UV resistance requires catalyzed crosslink density</w:t>
            </w:r>
          </w:p>
        </w:tc>
      </w:tr>
    </w:tbl>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Section 6: Application Methods — Brush, Wipe-On, and Spray</w:t>
      </w:r>
    </w:p>
    <w:p>
      <w:pPr>
        <w:spacing w:after="160"/>
        <w:jc w:val="both"/>
      </w:pPr>
      <w:r>
        <w:rPr>
          <w:rFonts w:ascii="Arial" w:cs="Arial" w:eastAsia="Arial" w:hAnsi="Arial"/>
          <w:color w:val="1A1A1A"/>
          <w:sz w:val="22"/>
          <w:szCs w:val="22"/>
        </w:rPr>
        <w:t xml:space="preserve">The method of application directly affects the quality of the deposited film. Each method has appropriate use cases, technical requirements, and characteristic defect modes. Selecting the correct application method for the product and substrate is as important as product selection itself.</w:t>
      </w:r>
    </w:p>
    <w:p>
      <w:pPr>
        <w:pStyle w:val="Heading2"/>
        <w:spacing w:before="360" w:after="100"/>
      </w:pPr>
      <w:r>
        <w:rPr>
          <w:rFonts w:ascii="Arial" w:cs="Arial" w:eastAsia="Arial" w:hAnsi="Arial"/>
          <w:b/>
          <w:bCs/>
          <w:color w:val="1A1A1A"/>
          <w:sz w:val="26"/>
          <w:szCs w:val="26"/>
        </w:rPr>
        <w:t xml:space="preserve">Brush Application</w:t>
      </w:r>
    </w:p>
    <w:p>
      <w:pPr>
        <w:spacing w:after="160"/>
        <w:jc w:val="both"/>
      </w:pPr>
      <w:r>
        <w:rPr>
          <w:rFonts w:ascii="Arial" w:cs="Arial" w:eastAsia="Arial" w:hAnsi="Arial"/>
          <w:color w:val="1A1A1A"/>
          <w:sz w:val="22"/>
          <w:szCs w:val="22"/>
        </w:rPr>
        <w:t xml:space="preserve">Brush application is the standard method for consumer-grade polyurethane and is appropriate for flat or gently curved surfaces where a controlled, deliberate application is practical. A quality brush deposits more material per pass than a wipe-on cloth, building film thickness more efficiently. The primary technical challenge is controlling the application to minimize brush marks, lap lines, and air bubble entrapment.</w:t>
      </w:r>
    </w:p>
    <w:p>
      <w:pPr>
        <w:pStyle w:val="ListParagraph"/>
        <w:numPr>
          <w:ilvl w:val="0"/>
          <w:numId w:val="2"/>
        </w:numPr>
        <w:spacing w:after="80"/>
      </w:pPr>
      <w:r>
        <w:rPr>
          <w:rFonts w:ascii="Arial" w:cs="Arial" w:eastAsia="Arial" w:hAnsi="Arial"/>
          <w:b w:val="false"/>
          <w:bCs w:val="false"/>
          <w:color w:val="1A1A1A"/>
          <w:sz w:val="22"/>
          <w:szCs w:val="22"/>
        </w:rPr>
        <w:t xml:space="preserve">Brush specification: Natural bristle for oil-based products; high-quality synthetic bristle (China or Taklon) for water-based. Natural bristle absorbs water and becomes limp and uncontrollable with water-based chemistry.</w:t>
      </w:r>
    </w:p>
    <w:p>
      <w:pPr>
        <w:pStyle w:val="ListParagraph"/>
        <w:numPr>
          <w:ilvl w:val="0"/>
          <w:numId w:val="2"/>
        </w:numPr>
        <w:spacing w:after="80"/>
      </w:pPr>
      <w:r>
        <w:rPr>
          <w:rFonts w:ascii="Arial" w:cs="Arial" w:eastAsia="Arial" w:hAnsi="Arial"/>
          <w:b w:val="false"/>
          <w:bCs w:val="false"/>
          <w:color w:val="1A1A1A"/>
          <w:sz w:val="22"/>
          <w:szCs w:val="22"/>
        </w:rPr>
        <w:t xml:space="preserve">Technique: Apply in long, uninterrupted strokes parallel to the grain. Maintain a wet edge. Load the brush lightly — excess material on the brush is the primary cause of drips and sags on vertical surfaces.</w:t>
      </w:r>
    </w:p>
    <w:p>
      <w:pPr>
        <w:pStyle w:val="ListParagraph"/>
        <w:numPr>
          <w:ilvl w:val="0"/>
          <w:numId w:val="2"/>
        </w:numPr>
        <w:spacing w:after="80"/>
      </w:pPr>
      <w:r>
        <w:rPr>
          <w:rFonts w:ascii="Arial" w:cs="Arial" w:eastAsia="Arial" w:hAnsi="Arial"/>
          <w:b w:val="false"/>
          <w:bCs w:val="false"/>
          <w:color w:val="1A1A1A"/>
          <w:sz w:val="22"/>
          <w:szCs w:val="22"/>
        </w:rPr>
        <w:t xml:space="preserve">Tipping off: After applying a section, drag the nearly-dry bristle tips lightly along the surface from end to end. This technique pops air bubbles and smooths brush marks before the film begins to set.</w:t>
      </w:r>
    </w:p>
    <w:p>
      <w:pPr>
        <w:pStyle w:val="ListParagraph"/>
        <w:numPr>
          <w:ilvl w:val="0"/>
          <w:numId w:val="2"/>
        </w:numPr>
        <w:spacing w:after="80"/>
      </w:pPr>
      <w:r>
        <w:rPr>
          <w:rFonts w:ascii="Arial" w:cs="Arial" w:eastAsia="Arial" w:hAnsi="Arial"/>
          <w:b w:val="false"/>
          <w:bCs w:val="false"/>
          <w:color w:val="1A1A1A"/>
          <w:sz w:val="22"/>
          <w:szCs w:val="22"/>
        </w:rPr>
        <w:t xml:space="preserve">Common error: Re-working an area after the film has begun to tack. Once polyurethane — particularly oil-based — begins to set, further brushing tears the film and creates permanent irregularities. Apply, tip off, and do not return to the area.</w:t>
      </w:r>
    </w:p>
    <w:p>
      <w:pPr>
        <w:pStyle w:val="ListParagraph"/>
        <w:numPr>
          <w:ilvl w:val="0"/>
          <w:numId w:val="2"/>
        </w:numPr>
        <w:spacing w:after="80"/>
      </w:pPr>
      <w:r>
        <w:rPr>
          <w:rFonts w:ascii="Arial" w:cs="Arial" w:eastAsia="Arial" w:hAnsi="Arial"/>
          <w:b w:val="false"/>
          <w:bCs w:val="false"/>
          <w:color w:val="1A1A1A"/>
          <w:sz w:val="22"/>
          <w:szCs w:val="22"/>
        </w:rPr>
        <w:t xml:space="preserve">Oil-based sealer coat: Thin the first coat 10 to 15% with mineral spirits. This promotes penetration into the wood surface and improves adhesion for subsequent full-strength coats.</w:t>
      </w:r>
    </w:p>
    <w:p>
      <w:pPr>
        <w:pStyle w:val="Heading2"/>
        <w:spacing w:before="360" w:after="100"/>
      </w:pPr>
      <w:r>
        <w:rPr>
          <w:rFonts w:ascii="Arial" w:cs="Arial" w:eastAsia="Arial" w:hAnsi="Arial"/>
          <w:b/>
          <w:bCs/>
          <w:color w:val="1A1A1A"/>
          <w:sz w:val="26"/>
          <w:szCs w:val="26"/>
        </w:rPr>
        <w:t xml:space="preserve">Wipe-On Application</w:t>
      </w:r>
    </w:p>
    <w:p>
      <w:pPr>
        <w:spacing w:after="160"/>
        <w:jc w:val="both"/>
      </w:pPr>
      <w:r>
        <w:rPr>
          <w:rFonts w:ascii="Arial" w:cs="Arial" w:eastAsia="Arial" w:hAnsi="Arial"/>
          <w:color w:val="1A1A1A"/>
          <w:sz w:val="22"/>
          <w:szCs w:val="22"/>
        </w:rPr>
        <w:t xml:space="preserve">Wipe-on polyurethane — either a commercially formulated product or a standard product thinned to approximately 10% solids — is applied with a lint-free cloth or foam applicator in thin, even passes. Each coat deposits minimal film thickness, requiring four to six coats to build equivalent protection to two or three brushed coats. The operational advantage is the elimination of brush-related defects and the ability to coat complex, irregular geometries uniformly.</w:t>
      </w:r>
    </w:p>
    <w:p>
      <w:pPr>
        <w:pStyle w:val="ListParagraph"/>
        <w:numPr>
          <w:ilvl w:val="0"/>
          <w:numId w:val="2"/>
        </w:numPr>
        <w:spacing w:after="80"/>
      </w:pPr>
      <w:r>
        <w:rPr>
          <w:rFonts w:ascii="Arial" w:cs="Arial" w:eastAsia="Arial" w:hAnsi="Arial"/>
          <w:b w:val="false"/>
          <w:bCs w:val="false"/>
          <w:color w:val="1A1A1A"/>
          <w:sz w:val="22"/>
          <w:szCs w:val="22"/>
        </w:rPr>
        <w:t xml:space="preserve">Best suited for: Chair spindles, turned legs, carved elements, moldings, balusters, and any surface where brush application would result in pooling, drips, or uneven buildup in recesses.</w:t>
      </w:r>
    </w:p>
    <w:p>
      <w:pPr>
        <w:pStyle w:val="ListParagraph"/>
        <w:numPr>
          <w:ilvl w:val="0"/>
          <w:numId w:val="2"/>
        </w:numPr>
        <w:spacing w:after="80"/>
      </w:pPr>
      <w:r>
        <w:rPr>
          <w:rFonts w:ascii="Arial" w:cs="Arial" w:eastAsia="Arial" w:hAnsi="Arial"/>
          <w:b w:val="false"/>
          <w:bCs w:val="false"/>
          <w:color w:val="1A1A1A"/>
          <w:sz w:val="22"/>
          <w:szCs w:val="22"/>
        </w:rPr>
        <w:t xml:space="preserve">Technique: Work in manageable sections. Apply with the grain using moderate, even pressure. Overlap passes slightly. Do not allow the applicator cloth to drag a drying area — keep work moving forward.</w:t>
      </w:r>
    </w:p>
    <w:p>
      <w:pPr>
        <w:pStyle w:val="ListParagraph"/>
        <w:numPr>
          <w:ilvl w:val="0"/>
          <w:numId w:val="2"/>
        </w:numPr>
        <w:spacing w:after="80"/>
      </w:pPr>
      <w:r>
        <w:rPr>
          <w:rFonts w:ascii="Arial" w:cs="Arial" w:eastAsia="Arial" w:hAnsi="Arial"/>
          <w:b w:val="false"/>
          <w:bCs w:val="false"/>
          <w:color w:val="1A1A1A"/>
          <w:sz w:val="22"/>
          <w:szCs w:val="22"/>
        </w:rPr>
        <w:t xml:space="preserve">Coat count: Minimum four coats required for adequate protection; six coats is the standard for high-contact surfaces.</w:t>
      </w:r>
    </w:p>
    <w:p>
      <w:pPr>
        <w:pStyle w:val="Heading2"/>
        <w:spacing w:before="360" w:after="100"/>
      </w:pPr>
      <w:r>
        <w:rPr>
          <w:rFonts w:ascii="Arial" w:cs="Arial" w:eastAsia="Arial" w:hAnsi="Arial"/>
          <w:b/>
          <w:bCs/>
          <w:color w:val="1A1A1A"/>
          <w:sz w:val="26"/>
          <w:szCs w:val="26"/>
        </w:rPr>
        <w:t xml:space="preserve">Spray Application</w:t>
      </w:r>
    </w:p>
    <w:p>
      <w:pPr>
        <w:spacing w:after="160"/>
        <w:jc w:val="both"/>
      </w:pPr>
      <w:r>
        <w:rPr>
          <w:rFonts w:ascii="Arial" w:cs="Arial" w:eastAsia="Arial" w:hAnsi="Arial"/>
          <w:color w:val="1A1A1A"/>
          <w:sz w:val="22"/>
          <w:szCs w:val="22"/>
        </w:rPr>
        <w:t xml:space="preserve">Spray application is the professional standard for all professional 1K and 2K systems and delivers the highest quality finish achievable with polyurethane — no brush marks, superior atomization and flow, and the ability to coat complex assemblies efficiently. For professional waterborne systems, spray is not merely preferred — it is required to achieve the finish quality the product is engineered to deliver.</w:t>
      </w:r>
    </w:p>
    <w:p>
      <w:pPr>
        <w:pStyle w:val="ListParagraph"/>
        <w:numPr>
          <w:ilvl w:val="0"/>
          <w:numId w:val="2"/>
        </w:numPr>
        <w:spacing w:after="80"/>
      </w:pPr>
      <w:r>
        <w:rPr>
          <w:rFonts w:ascii="Arial" w:cs="Arial" w:eastAsia="Arial" w:hAnsi="Arial"/>
          <w:b w:val="false"/>
          <w:bCs w:val="false"/>
          <w:color w:val="1A1A1A"/>
          <w:sz w:val="22"/>
          <w:szCs w:val="22"/>
        </w:rPr>
        <w:t xml:space="preserve">HVLP (High Volume Low Pressure): The standard for fine wood finishing spray application. Produces low overspray, good operator control, and excellent results with waterborne products. Appropriate for shop and field application.</w:t>
      </w:r>
    </w:p>
    <w:p>
      <w:pPr>
        <w:pStyle w:val="ListParagraph"/>
        <w:numPr>
          <w:ilvl w:val="0"/>
          <w:numId w:val="2"/>
        </w:numPr>
        <w:spacing w:after="80"/>
      </w:pPr>
      <w:r>
        <w:rPr>
          <w:rFonts w:ascii="Arial" w:cs="Arial" w:eastAsia="Arial" w:hAnsi="Arial"/>
          <w:b w:val="false"/>
          <w:bCs w:val="false"/>
          <w:color w:val="1A1A1A"/>
          <w:sz w:val="22"/>
          <w:szCs w:val="22"/>
        </w:rPr>
        <w:t xml:space="preserve">Airless and AAA (Air-Assisted Airless): Higher production rate than HVLP; preferred for high-solid professional products and high-volume finishing environments. Requires more experience to control effectively.</w:t>
      </w:r>
    </w:p>
    <w:p>
      <w:pPr>
        <w:pStyle w:val="ListParagraph"/>
        <w:numPr>
          <w:ilvl w:val="0"/>
          <w:numId w:val="2"/>
        </w:numPr>
        <w:spacing w:after="80"/>
      </w:pPr>
      <w:r>
        <w:rPr>
          <w:rFonts w:ascii="Arial" w:cs="Arial" w:eastAsia="Arial" w:hAnsi="Arial"/>
          <w:b w:val="false"/>
          <w:bCs w:val="false"/>
          <w:color w:val="1A1A1A"/>
          <w:sz w:val="22"/>
          <w:szCs w:val="22"/>
        </w:rPr>
        <w:t xml:space="preserve">Gun setup: Consult the product's Technical Data Sheet (TDS) for recommended fluid tip size, air pressure, and material viscosity. Improper gun setup is the most common cause of defects in sprayed waterborne finishes.</w:t>
      </w:r>
    </w:p>
    <w:p>
      <w:pPr>
        <w:pStyle w:val="ListParagraph"/>
        <w:numPr>
          <w:ilvl w:val="0"/>
          <w:numId w:val="2"/>
        </w:numPr>
        <w:spacing w:after="80"/>
      </w:pPr>
      <w:r>
        <w:rPr>
          <w:rFonts w:ascii="Arial" w:cs="Arial" w:eastAsia="Arial" w:hAnsi="Arial"/>
          <w:b w:val="false"/>
          <w:bCs w:val="false"/>
          <w:color w:val="1A1A1A"/>
          <w:sz w:val="22"/>
          <w:szCs w:val="22"/>
        </w:rPr>
        <w:t xml:space="preserve">Spray technique: Maintain consistent gun speed and distance — typically 6 to 10 inches from the surface. Overlap passes 50%. Begin and end each pass off the workpiece. Inconsistent gun speed produces dry spray (too fast) or sags and drips (too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00" w:sz="1"/>
              <w:left w:val="single" w:color="7B2D00" w:sz="1"/>
              <w:bottom w:val="single" w:color="7B2D00" w:sz="1"/>
              <w:right w:val="single" w:color="7B2D00" w:sz="1"/>
            </w:tcBorders>
            <w:shd w:fill="FFF4ED" w:val="clear"/>
            <w:tcMar>
              <w:top w:type="dxa" w:w="180"/>
              <w:left w:type="dxa" w:w="240"/>
              <w:bottom w:type="dxa" w:w="180"/>
              <w:right w:type="dxa" w:w="240"/>
            </w:tcMar>
          </w:tcPr>
          <w:p>
            <w:pPr>
              <w:spacing w:after="80"/>
            </w:pPr>
            <w:r>
              <w:rPr>
                <w:rFonts w:ascii="Arial" w:cs="Arial" w:eastAsia="Arial" w:hAnsi="Arial"/>
                <w:b/>
                <w:bCs/>
                <w:caps/>
                <w:color w:val="7B2D00"/>
                <w:sz w:val="21"/>
                <w:szCs w:val="21"/>
              </w:rPr>
              <w:t xml:space="preserve">Safety Notice</w:t>
            </w:r>
          </w:p>
          <w:p>
            <w:pPr>
              <w:spacing w:after="60"/>
              <w:jc w:val="both"/>
            </w:pPr>
            <w:r>
              <w:rPr>
                <w:rFonts w:ascii="Arial" w:cs="Arial" w:eastAsia="Arial" w:hAnsi="Arial"/>
                <w:color w:val="1A1A1A"/>
                <w:sz w:val="21"/>
                <w:szCs w:val="21"/>
              </w:rPr>
              <w:t xml:space="preserve">Spray application of any polyurethane product — including consumer water-based formulations — dramatically increases inhalation exposure through atomized aerosol. An organic vapor / P100 combination respirator is required for all spray application.</w:t>
            </w:r>
          </w:p>
          <w:p>
            <w:pPr>
              <w:spacing w:after="60"/>
              <w:jc w:val="both"/>
            </w:pPr>
            <w:r>
              <w:rPr>
                <w:rFonts w:ascii="Arial" w:cs="Arial" w:eastAsia="Arial" w:hAnsi="Arial"/>
                <w:color w:val="1A1A1A"/>
                <w:sz w:val="21"/>
                <w:szCs w:val="21"/>
              </w:rPr>
              <w:t xml:space="preserve">Spray application of 2K products requires a supplied-air respirator for regular professional use. A half-face OV/P100 respirator is the minimum for incidental use, not routine production.</w:t>
            </w:r>
          </w:p>
          <w:p>
            <w:pPr>
              <w:spacing w:after="60"/>
              <w:jc w:val="both"/>
            </w:pPr>
            <w:r>
              <w:rPr>
                <w:rFonts w:ascii="Arial" w:cs="Arial" w:eastAsia="Arial" w:hAnsi="Arial"/>
                <w:color w:val="1A1A1A"/>
                <w:sz w:val="21"/>
                <w:szCs w:val="21"/>
              </w:rPr>
              <w:t xml:space="preserve">Spray operations create flammable or explosive atmospheres when using solvent-based products. Eliminate all ignition sources. A spark-rated exhaust fan and grounded spray equipment are mandatory for solvent-based spray work.</w:t>
            </w:r>
          </w:p>
        </w:tc>
      </w:tr>
    </w:tbl>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Section 7: Surface Preparation — The Foundation of a Quality Finish</w:t>
      </w:r>
    </w:p>
    <w:p>
      <w:pPr>
        <w:spacing w:after="160"/>
        <w:jc w:val="both"/>
      </w:pPr>
      <w:r>
        <w:rPr>
          <w:rFonts w:ascii="Arial" w:cs="Arial" w:eastAsia="Arial" w:hAnsi="Arial"/>
          <w:color w:val="1A1A1A"/>
          <w:sz w:val="22"/>
          <w:szCs w:val="22"/>
        </w:rPr>
        <w:t xml:space="preserve">The quality of the finished surface is determined primarily in the preparation phase. A premium finishing product applied to an improperly prepared substrate will produce a inferior result; a mid-grade product applied over a well-prepared surface will outperform it. Surface preparation is not a preliminary step to finishing — it is the most consequential element of the finishing process.</w:t>
      </w:r>
    </w:p>
    <w:p>
      <w:pPr>
        <w:pStyle w:val="Heading2"/>
        <w:spacing w:before="360" w:after="100"/>
      </w:pPr>
      <w:r>
        <w:rPr>
          <w:rFonts w:ascii="Arial" w:cs="Arial" w:eastAsia="Arial" w:hAnsi="Arial"/>
          <w:b/>
          <w:bCs/>
          <w:color w:val="1A1A1A"/>
          <w:sz w:val="26"/>
          <w:szCs w:val="26"/>
        </w:rPr>
        <w:t xml:space="preserve">Initial Sanding — Raw Wood</w:t>
      </w:r>
    </w:p>
    <w:p>
      <w:pPr>
        <w:spacing w:after="160"/>
        <w:jc w:val="both"/>
      </w:pPr>
      <w:r>
        <w:rPr>
          <w:rFonts w:ascii="Arial" w:cs="Arial" w:eastAsia="Arial" w:hAnsi="Arial"/>
          <w:color w:val="1A1A1A"/>
          <w:sz w:val="22"/>
          <w:szCs w:val="22"/>
        </w:rPr>
        <w:t xml:space="preserve">Sand through a progressive grit sequence, with each stage removing the scratch pattern of the previous. Skipping grits does not save time — the coarser scratches simply become visible through the finish, requiring sanding back and recoating.</w:t>
      </w:r>
    </w:p>
    <w:p>
      <w:pPr>
        <w:pStyle w:val="ListParagraph"/>
        <w:numPr>
          <w:ilvl w:val="0"/>
          <w:numId w:val="2"/>
        </w:numPr>
        <w:spacing w:after="80"/>
      </w:pPr>
      <w:r>
        <w:rPr>
          <w:rFonts w:ascii="Arial" w:cs="Arial" w:eastAsia="Arial" w:hAnsi="Arial"/>
          <w:b w:val="false"/>
          <w:bCs w:val="false"/>
          <w:color w:val="1A1A1A"/>
          <w:sz w:val="22"/>
          <w:szCs w:val="22"/>
        </w:rPr>
        <w:t xml:space="preserve">Open-grained species (walnut, white oak, ash, red oak): Begin at 80 to 100 grit; finish at 120 to 150 grit. Finer grits on open-grained species close the pores unnecessarily and impede finish penetration.</w:t>
      </w:r>
    </w:p>
    <w:p>
      <w:pPr>
        <w:pStyle w:val="ListParagraph"/>
        <w:numPr>
          <w:ilvl w:val="0"/>
          <w:numId w:val="2"/>
        </w:numPr>
        <w:spacing w:after="80"/>
      </w:pPr>
      <w:r>
        <w:rPr>
          <w:rFonts w:ascii="Arial" w:cs="Arial" w:eastAsia="Arial" w:hAnsi="Arial"/>
          <w:b w:val="false"/>
          <w:bCs w:val="false"/>
          <w:color w:val="1A1A1A"/>
          <w:sz w:val="22"/>
          <w:szCs w:val="22"/>
        </w:rPr>
        <w:t xml:space="preserve">Closed-grained species (maple, cherry, birch): Sand through all intermediate grits to 220. These species show scratch patterns readily under clear finishes, and the finer final prep is warranted.</w:t>
      </w:r>
    </w:p>
    <w:p>
      <w:pPr>
        <w:pStyle w:val="ListParagraph"/>
        <w:numPr>
          <w:ilvl w:val="0"/>
          <w:numId w:val="2"/>
        </w:numPr>
        <w:spacing w:after="80"/>
      </w:pPr>
      <w:r>
        <w:rPr>
          <w:rFonts w:ascii="Arial" w:cs="Arial" w:eastAsia="Arial" w:hAnsi="Arial"/>
          <w:b w:val="false"/>
          <w:bCs w:val="false"/>
          <w:color w:val="1A1A1A"/>
          <w:sz w:val="22"/>
          <w:szCs w:val="22"/>
        </w:rPr>
        <w:t xml:space="preserve">Rift-sawn white oak: A 120-150-220 sequence is appropriate. The pronounced medullary ray figure should be preserved without scratch contamination.</w:t>
      </w:r>
    </w:p>
    <w:p>
      <w:pPr>
        <w:pStyle w:val="ListParagraph"/>
        <w:numPr>
          <w:ilvl w:val="0"/>
          <w:numId w:val="2"/>
        </w:numPr>
        <w:spacing w:after="80"/>
      </w:pPr>
      <w:r>
        <w:rPr>
          <w:rFonts w:ascii="Arial" w:cs="Arial" w:eastAsia="Arial" w:hAnsi="Arial"/>
          <w:b w:val="false"/>
          <w:bCs w:val="false"/>
          <w:color w:val="1A1A1A"/>
          <w:sz w:val="22"/>
          <w:szCs w:val="22"/>
        </w:rPr>
        <w:t xml:space="preserve">Final sanding direction: The last pass of the final grit must be parallel to the grain. Cross-grain scratches catch raking light and are visible through clear finishes regardless of the number of topcoats applied.</w:t>
      </w:r>
    </w:p>
    <w:p>
      <w:pPr>
        <w:pStyle w:val="Heading2"/>
        <w:spacing w:before="360" w:after="100"/>
      </w:pPr>
      <w:r>
        <w:rPr>
          <w:rFonts w:ascii="Arial" w:cs="Arial" w:eastAsia="Arial" w:hAnsi="Arial"/>
          <w:b/>
          <w:bCs/>
          <w:color w:val="1A1A1A"/>
          <w:sz w:val="26"/>
          <w:szCs w:val="26"/>
        </w:rPr>
        <w:t xml:space="preserve">Grain Pre-Raising — Water-Based Products</w:t>
      </w:r>
    </w:p>
    <w:p>
      <w:pPr>
        <w:spacing w:after="160"/>
        <w:jc w:val="both"/>
      </w:pPr>
      <w:r>
        <w:rPr>
          <w:rFonts w:ascii="Arial" w:cs="Arial" w:eastAsia="Arial" w:hAnsi="Arial"/>
          <w:color w:val="1A1A1A"/>
          <w:sz w:val="22"/>
          <w:szCs w:val="22"/>
        </w:rPr>
        <w:t xml:space="preserve">Water introduces moisture into the wood surface, causing surface fibers to swell and stand upright — a phenomenon known as grain raising. Any water-based finish will raise the grain on the first coat if the wood has not been pre-conditioned. The resulting surface feels rough and requires sanding before the second coat. Pre-raising the grain before applying any finish eliminates this from occurring under the first coat.</w:t>
      </w:r>
    </w:p>
    <w:p>
      <w:pPr>
        <w:pStyle w:val="ListParagraph"/>
        <w:numPr>
          <w:ilvl w:val="0"/>
          <w:numId w:val="3"/>
        </w:numPr>
        <w:spacing w:after="100"/>
      </w:pPr>
      <w:r>
        <w:rPr>
          <w:rFonts w:ascii="Arial" w:cs="Arial" w:eastAsia="Arial" w:hAnsi="Arial"/>
          <w:b/>
          <w:bCs/>
          <w:color w:val="1A1A1A"/>
          <w:sz w:val="22"/>
          <w:szCs w:val="22"/>
        </w:rPr>
        <w:t xml:space="preserve">Wipe the sanded wood surface with a clean cloth dampened with water — not saturated, dampened. </w:t>
      </w:r>
      <w:r>
        <w:rPr>
          <w:rFonts w:ascii="Arial" w:cs="Arial" w:eastAsia="Arial" w:hAnsi="Arial"/>
          <w:color w:val="1A1A1A"/>
          <w:sz w:val="22"/>
          <w:szCs w:val="22"/>
        </w:rPr>
        <w:t xml:space="preserve"/>
      </w:r>
    </w:p>
    <w:p>
      <w:pPr>
        <w:pStyle w:val="ListParagraph"/>
        <w:numPr>
          <w:ilvl w:val="0"/>
          <w:numId w:val="3"/>
        </w:numPr>
        <w:spacing w:after="100"/>
      </w:pPr>
      <w:r>
        <w:rPr>
          <w:rFonts w:ascii="Arial" w:cs="Arial" w:eastAsia="Arial" w:hAnsi="Arial"/>
          <w:b/>
          <w:bCs/>
          <w:color w:val="1A1A1A"/>
          <w:sz w:val="22"/>
          <w:szCs w:val="22"/>
        </w:rPr>
        <w:t xml:space="preserve">Allow the surface to dry completely — minimum 30 to 60 minutes; overnight is preferable. </w:t>
      </w:r>
      <w:r>
        <w:rPr>
          <w:rFonts w:ascii="Arial" w:cs="Arial" w:eastAsia="Arial" w:hAnsi="Arial"/>
          <w:color w:val="1A1A1A"/>
          <w:sz w:val="22"/>
          <w:szCs w:val="22"/>
        </w:rPr>
        <w:t xml:space="preserve"/>
      </w:r>
    </w:p>
    <w:p>
      <w:pPr>
        <w:pStyle w:val="ListParagraph"/>
        <w:numPr>
          <w:ilvl w:val="0"/>
          <w:numId w:val="3"/>
        </w:numPr>
        <w:spacing w:after="100"/>
      </w:pPr>
      <w:r>
        <w:rPr>
          <w:rFonts w:ascii="Arial" w:cs="Arial" w:eastAsia="Arial" w:hAnsi="Arial"/>
          <w:b/>
          <w:bCs/>
          <w:color w:val="1A1A1A"/>
          <w:sz w:val="22"/>
          <w:szCs w:val="22"/>
        </w:rPr>
        <w:t xml:space="preserve">Sand lightly with 220 grit to remove the raised fibers. </w:t>
      </w:r>
      <w:r>
        <w:rPr>
          <w:rFonts w:ascii="Arial" w:cs="Arial" w:eastAsia="Arial" w:hAnsi="Arial"/>
          <w:color w:val="1A1A1A"/>
          <w:sz w:val="22"/>
          <w:szCs w:val="22"/>
        </w:rPr>
        <w:t xml:space="preserve"/>
      </w:r>
    </w:p>
    <w:p>
      <w:pPr>
        <w:pStyle w:val="ListParagraph"/>
        <w:numPr>
          <w:ilvl w:val="0"/>
          <w:numId w:val="3"/>
        </w:numPr>
        <w:spacing w:after="100"/>
      </w:pPr>
      <w:r>
        <w:rPr>
          <w:rFonts w:ascii="Arial" w:cs="Arial" w:eastAsia="Arial" w:hAnsi="Arial"/>
          <w:b/>
          <w:bCs/>
          <w:color w:val="1A1A1A"/>
          <w:sz w:val="22"/>
          <w:szCs w:val="22"/>
        </w:rPr>
        <w:t xml:space="preserve">The surface is now pre-raised and will not exhibit the same behavior under the first coat of water-based finish. </w:t>
      </w:r>
      <w:r>
        <w:rPr>
          <w:rFonts w:ascii="Arial" w:cs="Arial" w:eastAsia="Arial" w:hAnsi="Arial"/>
          <w:color w:val="1A1A1A"/>
          <w:sz w:val="22"/>
          <w:szCs w:val="22"/>
        </w:rPr>
        <w:t xml:space="preserve"/>
      </w:r>
    </w:p>
    <w:p>
      <w:pPr>
        <w:pStyle w:val="Heading2"/>
        <w:spacing w:before="360" w:after="100"/>
      </w:pPr>
      <w:r>
        <w:rPr>
          <w:rFonts w:ascii="Arial" w:cs="Arial" w:eastAsia="Arial" w:hAnsi="Arial"/>
          <w:b/>
          <w:bCs/>
          <w:color w:val="1A1A1A"/>
          <w:sz w:val="26"/>
          <w:szCs w:val="26"/>
        </w:rPr>
        <w:t xml:space="preserve">Dust Management</w:t>
      </w:r>
    </w:p>
    <w:p>
      <w:pPr>
        <w:spacing w:after="160"/>
        <w:jc w:val="both"/>
      </w:pPr>
      <w:r>
        <w:rPr>
          <w:rFonts w:ascii="Arial" w:cs="Arial" w:eastAsia="Arial" w:hAnsi="Arial"/>
          <w:color w:val="1A1A1A"/>
          <w:sz w:val="22"/>
          <w:szCs w:val="22"/>
        </w:rPr>
        <w:t xml:space="preserve">Airborne dust settling on a wet finish surface produces contamination that cures into the film as surface nibs. These are visible in raking light and require sanding back to remove. Effective dust management prevents the problem rather than addressing it after the fact.</w:t>
      </w:r>
    </w:p>
    <w:p>
      <w:pPr>
        <w:pStyle w:val="ListParagraph"/>
        <w:numPr>
          <w:ilvl w:val="0"/>
          <w:numId w:val="2"/>
        </w:numPr>
        <w:spacing w:after="80"/>
      </w:pPr>
      <w:r>
        <w:rPr>
          <w:rFonts w:ascii="Arial" w:cs="Arial" w:eastAsia="Arial" w:hAnsi="Arial"/>
          <w:b w:val="false"/>
          <w:bCs w:val="false"/>
          <w:color w:val="1A1A1A"/>
          <w:sz w:val="22"/>
          <w:szCs w:val="22"/>
        </w:rPr>
        <w:t xml:space="preserve">Do not apply finish on the same day as sanding. Sanding generates fine particulate that remains suspended in the air for hours.</w:t>
      </w:r>
    </w:p>
    <w:p>
      <w:pPr>
        <w:pStyle w:val="ListParagraph"/>
        <w:numPr>
          <w:ilvl w:val="0"/>
          <w:numId w:val="2"/>
        </w:numPr>
        <w:spacing w:after="80"/>
      </w:pPr>
      <w:r>
        <w:rPr>
          <w:rFonts w:ascii="Arial" w:cs="Arial" w:eastAsia="Arial" w:hAnsi="Arial"/>
          <w:b w:val="false"/>
          <w:bCs w:val="false"/>
          <w:color w:val="1A1A1A"/>
          <w:sz w:val="22"/>
          <w:szCs w:val="22"/>
        </w:rPr>
        <w:t xml:space="preserve">Vacuum the work surface, the bench, and the floor before finishing. A soft brush attachment on the piece itself is recommended.</w:t>
      </w:r>
    </w:p>
    <w:p>
      <w:pPr>
        <w:pStyle w:val="ListParagraph"/>
        <w:numPr>
          <w:ilvl w:val="0"/>
          <w:numId w:val="2"/>
        </w:numPr>
        <w:spacing w:after="80"/>
      </w:pPr>
      <w:r>
        <w:rPr>
          <w:rFonts w:ascii="Arial" w:cs="Arial" w:eastAsia="Arial" w:hAnsi="Arial"/>
          <w:b w:val="false"/>
          <w:bCs w:val="false"/>
          <w:color w:val="1A1A1A"/>
          <w:sz w:val="22"/>
          <w:szCs w:val="22"/>
        </w:rPr>
        <w:t xml:space="preserve">Follow vacuuming with a tack cloth wipe immediately before applying finish. For water-based products, use a cheesecloth lightly dampened with water or denatured alcohol — not a petroleum-based tack cloth.</w:t>
      </w:r>
    </w:p>
    <w:p>
      <w:pPr>
        <w:pStyle w:val="ListParagraph"/>
        <w:numPr>
          <w:ilvl w:val="0"/>
          <w:numId w:val="2"/>
        </w:numPr>
        <w:spacing w:after="80"/>
      </w:pPr>
      <w:r>
        <w:rPr>
          <w:rFonts w:ascii="Arial" w:cs="Arial" w:eastAsia="Arial" w:hAnsi="Arial"/>
          <w:b w:val="false"/>
          <w:bCs w:val="false"/>
          <w:color w:val="1A1A1A"/>
          <w:sz w:val="22"/>
          <w:szCs w:val="22"/>
        </w:rPr>
        <w:t xml:space="preserve">Do not operate fans directed across the work surface during application. Filtered exhaust ventilation that removes air from the finishing area is appropriate. Fan-generated airflow across the piece deposits airborne particles on the wet finish.</w:t>
      </w:r>
    </w:p>
    <w:p>
      <w:pPr>
        <w:pStyle w:val="ListParagraph"/>
        <w:numPr>
          <w:ilvl w:val="0"/>
          <w:numId w:val="2"/>
        </w:numPr>
        <w:spacing w:after="80"/>
      </w:pPr>
      <w:r>
        <w:rPr>
          <w:rFonts w:ascii="Arial" w:cs="Arial" w:eastAsia="Arial" w:hAnsi="Arial"/>
          <w:b w:val="false"/>
          <w:bCs w:val="false"/>
          <w:color w:val="1A1A1A"/>
          <w:sz w:val="22"/>
          <w:szCs w:val="22"/>
        </w:rPr>
        <w:t xml:space="preserve">For shop environments: consider a water mist on the floor before finishing sessions to suppress airborne dust.</w:t>
      </w:r>
    </w:p>
    <w:p>
      <w:pPr>
        <w:pStyle w:val="Heading2"/>
        <w:spacing w:before="360" w:after="100"/>
      </w:pPr>
      <w:r>
        <w:rPr>
          <w:rFonts w:ascii="Arial" w:cs="Arial" w:eastAsia="Arial" w:hAnsi="Arial"/>
          <w:b/>
          <w:bCs/>
          <w:color w:val="1A1A1A"/>
          <w:sz w:val="26"/>
          <w:szCs w:val="26"/>
        </w:rPr>
        <w:t xml:space="preserve">Between-Coat Sanding</w:t>
      </w:r>
    </w:p>
    <w:p>
      <w:pPr>
        <w:spacing w:after="160"/>
        <w:jc w:val="both"/>
      </w:pPr>
      <w:r>
        <w:rPr>
          <w:rFonts w:ascii="Arial" w:cs="Arial" w:eastAsia="Arial" w:hAnsi="Arial"/>
          <w:color w:val="1A1A1A"/>
          <w:sz w:val="22"/>
          <w:szCs w:val="22"/>
        </w:rPr>
        <w:t xml:space="preserve">Every coat of polyurethane introduces minor surface imperfections — dust contamination, minor brush or spray texture, slightly raised grain. Between-coat sanding removes these defects and provides mechanical adhesion for the subsequent coat. Omitting between-coat sanding results in poor intercoat adhesion and a noticeably inferior final surface.</w:t>
      </w:r>
    </w:p>
    <w:p>
      <w:pPr>
        <w:pStyle w:val="ListParagraph"/>
        <w:numPr>
          <w:ilvl w:val="0"/>
          <w:numId w:val="2"/>
        </w:numPr>
        <w:spacing w:after="80"/>
      </w:pPr>
      <w:r>
        <w:rPr>
          <w:rFonts w:ascii="Arial" w:cs="Arial" w:eastAsia="Arial" w:hAnsi="Arial"/>
          <w:b w:val="false"/>
          <w:bCs w:val="false"/>
          <w:color w:val="1A1A1A"/>
          <w:sz w:val="22"/>
          <w:szCs w:val="22"/>
        </w:rPr>
        <w:t xml:space="preserve">After the first coat: 220 grit — removes raised grain and the lightest dust contamination</w:t>
      </w:r>
    </w:p>
    <w:p>
      <w:pPr>
        <w:pStyle w:val="ListParagraph"/>
        <w:numPr>
          <w:ilvl w:val="0"/>
          <w:numId w:val="2"/>
        </w:numPr>
        <w:spacing w:after="80"/>
      </w:pPr>
      <w:r>
        <w:rPr>
          <w:rFonts w:ascii="Arial" w:cs="Arial" w:eastAsia="Arial" w:hAnsi="Arial"/>
          <w:b w:val="false"/>
          <w:bCs w:val="false"/>
          <w:color w:val="1A1A1A"/>
          <w:sz w:val="22"/>
          <w:szCs w:val="22"/>
        </w:rPr>
        <w:t xml:space="preserve">After the second coat: 320 grit — finer smoothing; improves intercoat bonding</w:t>
      </w:r>
    </w:p>
    <w:p>
      <w:pPr>
        <w:pStyle w:val="ListParagraph"/>
        <w:numPr>
          <w:ilvl w:val="0"/>
          <w:numId w:val="2"/>
        </w:numPr>
        <w:spacing w:after="80"/>
      </w:pPr>
      <w:r>
        <w:rPr>
          <w:rFonts w:ascii="Arial" w:cs="Arial" w:eastAsia="Arial" w:hAnsi="Arial"/>
          <w:b w:val="false"/>
          <w:bCs w:val="false"/>
          <w:color w:val="1A1A1A"/>
          <w:sz w:val="22"/>
          <w:szCs w:val="22"/>
        </w:rPr>
        <w:t xml:space="preserve">Before the final coat (four-coat systems): 400 grit — near-glass surface preparation</w:t>
      </w:r>
    </w:p>
    <w:p>
      <w:pPr>
        <w:pStyle w:val="ListParagraph"/>
        <w:numPr>
          <w:ilvl w:val="0"/>
          <w:numId w:val="2"/>
        </w:numPr>
        <w:spacing w:after="80"/>
      </w:pPr>
      <w:r>
        <w:rPr>
          <w:rFonts w:ascii="Arial" w:cs="Arial" w:eastAsia="Arial" w:hAnsi="Arial"/>
          <w:b w:val="false"/>
          <w:bCs w:val="false"/>
          <w:color w:val="1A1A1A"/>
          <w:sz w:val="22"/>
          <w:szCs w:val="22"/>
        </w:rPr>
        <w:t xml:space="preserve">Oil-based products: Allow a minimum of 24 hours before between-coat sanding. Sanding an under-cured oil-based film loads the abrasive with soft material and smears rather than cuts.</w:t>
      </w:r>
    </w:p>
    <w:p>
      <w:pPr>
        <w:pStyle w:val="ListParagraph"/>
        <w:numPr>
          <w:ilvl w:val="0"/>
          <w:numId w:val="2"/>
        </w:numPr>
        <w:spacing w:after="80"/>
      </w:pPr>
      <w:r>
        <w:rPr>
          <w:rFonts w:ascii="Arial" w:cs="Arial" w:eastAsia="Arial" w:hAnsi="Arial"/>
          <w:b w:val="false"/>
          <w:bCs w:val="false"/>
          <w:color w:val="1A1A1A"/>
          <w:sz w:val="22"/>
          <w:szCs w:val="22"/>
        </w:rPr>
        <w:t xml:space="preserve">Water-based and professional waterborne: Follow the product TDS for recoat windows. Many professional systems can be recoated in 45 to 90 minutes.</w:t>
      </w:r>
    </w:p>
    <w:p>
      <w:pPr>
        <w:pStyle w:val="ListParagraph"/>
        <w:numPr>
          <w:ilvl w:val="0"/>
          <w:numId w:val="2"/>
        </w:numPr>
        <w:spacing w:after="80"/>
      </w:pPr>
      <w:r>
        <w:rPr>
          <w:rFonts w:ascii="Arial" w:cs="Arial" w:eastAsia="Arial" w:hAnsi="Arial"/>
          <w:b w:val="false"/>
          <w:bCs w:val="false"/>
          <w:color w:val="1A1A1A"/>
          <w:sz w:val="22"/>
          <w:szCs w:val="22"/>
        </w:rPr>
        <w:t xml:space="preserve">Technique: Sand with light, even pressure. The objective is to level surface irregularities, not to remove material. On edges and corners, particular care is required — these areas receive disproportionate abrasive pressure and are vulnerable to sanding through the film to bare wood.</w:t>
      </w:r>
    </w:p>
    <w:p>
      <w:pPr>
        <w:pStyle w:val="ListParagraph"/>
        <w:numPr>
          <w:ilvl w:val="0"/>
          <w:numId w:val="2"/>
        </w:numPr>
        <w:spacing w:after="80"/>
      </w:pPr>
      <w:r>
        <w:rPr>
          <w:rFonts w:ascii="Arial" w:cs="Arial" w:eastAsia="Arial" w:hAnsi="Arial"/>
          <w:b w:val="false"/>
          <w:bCs w:val="false"/>
          <w:color w:val="1A1A1A"/>
          <w:sz w:val="22"/>
          <w:szCs w:val="22"/>
        </w:rPr>
        <w:t xml:space="preserve">Remove all sanding dust completely before applying the next coat. A vacuum followed by a tack cloth wipe is the standard sequence.</w:t>
      </w:r>
    </w:p>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Section 8: Occupational Safety — A Comprehensive Overview</w:t>
      </w:r>
    </w:p>
    <w:p>
      <w:pPr>
        <w:spacing w:after="160"/>
        <w:jc w:val="both"/>
      </w:pPr>
      <w:r>
        <w:rPr>
          <w:rFonts w:ascii="Arial" w:cs="Arial" w:eastAsia="Arial" w:hAnsi="Arial"/>
          <w:color w:val="1A1A1A"/>
          <w:sz w:val="22"/>
          <w:szCs w:val="22"/>
        </w:rPr>
        <w:t xml:space="preserve">This section addresses the health and safety considerations associated with polyurethane finishing products systematically. It is written with the understanding that applicators who are adequately informed about the hazards they are working with make better decisions about controls, PPE selection, and work practices. Insufficient attention to safety in finishing operations has documented consequences — including permanent occupational asthma — that are entirely preventable with appropriate precautions.</w:t>
      </w:r>
    </w:p>
    <w:p>
      <w:pPr>
        <w:pStyle w:val="Heading2"/>
        <w:spacing w:before="360" w:after="100"/>
      </w:pPr>
      <w:r>
        <w:rPr>
          <w:rFonts w:ascii="Arial" w:cs="Arial" w:eastAsia="Arial" w:hAnsi="Arial"/>
          <w:b/>
          <w:bCs/>
          <w:color w:val="1A1A1A"/>
          <w:sz w:val="26"/>
          <w:szCs w:val="26"/>
        </w:rPr>
        <w:t xml:space="preserve">Volatile Organic Compounds (VOCs)</w:t>
      </w:r>
    </w:p>
    <w:p>
      <w:pPr>
        <w:spacing w:after="160"/>
        <w:jc w:val="both"/>
      </w:pPr>
      <w:r>
        <w:rPr>
          <w:rFonts w:ascii="Arial" w:cs="Arial" w:eastAsia="Arial" w:hAnsi="Arial"/>
          <w:color w:val="1A1A1A"/>
          <w:sz w:val="22"/>
          <w:szCs w:val="22"/>
        </w:rPr>
        <w:t xml:space="preserve">VOCs are chemical compounds that volatilize at ambient temperatures, becoming airborne during and after finish application. They are the primary source of the characteristic odor associated with finishing products and the primary vehicle for short-term respiratory and neurological effects.</w:t>
      </w:r>
    </w:p>
    <w:p>
      <w:pPr>
        <w:pStyle w:val="ListParagraph"/>
        <w:numPr>
          <w:ilvl w:val="0"/>
          <w:numId w:val="2"/>
        </w:numPr>
        <w:spacing w:after="80"/>
      </w:pPr>
      <w:r>
        <w:rPr>
          <w:rFonts w:ascii="Arial" w:cs="Arial" w:eastAsia="Arial" w:hAnsi="Arial"/>
          <w:b w:val="false"/>
          <w:bCs w:val="false"/>
          <w:color w:val="1A1A1A"/>
          <w:sz w:val="22"/>
          <w:szCs w:val="22"/>
        </w:rPr>
        <w:t xml:space="preserve">Oil-based polyurethane: High VOC content — 450 to 700+ grams per liter. Primary compounds include xylene, ethylbenzene, naphtha derivatives, and acetates.</w:t>
      </w:r>
    </w:p>
    <w:p>
      <w:pPr>
        <w:pStyle w:val="ListParagraph"/>
        <w:numPr>
          <w:ilvl w:val="0"/>
          <w:numId w:val="2"/>
        </w:numPr>
        <w:spacing w:after="80"/>
      </w:pPr>
      <w:r>
        <w:rPr>
          <w:rFonts w:ascii="Arial" w:cs="Arial" w:eastAsia="Arial" w:hAnsi="Arial"/>
          <w:b w:val="false"/>
          <w:bCs w:val="false"/>
          <w:color w:val="1A1A1A"/>
          <w:sz w:val="22"/>
          <w:szCs w:val="22"/>
        </w:rPr>
        <w:t xml:space="preserve">Consumer water-based polyurethane: Reduced VOC content — typically 100 to 275 g/L. Residual solvents include glycol ethers and coalescing agents.</w:t>
      </w:r>
    </w:p>
    <w:p>
      <w:pPr>
        <w:pStyle w:val="ListParagraph"/>
        <w:numPr>
          <w:ilvl w:val="0"/>
          <w:numId w:val="2"/>
        </w:numPr>
        <w:spacing w:after="80"/>
      </w:pPr>
      <w:r>
        <w:rPr>
          <w:rFonts w:ascii="Arial" w:cs="Arial" w:eastAsia="Arial" w:hAnsi="Arial"/>
          <w:b w:val="false"/>
          <w:bCs w:val="false"/>
          <w:color w:val="1A1A1A"/>
          <w:sz w:val="22"/>
          <w:szCs w:val="22"/>
        </w:rPr>
        <w:t xml:space="preserve">Professional waterborne 1K and 2K: Low VOC content, typically engineered to comply with current regional air quality regulations. Many professional waterborne products fall below 100 g/L.</w:t>
      </w:r>
    </w:p>
    <w:p>
      <w:pPr>
        <w:spacing w:after="160"/>
        <w:jc w:val="both"/>
      </w:pPr>
      <w:r>
        <w:rPr>
          <w:rFonts w:ascii="Arial" w:cs="Arial" w:eastAsia="Arial" w:hAnsi="Arial"/>
          <w:color w:val="1A1A1A"/>
          <w:sz w:val="22"/>
          <w:szCs w:val="22"/>
        </w:rPr>
        <w:t xml:space="preserve">Acute effects of VOC exposure include headache, dizziness, nausea, and irritation of the eyes, nose, and throat. Chronic occupational exposure to elevated VOC concentrations is associated with central nervous system effects, hepatotoxicity, and reproductive hazards. Select products with the lowest VOC content appropriate to the performance requirement, and always work with active ventilation.</w:t>
      </w:r>
    </w:p>
    <w:p>
      <w:pPr>
        <w:pStyle w:val="Heading2"/>
        <w:spacing w:before="360" w:after="100"/>
      </w:pPr>
      <w:r>
        <w:rPr>
          <w:rFonts w:ascii="Arial" w:cs="Arial" w:eastAsia="Arial" w:hAnsi="Arial"/>
          <w:b/>
          <w:bCs/>
          <w:color w:val="1A1A1A"/>
          <w:sz w:val="26"/>
          <w:szCs w:val="26"/>
        </w:rPr>
        <w:t xml:space="preserve">Isocyanates — The Critical Hazard</w:t>
      </w:r>
    </w:p>
    <w:p>
      <w:pPr>
        <w:spacing w:after="160"/>
        <w:jc w:val="both"/>
      </w:pPr>
      <w:r>
        <w:rPr>
          <w:rFonts w:ascii="Arial" w:cs="Arial" w:eastAsia="Arial" w:hAnsi="Arial"/>
          <w:color w:val="1A1A1A"/>
          <w:sz w:val="22"/>
          <w:szCs w:val="22"/>
        </w:rPr>
        <w:t xml:space="preserve">Isocyanates are the foundational chemical constituent of all polyurethane products. In consumer-grade and 1K professional products, the isocyanate groups are largely reacted into the polymer matrix prior to application — residual free isocyanate is present at low levels. In 2K products, a free isocyanate hardener is added at the point of use, creating a period during which significant quantities of reactive isocyanate are present in the application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00" w:sz="1"/>
              <w:left w:val="single" w:color="7B2D00" w:sz="1"/>
              <w:bottom w:val="single" w:color="7B2D00" w:sz="1"/>
              <w:right w:val="single" w:color="7B2D00" w:sz="1"/>
            </w:tcBorders>
            <w:shd w:fill="FFF4ED" w:val="clear"/>
            <w:tcMar>
              <w:top w:type="dxa" w:w="180"/>
              <w:left w:type="dxa" w:w="240"/>
              <w:bottom w:type="dxa" w:w="180"/>
              <w:right w:type="dxa" w:w="240"/>
            </w:tcMar>
          </w:tcPr>
          <w:p>
            <w:pPr>
              <w:spacing w:after="80"/>
            </w:pPr>
            <w:r>
              <w:rPr>
                <w:rFonts w:ascii="Arial" w:cs="Arial" w:eastAsia="Arial" w:hAnsi="Arial"/>
                <w:b/>
                <w:bCs/>
                <w:caps/>
                <w:color w:val="7B2D00"/>
                <w:sz w:val="21"/>
                <w:szCs w:val="21"/>
              </w:rPr>
              <w:t xml:space="preserve">Safety Notice</w:t>
            </w:r>
          </w:p>
          <w:p>
            <w:pPr>
              <w:spacing w:after="60"/>
              <w:jc w:val="both"/>
            </w:pPr>
            <w:r>
              <w:rPr>
                <w:rFonts w:ascii="Arial" w:cs="Arial" w:eastAsia="Arial" w:hAnsi="Arial"/>
                <w:color w:val="1A1A1A"/>
                <w:sz w:val="21"/>
                <w:szCs w:val="21"/>
              </w:rPr>
              <w:t xml:space="preserve">Isocyanates are classified as respiratory sensitizers by NIOSH, OSHA, and equivalent international health and safety authorities. This classification carries specific implications that distinguish isocyanates from most other occupational chemical hazards.</w:t>
            </w:r>
          </w:p>
          <w:p>
            <w:pPr>
              <w:spacing w:after="60"/>
              <w:jc w:val="both"/>
            </w:pPr>
            <w:r>
              <w:rPr>
                <w:rFonts w:ascii="Arial" w:cs="Arial" w:eastAsia="Arial" w:hAnsi="Arial"/>
                <w:color w:val="1A1A1A"/>
                <w:sz w:val="21"/>
                <w:szCs w:val="21"/>
              </w:rPr>
              <w:t xml:space="preserve">Sensitization is an immune system response to repeated or intensive exposure. It does not occur after a single brief exposure in most individuals, but there is no established safe exposure threshold below which sensitization is guaranteed not to occur.</w:t>
            </w:r>
          </w:p>
          <w:p>
            <w:pPr>
              <w:spacing w:after="60"/>
              <w:jc w:val="both"/>
            </w:pPr>
            <w:r>
              <w:rPr>
                <w:rFonts w:ascii="Arial" w:cs="Arial" w:eastAsia="Arial" w:hAnsi="Arial"/>
                <w:color w:val="1A1A1A"/>
                <w:sz w:val="21"/>
                <w:szCs w:val="21"/>
              </w:rPr>
              <w:t xml:space="preserve">Once an individual is sensitized to isocyanates, they will experience allergic asthma, anaphylaxis, or both upon subsequent exposures — potentially at isocyanate concentrations well below the current OSHA Permissible Exposure Limit (PEL). This sensitization is permanent and irreversible. The only management strategy is complete avoidance of future isocyanate exposure, which effectively ends the individual's ability to work with any polyurethane finishing product.</w:t>
            </w:r>
          </w:p>
          <w:p>
            <w:pPr>
              <w:spacing w:after="60"/>
              <w:jc w:val="both"/>
            </w:pPr>
            <w:r>
              <w:rPr>
                <w:rFonts w:ascii="Arial" w:cs="Arial" w:eastAsia="Arial" w:hAnsi="Arial"/>
                <w:color w:val="1A1A1A"/>
                <w:sz w:val="21"/>
                <w:szCs w:val="21"/>
              </w:rPr>
              <w:t xml:space="preserve">Isocyanates are also absorbed through the skin. Dermal contact with uncured 2K material can induce sensitization independently of inhalation exposure. This is not hypothetical — documented cases of sensitization through skin contact without inhalation exposure exist in the occupational medicine literature.</w:t>
            </w:r>
          </w:p>
          <w:p>
            <w:pPr>
              <w:spacing w:after="60"/>
              <w:jc w:val="both"/>
            </w:pPr>
            <w:r>
              <w:rPr>
                <w:rFonts w:ascii="Arial" w:cs="Arial" w:eastAsia="Arial" w:hAnsi="Arial"/>
                <w:color w:val="1A1A1A"/>
                <w:sz w:val="21"/>
                <w:szCs w:val="21"/>
              </w:rPr>
              <w:t xml:space="preserve">NIOSH and OSHA identify isocyanate exposure as a leading cause of occupational asthma in painting and coating industries in the United States.</w:t>
            </w:r>
          </w:p>
          <w:p>
            <w:pPr>
              <w:spacing w:after="60"/>
              <w:jc w:val="both"/>
            </w:pPr>
            <w:r>
              <w:rPr>
                <w:rFonts w:ascii="Arial" w:cs="Arial" w:eastAsia="Arial" w:hAnsi="Arial"/>
                <w:color w:val="1A1A1A"/>
                <w:sz w:val="21"/>
                <w:szCs w:val="21"/>
              </w:rPr>
              <w:t xml:space="preserve">Cured polyurethane film is inert. The hazard is present only during application and the initial curing period.</w:t>
            </w:r>
          </w:p>
        </w:tc>
      </w:tr>
    </w:tbl>
    <w:p>
      <w:pPr>
        <w:pStyle w:val="Heading2"/>
        <w:spacing w:before="360" w:after="100"/>
      </w:pPr>
      <w:r>
        <w:rPr>
          <w:rFonts w:ascii="Arial" w:cs="Arial" w:eastAsia="Arial" w:hAnsi="Arial"/>
          <w:b/>
          <w:bCs/>
          <w:color w:val="1A1A1A"/>
          <w:sz w:val="26"/>
          <w:szCs w:val="26"/>
        </w:rPr>
        <w:t xml:space="preserve">Personal Protective Equipment — Selection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Application Scenario</w:t>
            </w:r>
          </w:p>
        </w:tc>
        <w:tc>
          <w:tcPr>
            <w:tcW w:type="dxa" w:w="1872"/>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Minimum Respiratory Protection</w:t>
            </w:r>
          </w:p>
        </w:tc>
        <w:tc>
          <w:tcPr>
            <w:tcW w:type="dxa" w:w="1872"/>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Hand Protection</w:t>
            </w:r>
          </w:p>
        </w:tc>
        <w:tc>
          <w:tcPr>
            <w:tcW w:type="dxa" w:w="1872"/>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Eye/Face Protection</w:t>
            </w:r>
          </w:p>
        </w:tc>
        <w:tc>
          <w:tcPr>
            <w:tcW w:type="dxa" w:w="1872"/>
            <w:tcBorders>
              <w:top w:val="single" w:color="888888" w:sz="1"/>
              <w:left w:val="single" w:color="888888" w:sz="1"/>
              <w:bottom w:val="single" w:color="888888" w:sz="1"/>
              <w:right w:val="single" w:color="888888" w:sz="1"/>
            </w:tcBorders>
            <w:shd w:fill="1C3A5E" w:val="clear"/>
            <w:tcMar>
              <w:top w:type="dxa" w:w="100"/>
              <w:left w:type="dxa" w:w="120"/>
              <w:bottom w:type="dxa" w:w="100"/>
              <w:right w:type="dxa" w:w="120"/>
            </w:tcMar>
          </w:tcPr>
          <w:p>
            <w:r>
              <w:rPr>
                <w:rFonts w:ascii="Arial" w:cs="Arial" w:eastAsia="Arial" w:hAnsi="Arial"/>
                <w:b/>
                <w:bCs/>
                <w:color w:val="FFFFFF"/>
                <w:sz w:val="19"/>
                <w:szCs w:val="19"/>
              </w:rPr>
              <w:t xml:space="preserve">Skin Coverage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Consumer oil-based, brush/wipe, ventilated space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Half-face respirator, OV cartridges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Nitrile gloves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Safety glasses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Recommended — long sleeves</w:t>
            </w:r>
          </w:p>
        </w:tc>
      </w:tr>
      <w:tr>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Consumer water-based, brush/wipe, ventilated space</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N95 at minimum; OV cartridges recommended</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Nitrile gloves</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Safety glasses</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Standard work clothing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Any product, spray application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Half-face respirator, OV/P100 cartridges — REQUIRED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Nitrile gloves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Safety glasses or goggles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Long sleeves and trousers</w:t>
            </w:r>
          </w:p>
        </w:tc>
      </w:tr>
      <w:tr>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2K system, spray, incidental use</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Half-face respirator, OV/P100 cartridges — MINIMUM</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Nitrile gloves (consider double-gloving)</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Safety goggles</w:t>
            </w:r>
          </w:p>
        </w:tc>
        <w:tc>
          <w:tcPr>
            <w:tcW w:type="dxa" w:w="1872"/>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color w:val="1A1A1A"/>
                <w:sz w:val="19"/>
                <w:szCs w:val="19"/>
              </w:rPr>
              <w:t xml:space="preserve">Full coverage — no exposed skin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2K system, spray, regular production use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Supplied-air respirator (PAPR or airline) — RECOMMENDED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Chemical-resistant gloves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Full face shield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Full coverage — coveralls recommended</w:t>
            </w:r>
          </w:p>
        </w:tc>
      </w:tr>
    </w:tbl>
    <w:p>
      <w:pPr>
        <w:spacing w:after="80"/>
      </w:pPr>
      <w:r>
        <w:t xml:space="preserve"/>
      </w:r>
    </w:p>
    <w:p>
      <w:pPr>
        <w:pStyle w:val="Heading2"/>
        <w:spacing w:before="360" w:after="100"/>
      </w:pPr>
      <w:r>
        <w:rPr>
          <w:rFonts w:ascii="Arial" w:cs="Arial" w:eastAsia="Arial" w:hAnsi="Arial"/>
          <w:b/>
          <w:bCs/>
          <w:color w:val="1A1A1A"/>
          <w:sz w:val="26"/>
          <w:szCs w:val="26"/>
        </w:rPr>
        <w:t xml:space="preserve">Ventilation Requirements</w:t>
      </w:r>
    </w:p>
    <w:p>
      <w:pPr>
        <w:spacing w:after="160"/>
        <w:jc w:val="both"/>
      </w:pPr>
      <w:r>
        <w:rPr>
          <w:rFonts w:ascii="Arial" w:cs="Arial" w:eastAsia="Arial" w:hAnsi="Arial"/>
          <w:color w:val="1A1A1A"/>
          <w:sz w:val="22"/>
          <w:szCs w:val="22"/>
        </w:rPr>
        <w:t xml:space="preserve">Ventilation serves to dilute and remove airborne contaminants from the working environment. It is a primary engineering control — to be implemented before personal protective equipment, not instead of it. For 2K spray application, ventilation alone is insufficient to reduce isocyanate exposure to acceptable levels; PPE is required concurrently.</w:t>
      </w:r>
    </w:p>
    <w:p>
      <w:pPr>
        <w:pStyle w:val="ListParagraph"/>
        <w:numPr>
          <w:ilvl w:val="0"/>
          <w:numId w:val="2"/>
        </w:numPr>
        <w:spacing w:after="80"/>
      </w:pPr>
      <w:r>
        <w:rPr>
          <w:rFonts w:ascii="Arial" w:cs="Arial" w:eastAsia="Arial" w:hAnsi="Arial"/>
          <w:b w:val="false"/>
          <w:bCs w:val="false"/>
          <w:color w:val="1A1A1A"/>
          <w:sz w:val="22"/>
          <w:szCs w:val="22"/>
        </w:rPr>
        <w:t xml:space="preserve">General principle: Air should flow through the finishing space directionally — drawing contaminated air out at one end while fresh air enters at the other. Cross-ventilation with an exhaust fan is the minimum effective configuration for brush or wipe application of consumer products.</w:t>
      </w:r>
    </w:p>
    <w:p>
      <w:pPr>
        <w:pStyle w:val="ListParagraph"/>
        <w:numPr>
          <w:ilvl w:val="0"/>
          <w:numId w:val="2"/>
        </w:numPr>
        <w:spacing w:after="80"/>
      </w:pPr>
      <w:r>
        <w:rPr>
          <w:rFonts w:ascii="Arial" w:cs="Arial" w:eastAsia="Arial" w:hAnsi="Arial"/>
          <w:b w:val="false"/>
          <w:bCs w:val="false"/>
          <w:color w:val="1A1A1A"/>
          <w:sz w:val="22"/>
          <w:szCs w:val="22"/>
        </w:rPr>
        <w:t xml:space="preserve">For spray application: A dedicated spray booth with filtered exhaust is the appropriate control measure. Unfiltered spray exhaust is both a fire hazard (for solvent-based products) and a regulatory violation in most jurisdictions.</w:t>
      </w:r>
    </w:p>
    <w:p>
      <w:pPr>
        <w:pStyle w:val="ListParagraph"/>
        <w:numPr>
          <w:ilvl w:val="0"/>
          <w:numId w:val="2"/>
        </w:numPr>
        <w:spacing w:after="80"/>
      </w:pPr>
      <w:r>
        <w:rPr>
          <w:rFonts w:ascii="Arial" w:cs="Arial" w:eastAsia="Arial" w:hAnsi="Arial"/>
          <w:b w:val="false"/>
          <w:bCs w:val="false"/>
          <w:color w:val="1A1A1A"/>
          <w:sz w:val="22"/>
          <w:szCs w:val="22"/>
        </w:rPr>
        <w:t xml:space="preserve">For in-home or on-site application: Maximize natural ventilation. Open windows and doors to create airflow. A box fan placed in a window to exhaust air outward is effective for consumer products in residential settings. This is not adequate for professional spray operations.</w:t>
      </w:r>
    </w:p>
    <w:p>
      <w:pPr>
        <w:pStyle w:val="Heading2"/>
        <w:spacing w:before="360" w:after="100"/>
      </w:pPr>
      <w:r>
        <w:rPr>
          <w:rFonts w:ascii="Arial" w:cs="Arial" w:eastAsia="Arial" w:hAnsi="Arial"/>
          <w:b/>
          <w:bCs/>
          <w:color w:val="1A1A1A"/>
          <w:sz w:val="26"/>
          <w:szCs w:val="26"/>
        </w:rPr>
        <w:t xml:space="preserve">Storage, Handling, and Disposal</w:t>
      </w:r>
    </w:p>
    <w:p>
      <w:pPr>
        <w:pStyle w:val="ListParagraph"/>
        <w:numPr>
          <w:ilvl w:val="0"/>
          <w:numId w:val="2"/>
        </w:numPr>
        <w:spacing w:after="80"/>
      </w:pPr>
      <w:r>
        <w:rPr>
          <w:rFonts w:ascii="Arial" w:cs="Arial" w:eastAsia="Arial" w:hAnsi="Arial"/>
          <w:b w:val="false"/>
          <w:bCs w:val="false"/>
          <w:color w:val="1A1A1A"/>
          <w:sz w:val="22"/>
          <w:szCs w:val="22"/>
        </w:rPr>
        <w:t xml:space="preserve">Store finishing products in original containers, sealed, in a cool dry location segregated from ignition sources and incompatible materials.</w:t>
      </w:r>
    </w:p>
    <w:p>
      <w:pPr>
        <w:pStyle w:val="ListParagraph"/>
        <w:numPr>
          <w:ilvl w:val="0"/>
          <w:numId w:val="2"/>
        </w:numPr>
        <w:spacing w:after="80"/>
      </w:pPr>
      <w:r>
        <w:rPr>
          <w:rFonts w:ascii="Arial" w:cs="Arial" w:eastAsia="Arial" w:hAnsi="Arial"/>
          <w:b w:val="false"/>
          <w:bCs w:val="false"/>
          <w:color w:val="1A1A1A"/>
          <w:sz w:val="22"/>
          <w:szCs w:val="22"/>
        </w:rPr>
        <w:t xml:space="preserve">Oil-based application materials (rags, brushes, cloths): spontaneous combustion hazard. Do not allow to accumulate bundled or crumpled. Spread flat to dry in open air, or submerge in water in a sealed metal container before disposal. This step is non-negotiable.</w:t>
      </w:r>
    </w:p>
    <w:p>
      <w:pPr>
        <w:pStyle w:val="ListParagraph"/>
        <w:numPr>
          <w:ilvl w:val="0"/>
          <w:numId w:val="2"/>
        </w:numPr>
        <w:spacing w:after="80"/>
      </w:pPr>
      <w:r>
        <w:rPr>
          <w:rFonts w:ascii="Arial" w:cs="Arial" w:eastAsia="Arial" w:hAnsi="Arial"/>
          <w:b w:val="false"/>
          <w:bCs w:val="false"/>
          <w:color w:val="1A1A1A"/>
          <w:sz w:val="22"/>
          <w:szCs w:val="22"/>
        </w:rPr>
        <w:t xml:space="preserve">Mixed 2K material that has exceeded its pot life: allow to cure fully as a solid before disposal as solid waste. Do not pour uncured catalyzed material into drains or solid waste containers — the isocyanate remains reactive until the cure reaction completes.</w:t>
      </w:r>
    </w:p>
    <w:p>
      <w:pPr>
        <w:pStyle w:val="ListParagraph"/>
        <w:numPr>
          <w:ilvl w:val="0"/>
          <w:numId w:val="2"/>
        </w:numPr>
        <w:spacing w:after="80"/>
      </w:pPr>
      <w:r>
        <w:rPr>
          <w:rFonts w:ascii="Arial" w:cs="Arial" w:eastAsia="Arial" w:hAnsi="Arial"/>
          <w:b w:val="false"/>
          <w:bCs w:val="false"/>
          <w:color w:val="1A1A1A"/>
          <w:sz w:val="22"/>
          <w:szCs w:val="22"/>
        </w:rPr>
        <w:t xml:space="preserve">Consult local municipal hazardous materials disposal resources for unused product disposal. Polyurethane products are not appropriate for standard municipal solid waste in liquid form.</w:t>
      </w:r>
    </w:p>
    <w:p>
      <w:pPr>
        <w:pStyle w:val="ListParagraph"/>
        <w:numPr>
          <w:ilvl w:val="0"/>
          <w:numId w:val="2"/>
        </w:numPr>
        <w:spacing w:after="80"/>
      </w:pPr>
      <w:r>
        <w:rPr>
          <w:rFonts w:ascii="Arial" w:cs="Arial" w:eastAsia="Arial" w:hAnsi="Arial"/>
          <w:b w:val="false"/>
          <w:bCs w:val="false"/>
          <w:color w:val="1A1A1A"/>
          <w:sz w:val="22"/>
          <w:szCs w:val="22"/>
        </w:rPr>
        <w:t xml:space="preserve">Maintain Safety Data Sheets (SDS) for all products used in the shop. Review the SDS before first use of any new product, and ensure that PPE selections are consistent with the SDS specifications.</w:t>
      </w:r>
    </w:p>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Section 9: Application Procedures</w:t>
      </w:r>
    </w:p>
    <w:p>
      <w:pPr>
        <w:pStyle w:val="Heading2"/>
        <w:spacing w:before="360" w:after="100"/>
      </w:pPr>
      <w:r>
        <w:rPr>
          <w:rFonts w:ascii="Arial" w:cs="Arial" w:eastAsia="Arial" w:hAnsi="Arial"/>
          <w:b/>
          <w:bCs/>
          <w:color w:val="1A1A1A"/>
          <w:sz w:val="26"/>
          <w:szCs w:val="26"/>
        </w:rPr>
        <w:t xml:space="preserve">Part A: Consumer Polyurethane — Brush or Wipe-On Application</w:t>
      </w:r>
    </w:p>
    <w:p>
      <w:pPr>
        <w:spacing w:after="160"/>
        <w:jc w:val="both"/>
      </w:pPr>
      <w:r>
        <w:rPr>
          <w:rFonts w:ascii="Arial" w:cs="Arial" w:eastAsia="Arial" w:hAnsi="Arial"/>
          <w:color w:val="1A1A1A"/>
          <w:sz w:val="22"/>
          <w:szCs w:val="22"/>
        </w:rPr>
        <w:t xml:space="preserve">The following procedure applies to both oil-based and water-based consumer polyurethane applied by brush or wipe-on cloth. Variations specific to each chemistry are noted where relevant.</w:t>
      </w:r>
    </w:p>
    <w:p>
      <w:pPr>
        <w:pStyle w:val="ListParagraph"/>
        <w:numPr>
          <w:ilvl w:val="0"/>
          <w:numId w:val="3"/>
        </w:numPr>
        <w:spacing w:after="100"/>
      </w:pPr>
      <w:r>
        <w:rPr>
          <w:rFonts w:ascii="Arial" w:cs="Arial" w:eastAsia="Arial" w:hAnsi="Arial"/>
          <w:b/>
          <w:bCs/>
          <w:color w:val="1A1A1A"/>
          <w:sz w:val="22"/>
          <w:szCs w:val="22"/>
        </w:rPr>
        <w:t xml:space="preserve">Workspace preparation. </w:t>
      </w:r>
      <w:r>
        <w:rPr>
          <w:rFonts w:ascii="Arial" w:cs="Arial" w:eastAsia="Arial" w:hAnsi="Arial"/>
          <w:color w:val="1A1A1A"/>
          <w:sz w:val="22"/>
          <w:szCs w:val="22"/>
        </w:rPr>
        <w:t xml:space="preserve">Clear and clean the finishing area. Disable overhead fans and HVAC airflow to minimize dust entrainment during application. Lay 6-mil polyethylene sheeting beneath the work surface. Put on all applicable PPE before opening any finish product.</w:t>
      </w:r>
    </w:p>
    <w:p>
      <w:pPr>
        <w:pStyle w:val="ListParagraph"/>
        <w:numPr>
          <w:ilvl w:val="0"/>
          <w:numId w:val="3"/>
        </w:numPr>
        <w:spacing w:after="100"/>
      </w:pPr>
      <w:r>
        <w:rPr>
          <w:rFonts w:ascii="Arial" w:cs="Arial" w:eastAsia="Arial" w:hAnsi="Arial"/>
          <w:b/>
          <w:bCs/>
          <w:color w:val="1A1A1A"/>
          <w:sz w:val="22"/>
          <w:szCs w:val="22"/>
        </w:rPr>
        <w:t xml:space="preserve">Final surface preparation. </w:t>
      </w:r>
      <w:r>
        <w:rPr>
          <w:rFonts w:ascii="Arial" w:cs="Arial" w:eastAsia="Arial" w:hAnsi="Arial"/>
          <w:color w:val="1A1A1A"/>
          <w:sz w:val="22"/>
          <w:szCs w:val="22"/>
        </w:rPr>
        <w:t xml:space="preserve">Sand the work surface to the appropriate final grit for the species (see Section 7). Vacuum all surfaces. Wipe with a tack cloth. For water-based products: complete the grain pre-raising procedure if not previously done.</w:t>
      </w:r>
    </w:p>
    <w:p>
      <w:pPr>
        <w:pStyle w:val="ListParagraph"/>
        <w:numPr>
          <w:ilvl w:val="0"/>
          <w:numId w:val="3"/>
        </w:numPr>
        <w:spacing w:after="100"/>
      </w:pPr>
      <w:r>
        <w:rPr>
          <w:rFonts w:ascii="Arial" w:cs="Arial" w:eastAsia="Arial" w:hAnsi="Arial"/>
          <w:b/>
          <w:bCs/>
          <w:color w:val="1A1A1A"/>
          <w:sz w:val="22"/>
          <w:szCs w:val="22"/>
        </w:rPr>
        <w:t xml:space="preserve">Seal coat — first coat. </w:t>
      </w:r>
      <w:r>
        <w:rPr>
          <w:rFonts w:ascii="Arial" w:cs="Arial" w:eastAsia="Arial" w:hAnsi="Arial"/>
          <w:color w:val="1A1A1A"/>
          <w:sz w:val="22"/>
          <w:szCs w:val="22"/>
        </w:rPr>
        <w:t xml:space="preserve">Oil-based: thin 10 to 15% with mineral spirits to promote penetration. Water-based: apply at working viscosity. Apply in long, uninterrupted strokes parallel to the grain. Tip off to eliminate bubbles. Catch and smooth any drips immediately.</w:t>
      </w:r>
    </w:p>
    <w:p>
      <w:pPr>
        <w:pStyle w:val="ListParagraph"/>
        <w:numPr>
          <w:ilvl w:val="0"/>
          <w:numId w:val="3"/>
        </w:numPr>
        <w:spacing w:after="100"/>
      </w:pPr>
      <w:r>
        <w:rPr>
          <w:rFonts w:ascii="Arial" w:cs="Arial" w:eastAsia="Arial" w:hAnsi="Arial"/>
          <w:b/>
          <w:bCs/>
          <w:color w:val="1A1A1A"/>
          <w:sz w:val="22"/>
          <w:szCs w:val="22"/>
        </w:rPr>
        <w:t xml:space="preserve">Allow full dry time before sanding. </w:t>
      </w:r>
      <w:r>
        <w:rPr>
          <w:rFonts w:ascii="Arial" w:cs="Arial" w:eastAsia="Arial" w:hAnsi="Arial"/>
          <w:color w:val="1A1A1A"/>
          <w:sz w:val="22"/>
          <w:szCs w:val="22"/>
        </w:rPr>
        <w:t xml:space="preserve">Oil-based: minimum 12 hours, 24 hours preferred. Water-based: 2 to 4 hours per product specification. Do not sand prematurely.</w:t>
      </w:r>
    </w:p>
    <w:p>
      <w:pPr>
        <w:pStyle w:val="ListParagraph"/>
        <w:numPr>
          <w:ilvl w:val="0"/>
          <w:numId w:val="3"/>
        </w:numPr>
        <w:spacing w:after="100"/>
      </w:pPr>
      <w:r>
        <w:rPr>
          <w:rFonts w:ascii="Arial" w:cs="Arial" w:eastAsia="Arial" w:hAnsi="Arial"/>
          <w:b/>
          <w:bCs/>
          <w:color w:val="1A1A1A"/>
          <w:sz w:val="22"/>
          <w:szCs w:val="22"/>
        </w:rPr>
        <w:t xml:space="preserve">Between-coat sanding — first pass. </w:t>
      </w:r>
      <w:r>
        <w:rPr>
          <w:rFonts w:ascii="Arial" w:cs="Arial" w:eastAsia="Arial" w:hAnsi="Arial"/>
          <w:color w:val="1A1A1A"/>
          <w:sz w:val="22"/>
          <w:szCs w:val="22"/>
        </w:rPr>
        <w:t xml:space="preserve">220 grit, full surface. Objective is to level raised grain and remove dust contamination, not to remove the coat. Wipe all dust with tack cloth.</w:t>
      </w:r>
    </w:p>
    <w:p>
      <w:pPr>
        <w:pStyle w:val="ListParagraph"/>
        <w:numPr>
          <w:ilvl w:val="0"/>
          <w:numId w:val="3"/>
        </w:numPr>
        <w:spacing w:after="100"/>
      </w:pPr>
      <w:r>
        <w:rPr>
          <w:rFonts w:ascii="Arial" w:cs="Arial" w:eastAsia="Arial" w:hAnsi="Arial"/>
          <w:b/>
          <w:bCs/>
          <w:color w:val="1A1A1A"/>
          <w:sz w:val="22"/>
          <w:szCs w:val="22"/>
        </w:rPr>
        <w:t xml:space="preserve">Second coat — full strength. </w:t>
      </w:r>
      <w:r>
        <w:rPr>
          <w:rFonts w:ascii="Arial" w:cs="Arial" w:eastAsia="Arial" w:hAnsi="Arial"/>
          <w:color w:val="1A1A1A"/>
          <w:sz w:val="22"/>
          <w:szCs w:val="22"/>
        </w:rPr>
        <w:t xml:space="preserve">Apply from the container without thinning. Same technique as the first coat. Ensure full, even coverage without over-application.</w:t>
      </w:r>
    </w:p>
    <w:p>
      <w:pPr>
        <w:pStyle w:val="ListParagraph"/>
        <w:numPr>
          <w:ilvl w:val="0"/>
          <w:numId w:val="3"/>
        </w:numPr>
        <w:spacing w:after="100"/>
      </w:pPr>
      <w:r>
        <w:rPr>
          <w:rFonts w:ascii="Arial" w:cs="Arial" w:eastAsia="Arial" w:hAnsi="Arial"/>
          <w:b/>
          <w:bCs/>
          <w:color w:val="1A1A1A"/>
          <w:sz w:val="22"/>
          <w:szCs w:val="22"/>
        </w:rPr>
        <w:t xml:space="preserve">Between-coat sanding — second pass. </w:t>
      </w:r>
      <w:r>
        <w:rPr>
          <w:rFonts w:ascii="Arial" w:cs="Arial" w:eastAsia="Arial" w:hAnsi="Arial"/>
          <w:color w:val="1A1A1A"/>
          <w:sz w:val="22"/>
          <w:szCs w:val="22"/>
        </w:rPr>
        <w:t xml:space="preserve">320 grit. More refined surface; improved intercoat adhesion. Remove all dust.</w:t>
      </w:r>
    </w:p>
    <w:p>
      <w:pPr>
        <w:pStyle w:val="ListParagraph"/>
        <w:numPr>
          <w:ilvl w:val="0"/>
          <w:numId w:val="3"/>
        </w:numPr>
        <w:spacing w:after="100"/>
      </w:pPr>
      <w:r>
        <w:rPr>
          <w:rFonts w:ascii="Arial" w:cs="Arial" w:eastAsia="Arial" w:hAnsi="Arial"/>
          <w:b/>
          <w:bCs/>
          <w:color w:val="1A1A1A"/>
          <w:sz w:val="22"/>
          <w:szCs w:val="22"/>
        </w:rPr>
        <w:t xml:space="preserve">Third coat — show coat. </w:t>
      </w:r>
      <w:r>
        <w:rPr>
          <w:rFonts w:ascii="Arial" w:cs="Arial" w:eastAsia="Arial" w:hAnsi="Arial"/>
          <w:color w:val="1A1A1A"/>
          <w:sz w:val="22"/>
          <w:szCs w:val="22"/>
        </w:rPr>
        <w:t xml:space="preserve">The final coat should be applied with the greatest deliberateness. Use a freshly loaded brush. Work quickly and consistently. Tip off thoroughly. Avoid returning to areas that have begun to tack.</w:t>
      </w:r>
    </w:p>
    <w:p>
      <w:pPr>
        <w:pStyle w:val="ListParagraph"/>
        <w:numPr>
          <w:ilvl w:val="0"/>
          <w:numId w:val="3"/>
        </w:numPr>
        <w:spacing w:after="100"/>
      </w:pPr>
      <w:r>
        <w:rPr>
          <w:rFonts w:ascii="Arial" w:cs="Arial" w:eastAsia="Arial" w:hAnsi="Arial"/>
          <w:b/>
          <w:bCs/>
          <w:color w:val="1A1A1A"/>
          <w:sz w:val="22"/>
          <w:szCs w:val="22"/>
        </w:rPr>
        <w:t xml:space="preserve">Final cure period. </w:t>
      </w:r>
      <w:r>
        <w:rPr>
          <w:rFonts w:ascii="Arial" w:cs="Arial" w:eastAsia="Arial" w:hAnsi="Arial"/>
          <w:color w:val="1A1A1A"/>
          <w:sz w:val="22"/>
          <w:szCs w:val="22"/>
        </w:rPr>
        <w:t xml:space="preserve">Allow 24 to 48 hours before light use. Allow the manufacturer-specified full cure period before heavy use or before placing objects on the surface. For oil-based products, full cure is typically 30 days. The finish is 'dry' considerably before it is 'cured.'</w:t>
      </w:r>
    </w:p>
    <w:p>
      <w:pPr>
        <w:pStyle w:val="Heading2"/>
        <w:spacing w:before="360" w:after="100"/>
      </w:pPr>
      <w:r>
        <w:rPr>
          <w:rFonts w:ascii="Arial" w:cs="Arial" w:eastAsia="Arial" w:hAnsi="Arial"/>
          <w:b/>
          <w:bCs/>
          <w:color w:val="1A1A1A"/>
          <w:sz w:val="26"/>
          <w:szCs w:val="26"/>
        </w:rPr>
        <w:t xml:space="preserve">Part B: Professional Waterborne — Spray Application (1K or 2K)</w:t>
      </w:r>
    </w:p>
    <w:p>
      <w:pPr>
        <w:spacing w:after="160"/>
        <w:jc w:val="both"/>
      </w:pPr>
      <w:r>
        <w:rPr>
          <w:rFonts w:ascii="Arial" w:cs="Arial" w:eastAsia="Arial" w:hAnsi="Arial"/>
          <w:color w:val="1A1A1A"/>
          <w:sz w:val="22"/>
          <w:szCs w:val="22"/>
        </w:rPr>
        <w:t xml:space="preserve">The following procedure assumes HVLP or airless spray equipment and professional waterborne products. For 2K systems, all steps pertaining to catalyzation and pot life management are mandatory.</w:t>
      </w:r>
    </w:p>
    <w:p>
      <w:pPr>
        <w:pStyle w:val="ListParagraph"/>
        <w:numPr>
          <w:ilvl w:val="0"/>
          <w:numId w:val="3"/>
        </w:numPr>
        <w:spacing w:after="100"/>
      </w:pPr>
      <w:r>
        <w:rPr>
          <w:rFonts w:ascii="Arial" w:cs="Arial" w:eastAsia="Arial" w:hAnsi="Arial"/>
          <w:b/>
          <w:bCs/>
          <w:color w:val="1A1A1A"/>
          <w:sz w:val="22"/>
          <w:szCs w:val="22"/>
        </w:rPr>
        <w:t xml:space="preserve">Verify environmental conditions. </w:t>
      </w:r>
      <w:r>
        <w:rPr>
          <w:rFonts w:ascii="Arial" w:cs="Arial" w:eastAsia="Arial" w:hAnsi="Arial"/>
          <w:color w:val="1A1A1A"/>
          <w:sz w:val="22"/>
          <w:szCs w:val="22"/>
        </w:rPr>
        <w:t xml:space="preserve">Ideal conditions: 65 to 80 degrees Fahrenheit, 35 to 60% relative humidity. Application outside these parameters increases the risk of finish defects including blushing, poor flow, and extended cure times. Verify conditions before beginning.</w:t>
      </w:r>
    </w:p>
    <w:p>
      <w:pPr>
        <w:pStyle w:val="ListParagraph"/>
        <w:numPr>
          <w:ilvl w:val="0"/>
          <w:numId w:val="3"/>
        </w:numPr>
        <w:spacing w:after="100"/>
      </w:pPr>
      <w:r>
        <w:rPr>
          <w:rFonts w:ascii="Arial" w:cs="Arial" w:eastAsia="Arial" w:hAnsi="Arial"/>
          <w:b/>
          <w:bCs/>
          <w:color w:val="1A1A1A"/>
          <w:sz w:val="22"/>
          <w:szCs w:val="22"/>
        </w:rPr>
        <w:t xml:space="preserve">Establish spray environment. </w:t>
      </w:r>
      <w:r>
        <w:rPr>
          <w:rFonts w:ascii="Arial" w:cs="Arial" w:eastAsia="Arial" w:hAnsi="Arial"/>
          <w:color w:val="1A1A1A"/>
          <w:sz w:val="22"/>
          <w:szCs w:val="22"/>
        </w:rPr>
        <w:t xml:space="preserve">Confirm exhaust ventilation is operating. Don all applicable PPE — respirator in place before any product is opened. Eliminate ignition sources if using any solvent-based materials.</w:t>
      </w:r>
    </w:p>
    <w:p>
      <w:pPr>
        <w:pStyle w:val="ListParagraph"/>
        <w:numPr>
          <w:ilvl w:val="0"/>
          <w:numId w:val="3"/>
        </w:numPr>
        <w:spacing w:after="100"/>
      </w:pPr>
      <w:r>
        <w:rPr>
          <w:rFonts w:ascii="Arial" w:cs="Arial" w:eastAsia="Arial" w:hAnsi="Arial"/>
          <w:b/>
          <w:bCs/>
          <w:color w:val="1A1A1A"/>
          <w:sz w:val="22"/>
          <w:szCs w:val="22"/>
        </w:rPr>
        <w:t xml:space="preserve">Catalyzation — 2K systems only. </w:t>
      </w:r>
      <w:r>
        <w:rPr>
          <w:rFonts w:ascii="Arial" w:cs="Arial" w:eastAsia="Arial" w:hAnsi="Arial"/>
          <w:color w:val="1A1A1A"/>
          <w:sz w:val="22"/>
          <w:szCs w:val="22"/>
        </w:rPr>
        <w:t xml:space="preserve">Measure and combine base and catalyst components in the manufacturer-specified ratio. Use a calibrated gram scale for accuracy. Stir thoroughly. Note the start time — the pot life window has begun. Do not catalyze more material than can be applied within the pot life.</w:t>
      </w:r>
    </w:p>
    <w:p>
      <w:pPr>
        <w:pStyle w:val="ListParagraph"/>
        <w:numPr>
          <w:ilvl w:val="0"/>
          <w:numId w:val="3"/>
        </w:numPr>
        <w:spacing w:after="100"/>
      </w:pPr>
      <w:r>
        <w:rPr>
          <w:rFonts w:ascii="Arial" w:cs="Arial" w:eastAsia="Arial" w:hAnsi="Arial"/>
          <w:b/>
          <w:bCs/>
          <w:color w:val="1A1A1A"/>
          <w:sz w:val="22"/>
          <w:szCs w:val="22"/>
        </w:rPr>
        <w:t xml:space="preserve">Material preparation. </w:t>
      </w:r>
      <w:r>
        <w:rPr>
          <w:rFonts w:ascii="Arial" w:cs="Arial" w:eastAsia="Arial" w:hAnsi="Arial"/>
          <w:color w:val="1A1A1A"/>
          <w:sz w:val="22"/>
          <w:szCs w:val="22"/>
        </w:rPr>
        <w:t xml:space="preserve">Adjust viscosity per the product TDS using the manufacturer-recommended thinner if required. Set gun fluid tip, needle, and air pressure per TDS specifications. Test spray pattern on a sample board — verify atomization, fan width, and material flow before committing to the workpiece.</w:t>
      </w:r>
    </w:p>
    <w:p>
      <w:pPr>
        <w:pStyle w:val="ListParagraph"/>
        <w:numPr>
          <w:ilvl w:val="0"/>
          <w:numId w:val="3"/>
        </w:numPr>
        <w:spacing w:after="100"/>
      </w:pPr>
      <w:r>
        <w:rPr>
          <w:rFonts w:ascii="Arial" w:cs="Arial" w:eastAsia="Arial" w:hAnsi="Arial"/>
          <w:b/>
          <w:bCs/>
          <w:color w:val="1A1A1A"/>
          <w:sz w:val="22"/>
          <w:szCs w:val="22"/>
        </w:rPr>
        <w:t xml:space="preserve">First coat application. </w:t>
      </w:r>
      <w:r>
        <w:rPr>
          <w:rFonts w:ascii="Arial" w:cs="Arial" w:eastAsia="Arial" w:hAnsi="Arial"/>
          <w:color w:val="1A1A1A"/>
          <w:sz w:val="22"/>
          <w:szCs w:val="22"/>
        </w:rPr>
        <w:t xml:space="preserve">Maintain consistent distance (typically 6 to 10 inches) and gun speed. Overlap passes by 50%. Start and terminate each pass off the workpiece edge. Apply a full, even coat — not so wet that sags occur, not so dry that the surface texture is apparent.</w:t>
      </w:r>
    </w:p>
    <w:p>
      <w:pPr>
        <w:pStyle w:val="ListParagraph"/>
        <w:numPr>
          <w:ilvl w:val="0"/>
          <w:numId w:val="3"/>
        </w:numPr>
        <w:spacing w:after="100"/>
      </w:pPr>
      <w:r>
        <w:rPr>
          <w:rFonts w:ascii="Arial" w:cs="Arial" w:eastAsia="Arial" w:hAnsi="Arial"/>
          <w:b/>
          <w:bCs/>
          <w:color w:val="1A1A1A"/>
          <w:sz w:val="22"/>
          <w:szCs w:val="22"/>
        </w:rPr>
        <w:t xml:space="preserve">Allow recoat window. </w:t>
      </w:r>
      <w:r>
        <w:rPr>
          <w:rFonts w:ascii="Arial" w:cs="Arial" w:eastAsia="Arial" w:hAnsi="Arial"/>
          <w:color w:val="1A1A1A"/>
          <w:sz w:val="22"/>
          <w:szCs w:val="22"/>
        </w:rPr>
        <w:t xml:space="preserve">Follow the product TDS for minimum recoat time. For Renner 851 (catalyzed): typically 45 to 60 minutes under standard conditions. Do not recoat outside the TDS-specified window — exceeding the maximum recoat window may require additional surface preparation.</w:t>
      </w:r>
    </w:p>
    <w:p>
      <w:pPr>
        <w:pStyle w:val="ListParagraph"/>
        <w:numPr>
          <w:ilvl w:val="0"/>
          <w:numId w:val="3"/>
        </w:numPr>
        <w:spacing w:after="100"/>
      </w:pPr>
      <w:r>
        <w:rPr>
          <w:rFonts w:ascii="Arial" w:cs="Arial" w:eastAsia="Arial" w:hAnsi="Arial"/>
          <w:b/>
          <w:bCs/>
          <w:color w:val="1A1A1A"/>
          <w:sz w:val="22"/>
          <w:szCs w:val="22"/>
        </w:rPr>
        <w:t xml:space="preserve">Between-coat sanding. </w:t>
      </w:r>
      <w:r>
        <w:rPr>
          <w:rFonts w:ascii="Arial" w:cs="Arial" w:eastAsia="Arial" w:hAnsi="Arial"/>
          <w:color w:val="1A1A1A"/>
          <w:sz w:val="22"/>
          <w:szCs w:val="22"/>
        </w:rPr>
        <w:t xml:space="preserve">320 to 400 grit depending on surface quality and coat count. Remove all dust with vacuum and tack cloth before applying subsequent coats.</w:t>
      </w:r>
    </w:p>
    <w:p>
      <w:pPr>
        <w:pStyle w:val="ListParagraph"/>
        <w:numPr>
          <w:ilvl w:val="0"/>
          <w:numId w:val="3"/>
        </w:numPr>
        <w:spacing w:after="100"/>
      </w:pPr>
      <w:r>
        <w:rPr>
          <w:rFonts w:ascii="Arial" w:cs="Arial" w:eastAsia="Arial" w:hAnsi="Arial"/>
          <w:b/>
          <w:bCs/>
          <w:color w:val="1A1A1A"/>
          <w:sz w:val="22"/>
          <w:szCs w:val="22"/>
        </w:rPr>
        <w:t xml:space="preserve">Apply remaining coats. </w:t>
      </w:r>
      <w:r>
        <w:rPr>
          <w:rFonts w:ascii="Arial" w:cs="Arial" w:eastAsia="Arial" w:hAnsi="Arial"/>
          <w:color w:val="1A1A1A"/>
          <w:sz w:val="22"/>
          <w:szCs w:val="22"/>
        </w:rPr>
        <w:t xml:space="preserve">Three to four total coats is standard for cabinetry and furniture applications. Professional 2K products build efficiently — four coats of Renner 851 in a production day is achievable with proper scheduling.</w:t>
      </w:r>
    </w:p>
    <w:p>
      <w:pPr>
        <w:pStyle w:val="ListParagraph"/>
        <w:numPr>
          <w:ilvl w:val="0"/>
          <w:numId w:val="3"/>
        </w:numPr>
        <w:spacing w:after="100"/>
      </w:pPr>
      <w:r>
        <w:rPr>
          <w:rFonts w:ascii="Arial" w:cs="Arial" w:eastAsia="Arial" w:hAnsi="Arial"/>
          <w:b/>
          <w:bCs/>
          <w:color w:val="1A1A1A"/>
          <w:sz w:val="22"/>
          <w:szCs w:val="22"/>
        </w:rPr>
        <w:t xml:space="preserve">Equipment cleaning — 2K systems. </w:t>
      </w:r>
      <w:r>
        <w:rPr>
          <w:rFonts w:ascii="Arial" w:cs="Arial" w:eastAsia="Arial" w:hAnsi="Arial"/>
          <w:color w:val="1A1A1A"/>
          <w:sz w:val="22"/>
          <w:szCs w:val="22"/>
        </w:rPr>
        <w:t xml:space="preserve">Clean spray equipment before the pot life of the mixed material expires. Use the manufacturer-specified solvent or cleaning protocol. A spray gun contaminated with cured 2K material is extremely difficult to reclaim and may require component replacement.</w:t>
      </w:r>
    </w:p>
    <w:p>
      <w:pPr>
        <w:pStyle w:val="ListParagraph"/>
        <w:numPr>
          <w:ilvl w:val="0"/>
          <w:numId w:val="3"/>
        </w:numPr>
        <w:spacing w:after="100"/>
      </w:pPr>
      <w:r>
        <w:rPr>
          <w:rFonts w:ascii="Arial" w:cs="Arial" w:eastAsia="Arial" w:hAnsi="Arial"/>
          <w:b/>
          <w:bCs/>
          <w:color w:val="1A1A1A"/>
          <w:sz w:val="22"/>
          <w:szCs w:val="22"/>
        </w:rPr>
        <w:t xml:space="preserve">Full cure. </w:t>
      </w:r>
      <w:r>
        <w:rPr>
          <w:rFonts w:ascii="Arial" w:cs="Arial" w:eastAsia="Arial" w:hAnsi="Arial"/>
          <w:color w:val="1A1A1A"/>
          <w:sz w:val="22"/>
          <w:szCs w:val="22"/>
        </w:rPr>
        <w:t xml:space="preserve">Follow the product TDS for full cure specifications. Renner 851 (catalyzed): full cure approximately 8 hours. General Finishes Enduro 2K: ready for use in 5 days. Do not subject the finished piece to cleaning agents or physical stress before the specified cure period has elapsed.</w:t>
      </w:r>
    </w:p>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Section 10: Application Considerations by Piece Type</w:t>
      </w:r>
    </w:p>
    <w:p>
      <w:pPr>
        <w:pStyle w:val="Heading2"/>
        <w:spacing w:before="360" w:after="100"/>
      </w:pPr>
      <w:r>
        <w:rPr>
          <w:rFonts w:ascii="Arial" w:cs="Arial" w:eastAsia="Arial" w:hAnsi="Arial"/>
          <w:b/>
          <w:bCs/>
          <w:color w:val="1A1A1A"/>
          <w:sz w:val="26"/>
          <w:szCs w:val="26"/>
        </w:rPr>
        <w:t xml:space="preserve">Cabinetry</w:t>
      </w:r>
    </w:p>
    <w:p>
      <w:pPr>
        <w:spacing w:after="160"/>
        <w:jc w:val="both"/>
      </w:pPr>
      <w:r>
        <w:rPr>
          <w:rFonts w:ascii="Arial" w:cs="Arial" w:eastAsia="Arial" w:hAnsi="Arial"/>
          <w:color w:val="1A1A1A"/>
          <w:sz w:val="22"/>
          <w:szCs w:val="22"/>
        </w:rPr>
        <w:t xml:space="preserve">Cabinetry represents the most demanding routine wood finishing application in residential and commercial settings. Cabinet surfaces must withstand sustained contact with hands, intermittent exposure to water and steam, cleaning agents ranging from mild dish soap to degreasers, UV exposure (particularly in kitchen environments near windows), and physical abrasion from daily use over a service life measured in decades.</w:t>
      </w:r>
    </w:p>
    <w:p>
      <w:pPr>
        <w:pStyle w:val="ListParagraph"/>
        <w:numPr>
          <w:ilvl w:val="0"/>
          <w:numId w:val="2"/>
        </w:numPr>
        <w:spacing w:after="80"/>
      </w:pPr>
      <w:r>
        <w:rPr>
          <w:rFonts w:ascii="Arial" w:cs="Arial" w:eastAsia="Arial" w:hAnsi="Arial"/>
          <w:b w:val="false"/>
          <w:bCs w:val="false"/>
          <w:color w:val="1A1A1A"/>
          <w:sz w:val="22"/>
          <w:szCs w:val="22"/>
        </w:rPr>
        <w:t xml:space="preserve">Product specification: Professional 1K waterborne at minimum; professional 2K waterborne for kitchen and bath cabinetry where cleaning agent exposure is frequent. Consumer products do not reliably meet the durability requirements of kitchen cabinet applications over a meaningful service period.</w:t>
      </w:r>
    </w:p>
    <w:p>
      <w:pPr>
        <w:pStyle w:val="ListParagraph"/>
        <w:numPr>
          <w:ilvl w:val="0"/>
          <w:numId w:val="2"/>
        </w:numPr>
        <w:spacing w:after="80"/>
      </w:pPr>
      <w:r>
        <w:rPr>
          <w:rFonts w:ascii="Arial" w:cs="Arial" w:eastAsia="Arial" w:hAnsi="Arial"/>
          <w:b w:val="false"/>
          <w:bCs w:val="false"/>
          <w:color w:val="1A1A1A"/>
          <w:sz w:val="22"/>
          <w:szCs w:val="22"/>
        </w:rPr>
        <w:t xml:space="preserve">KCMA compliance: The Kitchen Cabinet Manufacturers Association publishes performance standards for cabinet coatings covering chemical resistance, abrasion resistance, and temperature resistance. Specifying a product that meets KCMA standards provides a documented performance baseline for professional installations.</w:t>
      </w:r>
    </w:p>
    <w:p>
      <w:pPr>
        <w:pStyle w:val="ListParagraph"/>
        <w:numPr>
          <w:ilvl w:val="0"/>
          <w:numId w:val="2"/>
        </w:numPr>
        <w:spacing w:after="80"/>
      </w:pPr>
      <w:r>
        <w:rPr>
          <w:rFonts w:ascii="Arial" w:cs="Arial" w:eastAsia="Arial" w:hAnsi="Arial"/>
          <w:b w:val="false"/>
          <w:bCs w:val="false"/>
          <w:color w:val="1A1A1A"/>
          <w:sz w:val="22"/>
          <w:szCs w:val="22"/>
        </w:rPr>
        <w:t xml:space="preserve">Application sequence: Spray cabinet doors horizontally where possible to minimize sag risk. Use a drying rack system to allow doors to stand on edge after spraying without surface contact. Spray box interiors before installation where possible.</w:t>
      </w:r>
    </w:p>
    <w:p>
      <w:pPr>
        <w:pStyle w:val="ListParagraph"/>
        <w:numPr>
          <w:ilvl w:val="0"/>
          <w:numId w:val="2"/>
        </w:numPr>
        <w:spacing w:after="80"/>
      </w:pPr>
      <w:r>
        <w:rPr>
          <w:rFonts w:ascii="Arial" w:cs="Arial" w:eastAsia="Arial" w:hAnsi="Arial"/>
          <w:b w:val="false"/>
          <w:bCs w:val="false"/>
          <w:color w:val="1A1A1A"/>
          <w:sz w:val="22"/>
          <w:szCs w:val="22"/>
        </w:rPr>
        <w:t xml:space="preserve">Coat count: Two to three coats on box interiors and non-visible surfaces; three to four coats on door faces, drawer fronts, and all exposed frame members.</w:t>
      </w:r>
    </w:p>
    <w:p>
      <w:pPr>
        <w:pStyle w:val="ListParagraph"/>
        <w:numPr>
          <w:ilvl w:val="0"/>
          <w:numId w:val="2"/>
        </w:numPr>
        <w:spacing w:after="80"/>
      </w:pPr>
      <w:r>
        <w:rPr>
          <w:rFonts w:ascii="Arial" w:cs="Arial" w:eastAsia="Arial" w:hAnsi="Arial"/>
          <w:b w:val="false"/>
          <w:bCs w:val="false"/>
          <w:color w:val="1A1A1A"/>
          <w:sz w:val="22"/>
          <w:szCs w:val="22"/>
        </w:rPr>
        <w:t xml:space="preserve">Sheen selection: Satin (30 to 40 degree gloss) is the most practical specification for kitchen cabinetry — it reflects less light than semi-gloss, is more forgiving of minor surface irregularities, and is easier to maintain. Matte sheens have gained significant design currency in recent years but require more deliberate maintenance to avoid sheen variation from cleaning.</w:t>
      </w:r>
    </w:p>
    <w:p>
      <w:pPr>
        <w:pStyle w:val="Heading2"/>
        <w:spacing w:before="360" w:after="100"/>
      </w:pPr>
      <w:r>
        <w:rPr>
          <w:rFonts w:ascii="Arial" w:cs="Arial" w:eastAsia="Arial" w:hAnsi="Arial"/>
          <w:b/>
          <w:bCs/>
          <w:color w:val="1A1A1A"/>
          <w:sz w:val="26"/>
          <w:szCs w:val="26"/>
        </w:rPr>
        <w:t xml:space="preserve">Dining Tables and High-Use Horizontal Surfaces</w:t>
      </w:r>
    </w:p>
    <w:p>
      <w:pPr>
        <w:spacing w:after="160"/>
        <w:jc w:val="both"/>
      </w:pPr>
      <w:r>
        <w:rPr>
          <w:rFonts w:ascii="Arial" w:cs="Arial" w:eastAsia="Arial" w:hAnsi="Arial"/>
          <w:color w:val="1A1A1A"/>
          <w:sz w:val="22"/>
          <w:szCs w:val="22"/>
        </w:rPr>
        <w:t xml:space="preserve">The dining table surface is among the most demanding finishing applications for interior furniture. It sustains direct food and beverage contact, hot dishware and pots, sustained forearm pressure, cleaning agent exposure, and significant humidity cycling as meals are served and cleared. An under-specified finish on a dining table will exhibit visible wear within months of regular use.</w:t>
      </w:r>
    </w:p>
    <w:p>
      <w:pPr>
        <w:pStyle w:val="ListParagraph"/>
        <w:numPr>
          <w:ilvl w:val="0"/>
          <w:numId w:val="2"/>
        </w:numPr>
        <w:spacing w:after="80"/>
      </w:pPr>
      <w:r>
        <w:rPr>
          <w:rFonts w:ascii="Arial" w:cs="Arial" w:eastAsia="Arial" w:hAnsi="Arial"/>
          <w:b w:val="false"/>
          <w:bCs w:val="false"/>
          <w:color w:val="1A1A1A"/>
          <w:sz w:val="22"/>
          <w:szCs w:val="22"/>
        </w:rPr>
        <w:t xml:space="preserve">Product specification: A high-quality consumer oil-based product (Varathane Ultimate or equivalent) represents the minimum appropriate specification for residential dining table use. For any commercial application, or for residential clients who expect long-term durability without refinishing, a professional 2K waterborne system is the correct specification.</w:t>
      </w:r>
    </w:p>
    <w:p>
      <w:pPr>
        <w:pStyle w:val="ListParagraph"/>
        <w:numPr>
          <w:ilvl w:val="0"/>
          <w:numId w:val="2"/>
        </w:numPr>
        <w:spacing w:after="80"/>
      </w:pPr>
      <w:r>
        <w:rPr>
          <w:rFonts w:ascii="Arial" w:cs="Arial" w:eastAsia="Arial" w:hAnsi="Arial"/>
          <w:b w:val="false"/>
          <w:bCs w:val="false"/>
          <w:color w:val="1A1A1A"/>
          <w:sz w:val="22"/>
          <w:szCs w:val="22"/>
        </w:rPr>
        <w:t xml:space="preserve">Coat count: Three to four coats on the top surface. Do not shortchange the table surface — it receives more mechanical stress per unit area than any other furniture surface.</w:t>
      </w:r>
    </w:p>
    <w:p>
      <w:pPr>
        <w:pStyle w:val="ListParagraph"/>
        <w:numPr>
          <w:ilvl w:val="0"/>
          <w:numId w:val="2"/>
        </w:numPr>
        <w:spacing w:after="80"/>
      </w:pPr>
      <w:r>
        <w:rPr>
          <w:rFonts w:ascii="Arial" w:cs="Arial" w:eastAsia="Arial" w:hAnsi="Arial"/>
          <w:b w:val="false"/>
          <w:bCs w:val="false"/>
          <w:color w:val="1A1A1A"/>
          <w:sz w:val="22"/>
          <w:szCs w:val="22"/>
        </w:rPr>
        <w:t xml:space="preserve">Finish the underside: Solid wood tabletops must be finished on both faces with equivalent product. Finishing only the top surface creates differential moisture exchange through the wood thickness, which applies asymmetric stress that results in cupping over time. The underside requires two coats minimum.</w:t>
      </w:r>
    </w:p>
    <w:p>
      <w:pPr>
        <w:pStyle w:val="ListParagraph"/>
        <w:numPr>
          <w:ilvl w:val="0"/>
          <w:numId w:val="2"/>
        </w:numPr>
        <w:spacing w:after="80"/>
      </w:pPr>
      <w:r>
        <w:rPr>
          <w:rFonts w:ascii="Arial" w:cs="Arial" w:eastAsia="Arial" w:hAnsi="Arial"/>
          <w:b w:val="false"/>
          <w:bCs w:val="false"/>
          <w:color w:val="1A1A1A"/>
          <w:sz w:val="22"/>
          <w:szCs w:val="22"/>
        </w:rPr>
        <w:t xml:space="preserve">Heat resistance: Oil-based polyurethane generally provides better heat resistance than consumer water-based formulations. Professional 2K waterborne systems typically match or exceed oil-based heat resistance performance. For tables where hot cookware may be placed directly on the surface, specify a product with an explicit heat resistance rating.</w:t>
      </w:r>
    </w:p>
    <w:p>
      <w:pPr>
        <w:pStyle w:val="ListParagraph"/>
        <w:numPr>
          <w:ilvl w:val="0"/>
          <w:numId w:val="2"/>
        </w:numPr>
        <w:spacing w:after="80"/>
      </w:pPr>
      <w:r>
        <w:rPr>
          <w:rFonts w:ascii="Arial" w:cs="Arial" w:eastAsia="Arial" w:hAnsi="Arial"/>
          <w:b w:val="false"/>
          <w:bCs w:val="false"/>
          <w:color w:val="1A1A1A"/>
          <w:sz w:val="22"/>
          <w:szCs w:val="22"/>
        </w:rPr>
        <w:t xml:space="preserve">Sheen: Semi-gloss or satin are the practical choices for dining tables. Gloss finishes reveal fingerprints, condensation rings, and micro-scratches more readily. Matte finishes, while aesthetically current, may require more disciplined maintenance to preserve uniform appearance.</w:t>
      </w:r>
    </w:p>
    <w:p>
      <w:pPr>
        <w:pStyle w:val="Heading2"/>
        <w:spacing w:before="360" w:after="100"/>
      </w:pPr>
      <w:r>
        <w:rPr>
          <w:rFonts w:ascii="Arial" w:cs="Arial" w:eastAsia="Arial" w:hAnsi="Arial"/>
          <w:b/>
          <w:bCs/>
          <w:color w:val="1A1A1A"/>
          <w:sz w:val="26"/>
          <w:szCs w:val="26"/>
        </w:rPr>
        <w:t xml:space="preserve">Chairs and Complex-Geometry Furniture</w:t>
      </w:r>
    </w:p>
    <w:p>
      <w:pPr>
        <w:spacing w:after="160"/>
        <w:jc w:val="both"/>
      </w:pPr>
      <w:r>
        <w:rPr>
          <w:rFonts w:ascii="Arial" w:cs="Arial" w:eastAsia="Arial" w:hAnsi="Arial"/>
          <w:color w:val="1A1A1A"/>
          <w:sz w:val="22"/>
          <w:szCs w:val="22"/>
        </w:rPr>
        <w:t xml:space="preserve">Chairs present a geometry challenge that distinguishes them from flat-surface applications. Spindles, turned members, curved back rails, angled joints, and inside corners all require coating coverage that is simultaneously complete (no missed areas, which would leave exposed wood) and controlled (no excessive buildup in corners or recesses, which would crack and fail prematurely).</w:t>
      </w:r>
    </w:p>
    <w:p>
      <w:pPr>
        <w:pStyle w:val="ListParagraph"/>
        <w:numPr>
          <w:ilvl w:val="0"/>
          <w:numId w:val="2"/>
        </w:numPr>
        <w:spacing w:after="80"/>
      </w:pPr>
      <w:r>
        <w:rPr>
          <w:rFonts w:ascii="Arial" w:cs="Arial" w:eastAsia="Arial" w:hAnsi="Arial"/>
          <w:b w:val="false"/>
          <w:bCs w:val="false"/>
          <w:color w:val="1A1A1A"/>
          <w:sz w:val="22"/>
          <w:szCs w:val="22"/>
        </w:rPr>
        <w:t xml:space="preserve">Application method: Spray application is strongly preferred for complete, even coverage of complex chair geometry. Wipe-on is the appropriate alternative for non-spray environments. Brush application on chair spindles and turned members results in uneven buildup and visible brush marks in curved areas.</w:t>
      </w:r>
    </w:p>
    <w:p>
      <w:pPr>
        <w:pStyle w:val="ListParagraph"/>
        <w:numPr>
          <w:ilvl w:val="0"/>
          <w:numId w:val="2"/>
        </w:numPr>
        <w:spacing w:after="80"/>
      </w:pPr>
      <w:r>
        <w:rPr>
          <w:rFonts w:ascii="Arial" w:cs="Arial" w:eastAsia="Arial" w:hAnsi="Arial"/>
          <w:b w:val="false"/>
          <w:bCs w:val="false"/>
          <w:color w:val="1A1A1A"/>
          <w:sz w:val="22"/>
          <w:szCs w:val="22"/>
        </w:rPr>
        <w:t xml:space="preserve">Pre-finishing components: Where assembly sequence allows, pre-finish individual components — particularly inside surfaces of back assemblies and seat frames — before glue-up. This eliminates the access challenges created by assembled joints and ensures consistent coverage on all surfaces.</w:t>
      </w:r>
    </w:p>
    <w:p>
      <w:pPr>
        <w:pStyle w:val="ListParagraph"/>
        <w:numPr>
          <w:ilvl w:val="0"/>
          <w:numId w:val="2"/>
        </w:numPr>
        <w:spacing w:after="80"/>
      </w:pPr>
      <w:r>
        <w:rPr>
          <w:rFonts w:ascii="Arial" w:cs="Arial" w:eastAsia="Arial" w:hAnsi="Arial"/>
          <w:b w:val="false"/>
          <w:bCs w:val="false"/>
          <w:color w:val="1A1A1A"/>
          <w:sz w:val="22"/>
          <w:szCs w:val="22"/>
        </w:rPr>
        <w:t xml:space="preserve">High-wear areas: Chair rungs and lower back rails receive significant physical contact (hands gripping, feet resting). Ensure these areas receive complete coverage. The tendency during spray application is to undercoat concave surfaces — make a deliberate second pass on all recessed and inside-corner areas.</w:t>
      </w:r>
    </w:p>
    <w:p>
      <w:pPr>
        <w:pStyle w:val="ListParagraph"/>
        <w:numPr>
          <w:ilvl w:val="0"/>
          <w:numId w:val="2"/>
        </w:numPr>
        <w:spacing w:after="80"/>
      </w:pPr>
      <w:r>
        <w:rPr>
          <w:rFonts w:ascii="Arial" w:cs="Arial" w:eastAsia="Arial" w:hAnsi="Arial"/>
          <w:b w:val="false"/>
          <w:bCs w:val="false"/>
          <w:color w:val="1A1A1A"/>
          <w:sz w:val="22"/>
          <w:szCs w:val="22"/>
        </w:rPr>
        <w:t xml:space="preserve">Coat count: Three coats minimum on all surfaces; four on seat surfaces and arm rests where sustained contact occurs.</w:t>
      </w:r>
    </w:p>
    <w:p>
      <w:pPr>
        <w:pStyle w:val="ListParagraph"/>
        <w:numPr>
          <w:ilvl w:val="0"/>
          <w:numId w:val="2"/>
        </w:numPr>
        <w:spacing w:after="80"/>
      </w:pPr>
      <w:r>
        <w:rPr>
          <w:rFonts w:ascii="Arial" w:cs="Arial" w:eastAsia="Arial" w:hAnsi="Arial"/>
          <w:b w:val="false"/>
          <w:bCs w:val="false"/>
          <w:color w:val="1A1A1A"/>
          <w:sz w:val="22"/>
          <w:szCs w:val="22"/>
        </w:rPr>
        <w:t xml:space="preserve">Product selection: Consumer wipe-on oil-based poly is acceptable for traditional-style chairs in residential use. Spray application of professional waterborne 1K or 2K is appropriate for contemporary designs, commercial furniture, or where a factory-quality finish standard is required.</w:t>
      </w:r>
    </w:p>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Section 11: Defect Analysis and Remediation</w:t>
      </w:r>
    </w:p>
    <w:p>
      <w:pPr>
        <w:pStyle w:val="Heading2"/>
        <w:spacing w:before="360" w:after="100"/>
      </w:pPr>
      <w:r>
        <w:rPr>
          <w:rFonts w:ascii="Arial" w:cs="Arial" w:eastAsia="Arial" w:hAnsi="Arial"/>
          <w:b/>
          <w:bCs/>
          <w:color w:val="1A1A1A"/>
          <w:sz w:val="26"/>
          <w:szCs w:val="26"/>
        </w:rPr>
        <w:t xml:space="preserve">Surface Bubbling</w:t>
      </w:r>
    </w:p>
    <w:p>
      <w:pPr>
        <w:spacing w:after="160"/>
        <w:jc w:val="both"/>
      </w:pPr>
      <w:r>
        <w:rPr>
          <w:rFonts w:ascii="Arial" w:cs="Arial" w:eastAsia="Arial" w:hAnsi="Arial"/>
          <w:color w:val="1A1A1A"/>
          <w:sz w:val="22"/>
          <w:szCs w:val="22"/>
        </w:rPr>
        <w:t xml:space="preserve">Cause: Air introduction through over-vigorous stirring or agitation of the product, excessive brush agitation during application, or application over a surface still releasing solvents or moisture. Also caused by applying a second coat before the first has adequately off-gassed.</w:t>
      </w:r>
    </w:p>
    <w:p>
      <w:pPr>
        <w:pStyle w:val="ListParagraph"/>
        <w:numPr>
          <w:ilvl w:val="0"/>
          <w:numId w:val="2"/>
        </w:numPr>
        <w:spacing w:after="80"/>
      </w:pPr>
      <w:r>
        <w:rPr>
          <w:rFonts w:ascii="Arial" w:cs="Arial" w:eastAsia="Arial" w:hAnsi="Arial"/>
          <w:b w:val="false"/>
          <w:bCs w:val="false"/>
          <w:color w:val="1A1A1A"/>
          <w:sz w:val="22"/>
          <w:szCs w:val="22"/>
        </w:rPr>
        <w:t xml:space="preserve">Prevention: Stir, do not shake. Load the brush without agitation. Allow full dry time between coats. Tip off wet finish immediately after application to break surface bubbles before they set.</w:t>
      </w:r>
    </w:p>
    <w:p>
      <w:pPr>
        <w:pStyle w:val="ListParagraph"/>
        <w:numPr>
          <w:ilvl w:val="0"/>
          <w:numId w:val="2"/>
        </w:numPr>
        <w:spacing w:after="80"/>
      </w:pPr>
      <w:r>
        <w:rPr>
          <w:rFonts w:ascii="Arial" w:cs="Arial" w:eastAsia="Arial" w:hAnsi="Arial"/>
          <w:b w:val="false"/>
          <w:bCs w:val="false"/>
          <w:color w:val="1A1A1A"/>
          <w:sz w:val="22"/>
          <w:szCs w:val="22"/>
        </w:rPr>
        <w:t xml:space="preserve">Remediation: Allow to fully cure; sand back the affected surface with 220 to 320 grit; apply a corrective coat with more controlled technique.</w:t>
      </w:r>
    </w:p>
    <w:p>
      <w:pPr>
        <w:pStyle w:val="Heading2"/>
        <w:spacing w:before="360" w:after="100"/>
      </w:pPr>
      <w:r>
        <w:rPr>
          <w:rFonts w:ascii="Arial" w:cs="Arial" w:eastAsia="Arial" w:hAnsi="Arial"/>
          <w:b/>
          <w:bCs/>
          <w:color w:val="1A1A1A"/>
          <w:sz w:val="26"/>
          <w:szCs w:val="26"/>
        </w:rPr>
        <w:t xml:space="preserve">Brush Marks</w:t>
      </w:r>
    </w:p>
    <w:p>
      <w:pPr>
        <w:spacing w:after="160"/>
        <w:jc w:val="both"/>
      </w:pPr>
      <w:r>
        <w:rPr>
          <w:rFonts w:ascii="Arial" w:cs="Arial" w:eastAsia="Arial" w:hAnsi="Arial"/>
          <w:color w:val="1A1A1A"/>
          <w:sz w:val="22"/>
          <w:szCs w:val="22"/>
        </w:rPr>
        <w:t xml:space="preserve">Cause: Product viscosity too high for smooth leveling, returning to a partially-tacked surface, incorrect brush specification (natural bristle in water-based product), or application temperature outside the recommended range.</w:t>
      </w:r>
    </w:p>
    <w:p>
      <w:pPr>
        <w:pStyle w:val="ListParagraph"/>
        <w:numPr>
          <w:ilvl w:val="0"/>
          <w:numId w:val="2"/>
        </w:numPr>
        <w:spacing w:after="80"/>
      </w:pPr>
      <w:r>
        <w:rPr>
          <w:rFonts w:ascii="Arial" w:cs="Arial" w:eastAsia="Arial" w:hAnsi="Arial"/>
          <w:b w:val="false"/>
          <w:bCs w:val="false"/>
          <w:color w:val="1A1A1A"/>
          <w:sz w:val="22"/>
          <w:szCs w:val="22"/>
        </w:rPr>
        <w:t xml:space="preserve">Prevention: Apply at recommended viscosity. Do not thin excessively. Work at an appropriate pace — do not attempt to cover too large an area before tipping off. Use the correct brush for the chemistry.</w:t>
      </w:r>
    </w:p>
    <w:p>
      <w:pPr>
        <w:pStyle w:val="ListParagraph"/>
        <w:numPr>
          <w:ilvl w:val="0"/>
          <w:numId w:val="2"/>
        </w:numPr>
        <w:spacing w:after="80"/>
      </w:pPr>
      <w:r>
        <w:rPr>
          <w:rFonts w:ascii="Arial" w:cs="Arial" w:eastAsia="Arial" w:hAnsi="Arial"/>
          <w:b w:val="false"/>
          <w:bCs w:val="false"/>
          <w:color w:val="1A1A1A"/>
          <w:sz w:val="22"/>
          <w:szCs w:val="22"/>
        </w:rPr>
        <w:t xml:space="preserve">Remediation: Allow to cure; sand with 320 grit; recoat with adjusted technique.</w:t>
      </w:r>
    </w:p>
    <w:p>
      <w:pPr>
        <w:pStyle w:val="Heading2"/>
        <w:spacing w:before="360" w:after="100"/>
      </w:pPr>
      <w:r>
        <w:rPr>
          <w:rFonts w:ascii="Arial" w:cs="Arial" w:eastAsia="Arial" w:hAnsi="Arial"/>
          <w:b/>
          <w:bCs/>
          <w:color w:val="1A1A1A"/>
          <w:sz w:val="26"/>
          <w:szCs w:val="26"/>
        </w:rPr>
        <w:t xml:space="preserve">Fish-Eye Contamination</w:t>
      </w:r>
    </w:p>
    <w:p>
      <w:pPr>
        <w:spacing w:after="160"/>
        <w:jc w:val="both"/>
      </w:pPr>
      <w:r>
        <w:rPr>
          <w:rFonts w:ascii="Arial" w:cs="Arial" w:eastAsia="Arial" w:hAnsi="Arial"/>
          <w:color w:val="1A1A1A"/>
          <w:sz w:val="22"/>
          <w:szCs w:val="22"/>
        </w:rPr>
        <w:t xml:space="preserve">Cause: Silicone or wax contamination of the substrate surface, most commonly from furniture polish, spray lubricants, or silicone-based release compounds. The finish surface-tension differential causes the coating to bead away from contamination sites.</w:t>
      </w:r>
    </w:p>
    <w:p>
      <w:pPr>
        <w:pStyle w:val="ListParagraph"/>
        <w:numPr>
          <w:ilvl w:val="0"/>
          <w:numId w:val="2"/>
        </w:numPr>
        <w:spacing w:after="80"/>
      </w:pPr>
      <w:r>
        <w:rPr>
          <w:rFonts w:ascii="Arial" w:cs="Arial" w:eastAsia="Arial" w:hAnsi="Arial"/>
          <w:b w:val="false"/>
          <w:bCs w:val="false"/>
          <w:color w:val="1A1A1A"/>
          <w:sz w:val="22"/>
          <w:szCs w:val="22"/>
        </w:rPr>
        <w:t xml:space="preserve">Prevention: Thoroughly clean all surfaces with naphtha or mineral spirits before any finish application. Never use silicone-based products in the finishing environment.</w:t>
      </w:r>
    </w:p>
    <w:p>
      <w:pPr>
        <w:pStyle w:val="ListParagraph"/>
        <w:numPr>
          <w:ilvl w:val="0"/>
          <w:numId w:val="2"/>
        </w:numPr>
        <w:spacing w:after="80"/>
      </w:pPr>
      <w:r>
        <w:rPr>
          <w:rFonts w:ascii="Arial" w:cs="Arial" w:eastAsia="Arial" w:hAnsi="Arial"/>
          <w:b w:val="false"/>
          <w:bCs w:val="false"/>
          <w:color w:val="1A1A1A"/>
          <w:sz w:val="22"/>
          <w:szCs w:val="22"/>
        </w:rPr>
        <w:t xml:space="preserve">Remediation: Once contamination is present, the only reliable remediation is stripping to bare wood and cleaning with naphtha before any further finish application. Partial sanding typically redistributes rather than removes the contaminant.</w:t>
      </w:r>
    </w:p>
    <w:p>
      <w:pPr>
        <w:pStyle w:val="Heading2"/>
        <w:spacing w:before="360" w:after="100"/>
      </w:pPr>
      <w:r>
        <w:rPr>
          <w:rFonts w:ascii="Arial" w:cs="Arial" w:eastAsia="Arial" w:hAnsi="Arial"/>
          <w:b/>
          <w:bCs/>
          <w:color w:val="1A1A1A"/>
          <w:sz w:val="26"/>
          <w:szCs w:val="26"/>
        </w:rPr>
        <w:t xml:space="preserve">Intercoat Adhesion Failure — Peeling or Delamination</w:t>
      </w:r>
    </w:p>
    <w:p>
      <w:pPr>
        <w:spacing w:after="160"/>
        <w:jc w:val="both"/>
      </w:pPr>
      <w:r>
        <w:rPr>
          <w:rFonts w:ascii="Arial" w:cs="Arial" w:eastAsia="Arial" w:hAnsi="Arial"/>
          <w:color w:val="1A1A1A"/>
          <w:sz w:val="22"/>
          <w:szCs w:val="22"/>
        </w:rPr>
        <w:t xml:space="preserve">Cause: Inadequate surface preparation between coats, applying over a fully cured film without adequate sanding to create mechanical adhesion, applying over an incompatible existing finish system, or contamination between coats.</w:t>
      </w:r>
    </w:p>
    <w:p>
      <w:pPr>
        <w:pStyle w:val="ListParagraph"/>
        <w:numPr>
          <w:ilvl w:val="0"/>
          <w:numId w:val="2"/>
        </w:numPr>
        <w:spacing w:after="80"/>
      </w:pPr>
      <w:r>
        <w:rPr>
          <w:rFonts w:ascii="Arial" w:cs="Arial" w:eastAsia="Arial" w:hAnsi="Arial"/>
          <w:b w:val="false"/>
          <w:bCs w:val="false"/>
          <w:color w:val="1A1A1A"/>
          <w:sz w:val="22"/>
          <w:szCs w:val="22"/>
        </w:rPr>
        <w:t xml:space="preserve">Prevention: Sand between every coat without exception. When applying over an existing finish of unknown composition, test a small area with the new product before committing to the full surface. When in doubt, strip to bare wood.</w:t>
      </w:r>
    </w:p>
    <w:p>
      <w:pPr>
        <w:pStyle w:val="ListParagraph"/>
        <w:numPr>
          <w:ilvl w:val="0"/>
          <w:numId w:val="2"/>
        </w:numPr>
        <w:spacing w:after="80"/>
      </w:pPr>
      <w:r>
        <w:rPr>
          <w:rFonts w:ascii="Arial" w:cs="Arial" w:eastAsia="Arial" w:hAnsi="Arial"/>
          <w:b w:val="false"/>
          <w:bCs w:val="false"/>
          <w:color w:val="1A1A1A"/>
          <w:sz w:val="22"/>
          <w:szCs w:val="22"/>
        </w:rPr>
        <w:t xml:space="preserve">Remediation: Remove the failed coating system entirely. Identify and address the cause of adhesion failure before recoating.</w:t>
      </w:r>
    </w:p>
    <w:p>
      <w:pPr>
        <w:pStyle w:val="Heading2"/>
        <w:spacing w:before="360" w:after="100"/>
      </w:pPr>
      <w:r>
        <w:rPr>
          <w:rFonts w:ascii="Arial" w:cs="Arial" w:eastAsia="Arial" w:hAnsi="Arial"/>
          <w:b/>
          <w:bCs/>
          <w:color w:val="1A1A1A"/>
          <w:sz w:val="26"/>
          <w:szCs w:val="26"/>
        </w:rPr>
        <w:t xml:space="preserve">Blushing — Milky or Cloudy Appearance (Water-Based Products)</w:t>
      </w:r>
    </w:p>
    <w:p>
      <w:pPr>
        <w:spacing w:after="160"/>
        <w:jc w:val="both"/>
      </w:pPr>
      <w:r>
        <w:rPr>
          <w:rFonts w:ascii="Arial" w:cs="Arial" w:eastAsia="Arial" w:hAnsi="Arial"/>
          <w:color w:val="1A1A1A"/>
          <w:sz w:val="22"/>
          <w:szCs w:val="22"/>
        </w:rPr>
        <w:t xml:space="preserve">Cause: Application in high humidity conditions (above 70 to 75% relative humidity) or at low temperatures causes moisture entrapment in the film during cure. Applying excessively thick coats impedes moisture escape.</w:t>
      </w:r>
    </w:p>
    <w:p>
      <w:pPr>
        <w:pStyle w:val="ListParagraph"/>
        <w:numPr>
          <w:ilvl w:val="0"/>
          <w:numId w:val="2"/>
        </w:numPr>
        <w:spacing w:after="80"/>
      </w:pPr>
      <w:r>
        <w:rPr>
          <w:rFonts w:ascii="Arial" w:cs="Arial" w:eastAsia="Arial" w:hAnsi="Arial"/>
          <w:b w:val="false"/>
          <w:bCs w:val="false"/>
          <w:color w:val="1A1A1A"/>
          <w:sz w:val="22"/>
          <w:szCs w:val="22"/>
        </w:rPr>
        <w:t xml:space="preserve">Prevention: Verify environmental conditions before application. Work within the temperature and humidity ranges specified in the product TDS. Apply thin, even coats.</w:t>
      </w:r>
    </w:p>
    <w:p>
      <w:pPr>
        <w:pStyle w:val="ListParagraph"/>
        <w:numPr>
          <w:ilvl w:val="0"/>
          <w:numId w:val="2"/>
        </w:numPr>
        <w:spacing w:after="80"/>
      </w:pPr>
      <w:r>
        <w:rPr>
          <w:rFonts w:ascii="Arial" w:cs="Arial" w:eastAsia="Arial" w:hAnsi="Arial"/>
          <w:b w:val="false"/>
          <w:bCs w:val="false"/>
          <w:color w:val="1A1A1A"/>
          <w:sz w:val="22"/>
          <w:szCs w:val="22"/>
        </w:rPr>
        <w:t xml:space="preserve">Remediation: Mild blushing may resolve as the film continues to cure in improved conditions. Severe blushing requires sanding back and reapplication under appropriate conditions.</w:t>
      </w:r>
    </w:p>
    <w:p>
      <w:pPr>
        <w:pStyle w:val="Heading2"/>
        <w:spacing w:before="360" w:after="100"/>
      </w:pPr>
      <w:r>
        <w:rPr>
          <w:rFonts w:ascii="Arial" w:cs="Arial" w:eastAsia="Arial" w:hAnsi="Arial"/>
          <w:b/>
          <w:bCs/>
          <w:color w:val="1A1A1A"/>
          <w:sz w:val="26"/>
          <w:szCs w:val="26"/>
        </w:rPr>
        <w:t xml:space="preserve">Incomplete or Prolonged Cure — Persistent Tack</w:t>
      </w:r>
    </w:p>
    <w:p>
      <w:pPr>
        <w:spacing w:after="160"/>
        <w:jc w:val="both"/>
      </w:pPr>
      <w:r>
        <w:rPr>
          <w:rFonts w:ascii="Arial" w:cs="Arial" w:eastAsia="Arial" w:hAnsi="Arial"/>
          <w:color w:val="1A1A1A"/>
          <w:sz w:val="22"/>
          <w:szCs w:val="22"/>
        </w:rPr>
        <w:t xml:space="preserve">Cause: Application in cold conditions below the minimum application temperature; applied over an incompletely cured previous coat; applied over a non-drying oil base (teak oil, raw linseed oil) that has not fully cured; for 2K products, incorrect catalyst ratio.</w:t>
      </w:r>
    </w:p>
    <w:p>
      <w:pPr>
        <w:pStyle w:val="ListParagraph"/>
        <w:numPr>
          <w:ilvl w:val="0"/>
          <w:numId w:val="2"/>
        </w:numPr>
        <w:spacing w:after="80"/>
      </w:pPr>
      <w:r>
        <w:rPr>
          <w:rFonts w:ascii="Arial" w:cs="Arial" w:eastAsia="Arial" w:hAnsi="Arial"/>
          <w:b w:val="false"/>
          <w:bCs w:val="false"/>
          <w:color w:val="1A1A1A"/>
          <w:sz w:val="22"/>
          <w:szCs w:val="22"/>
        </w:rPr>
        <w:t xml:space="preserve">Prevention: Verify application temperatures. Allow adequate cure time between coats. Do not apply polyurethane over oil-based penetrating treatments that have not fully cured — this may require waiting weeks. For 2K systems, measure catalyst ratios by weight, not volume.</w:t>
      </w:r>
    </w:p>
    <w:p>
      <w:pPr>
        <w:pStyle w:val="ListParagraph"/>
        <w:numPr>
          <w:ilvl w:val="0"/>
          <w:numId w:val="2"/>
        </w:numPr>
        <w:spacing w:after="80"/>
      </w:pPr>
      <w:r>
        <w:rPr>
          <w:rFonts w:ascii="Arial" w:cs="Arial" w:eastAsia="Arial" w:hAnsi="Arial"/>
          <w:b w:val="false"/>
          <w:bCs w:val="false"/>
          <w:color w:val="1A1A1A"/>
          <w:sz w:val="22"/>
          <w:szCs w:val="22"/>
        </w:rPr>
        <w:t xml:space="preserve">Remediation: Increase temperature and improve air circulation. If persistent tack results from oil contamination, remediation may not be possible without stripping the finish completely.</w:t>
      </w:r>
    </w:p>
    <w:p>
      <w:pPr>
        <w:spacing w:after="240"/>
      </w:pPr>
      <w:r>
        <w:t xml:space="preserve"/>
      </w:r>
    </w:p>
    <w:p>
      <w:pPr>
        <w:pStyle w:val="Heading1"/>
        <w:pBdr>
          <w:bottom w:val="single" w:color="1C3A5E" w:sz="10" w:space="6"/>
        </w:pBdr>
        <w:spacing w:before="480" w:after="120"/>
      </w:pPr>
      <w:r>
        <w:rPr>
          <w:rFonts w:ascii="Arial" w:cs="Arial" w:eastAsia="Arial" w:hAnsi="Arial"/>
          <w:b/>
          <w:bCs/>
          <w:color w:val="1C3A5E"/>
          <w:sz w:val="34"/>
          <w:szCs w:val="34"/>
        </w:rPr>
        <w:t xml:space="preserve">About Bespoke Woodcraft Studio</w:t>
      </w:r>
    </w:p>
    <w:p>
      <w:pPr>
        <w:spacing w:after="160"/>
        <w:jc w:val="both"/>
      </w:pPr>
      <w:r>
        <w:rPr>
          <w:rFonts w:ascii="Arial" w:cs="Arial" w:eastAsia="Arial" w:hAnsi="Arial"/>
          <w:color w:val="1A1A1A"/>
          <w:sz w:val="22"/>
          <w:szCs w:val="22"/>
        </w:rPr>
        <w:t xml:space="preserve">Bespoke Woodcraft Studio is a custom woodworking studio based in Covina, California, producing handcrafted cabinetry, tables, and furniture with a modern, industrial-contemporary aesthetic. All pieces are built and finished in-house to professional standards, with particular attention to the material quality and finish performance that distinguishes production from craft.</w:t>
      </w:r>
    </w:p>
    <w:p>
      <w:pPr>
        <w:spacing w:after="160"/>
        <w:jc w:val="both"/>
      </w:pPr>
      <w:r>
        <w:rPr>
          <w:rFonts w:ascii="Arial" w:cs="Arial" w:eastAsia="Arial" w:hAnsi="Arial"/>
          <w:color w:val="1A1A1A"/>
          <w:sz w:val="22"/>
          <w:szCs w:val="22"/>
        </w:rPr>
        <w:t xml:space="preserve">For inquiries regarding custom commissions or consultation, visit bespokewoodcraft.studio.</w:t>
      </w:r>
    </w:p>
    <w:p>
      <w:pPr>
        <w:spacing w:after="160"/>
      </w:pPr>
      <w:r>
        <w:t xml:space="preserve"/>
      </w:r>
    </w:p>
    <w:p>
      <w:pPr>
        <w:pBdr>
          <w:top w:val="single" w:color="CCCCCC" w:sz="4" w:space="8"/>
        </w:pBdr>
        <w:spacing w:before="240"/>
        <w:jc w:val="center"/>
      </w:pPr>
      <w:r>
        <w:rPr>
          <w:rFonts w:ascii="Arial" w:cs="Arial" w:eastAsia="Arial" w:hAnsi="Arial"/>
          <w:color w:val="666666"/>
          <w:sz w:val="18"/>
          <w:szCs w:val="18"/>
        </w:rPr>
        <w:t xml:space="preserve">Bespoke Woodcraft Studio  |  bespokewoodcraft.studio  |  Covina, California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C3A5E"/>
      <w:sz w:val="34"/>
      <w:szCs w:val="34"/>
    </w:rPr>
  </w:style>
  <w:style w:type="paragraph" w:styleId="Heading2">
    <w:name w:val="Heading 2"/>
    <w:basedOn w:val="Normal"/>
    <w:next w:val="Normal"/>
    <w:qFormat/>
    <w:pPr>
      <w:spacing w:before="360" w:after="100"/>
      <w:outlineLvl w:val="1"/>
    </w:pPr>
    <w:rPr>
      <w:rFonts w:ascii="Arial" w:cs="Arial" w:eastAsia="Arial" w:hAnsi="Arial"/>
      <w:b/>
      <w:bCs/>
      <w:color w:val="1A1A1A"/>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C3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2026-03-25T03:29:59.932Z</dcterms:created>
  <dcterms:modified xsi:type="dcterms:W3CDTF">2026-03-25T03:29:59.933Z</dcterms:modified>
</cp:coreProperties>
</file>

<file path=docProps/custom.xml><?xml version="1.0" encoding="utf-8"?>
<Properties xmlns="http://schemas.openxmlformats.org/officeDocument/2006/custom-properties" xmlns:vt="http://schemas.openxmlformats.org/officeDocument/2006/docPropsVTypes"/>
</file>