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40" w:hanging="1040"/>
        <w:jc w:val="center"/>
        <w:rPr>
          <w:sz w:val="52"/>
          <w:szCs w:val="52"/>
        </w:rPr>
      </w:pPr>
    </w:p>
    <w:p>
      <w:pPr>
        <w:ind w:left="1044" w:hanging="1044"/>
        <w:jc w:val="center"/>
        <w:rPr>
          <w:b/>
          <w:sz w:val="52"/>
          <w:szCs w:val="52"/>
        </w:rPr>
      </w:pPr>
    </w:p>
    <w:p>
      <w:pPr>
        <w:ind w:left="1044" w:hanging="104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洞察模块测试端测试文档</w:t>
      </w:r>
    </w:p>
    <w:p>
      <w:pPr>
        <w:ind w:left="420"/>
        <w:jc w:val="center"/>
      </w:pPr>
    </w:p>
    <w:p>
      <w:pPr>
        <w:ind w:left="420"/>
        <w:jc w:val="center"/>
      </w:pPr>
    </w:p>
    <w:p>
      <w:pPr>
        <w:ind w:left="560" w:hanging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刘聪旻</w:t>
      </w: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jc w:val="center"/>
        <w:rPr>
          <w:sz w:val="28"/>
          <w:szCs w:val="28"/>
        </w:rPr>
      </w:pPr>
    </w:p>
    <w:p>
      <w:pPr>
        <w:ind w:left="560" w:hanging="560"/>
        <w:rPr>
          <w:sz w:val="28"/>
          <w:szCs w:val="28"/>
        </w:rPr>
      </w:pPr>
    </w:p>
    <w:p>
      <w:pPr>
        <w:ind w:left="560" w:hanging="5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公司首页，展示了新闻和公告各10条，与原设计文档不符。（原文档为新闻、公告和研报各5条，若为上证报发布则置顶并用红色字体）</w:t>
      </w:r>
      <w:r>
        <w:rPr>
          <w:szCs w:val="21"/>
        </w:rPr>
        <w:drawing>
          <wp:inline distT="0" distB="0" distL="0" distR="0">
            <wp:extent cx="5274310" cy="2703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根于原开发文档，首页下方应展示龙虎榜最近5次上榜，测试端中公司首页未展示龙虎榜信息。</w:t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numPr>
          <w:ilvl w:val="0"/>
          <w:numId w:val="1"/>
        </w:numPr>
        <w:ind w:hangingChars="200"/>
        <w:rPr>
          <w:szCs w:val="21"/>
        </w:rPr>
      </w:pPr>
      <w:r>
        <w:rPr>
          <w:rFonts w:hint="eastAsia"/>
          <w:szCs w:val="21"/>
        </w:rPr>
        <w:t>概况页面下方表格，左边纵列应分为“按行业分”、“按产品分”和“按地区分”。上方横条应分为“营业收入（元）”、“收入比例”、“营业成本（元）”、“成本比例”、“利润比例”、“毛利率”。</w:t>
      </w:r>
      <w:r>
        <w:rPr>
          <w:szCs w:val="21"/>
        </w:rPr>
        <w:drawing>
          <wp:inline distT="0" distB="0" distL="0" distR="0">
            <wp:extent cx="5274310" cy="2212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补充</w:t>
      </w:r>
      <w:bookmarkStart w:id="0" w:name="_GoBack"/>
      <w:bookmarkEnd w:id="0"/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概况页面下方的主营构成的图和表，需要展示所有历史数据。上方图标和下方表格相关联。取消饼状图右上角的报告期选择，下方表格顶部的报告期继续延伸，直至展示完所有报告期，并可左右拖动。</w:t>
      </w:r>
      <w:r>
        <w:rPr>
          <w:szCs w:val="21"/>
        </w:rPr>
        <w:drawing>
          <wp:inline distT="0" distB="0" distL="0" distR="0">
            <wp:extent cx="6115050" cy="3609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37" cy="36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概况页面的公司概况中，“注册资金”应标明单位为“元”，对应的数字每3位用逗号隔开，如“11,111,111,111,111”。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概况页面的公司概况中，所属行业应精确为“所属申万行业”。</w:t>
      </w: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股东页面上方的柱状图和表格，同时展示8列数据，图和表展示数据的报告期相同，并且上下对齐。图和表，可以左右拖动，向左拖动为展示历史报告期的数据，需要展示完所有历史报告期数据。拖动上方图的同时，下方表格数据也一起左右移动。表格同理。拖动是，柱状图的坐标轴保持不动，表格最左边的一列保持不动。</w:t>
      </w:r>
    </w:p>
    <w:p>
      <w:pPr>
        <w:pStyle w:val="5"/>
        <w:ind w:left="420" w:firstLine="0" w:firstLineChars="0"/>
        <w:rPr>
          <w:szCs w:val="21"/>
        </w:rPr>
      </w:pPr>
      <w:r>
        <w:drawing>
          <wp:inline distT="0" distB="0" distL="0" distR="0">
            <wp:extent cx="5274310" cy="2995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股东页面上方的表格，把所有的单位都写在最左边的一列。表中的数据不再展示单位。</w:t>
      </w:r>
      <w:r>
        <w:rPr>
          <w:rFonts w:hint="eastAsia"/>
          <w:szCs w:val="21"/>
        </w:rPr>
        <w:drawing>
          <wp:inline distT="0" distB="0" distL="0" distR="0">
            <wp:extent cx="5274310" cy="2101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股东页面下方的十大流通股东和十大股东，需要收录所有报告期数据。报告期选择的地方，同事列出12个报告期，即3年，并可左右平稳拖动，右边为更早之前的报告期。</w:t>
      </w:r>
    </w:p>
    <w:p>
      <w:pPr>
        <w:pStyle w:val="5"/>
        <w:ind w:left="42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6370955" cy="3267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85" cy="32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财务页面，需收录所有历史数据。图和表同时展示8列相同时期数据，并对齐。可左右拖动，左边为更早之前的数据，拖动图/表时，表/图中展示的数据也一起移动。拖动时，柱状图的坐标轴不变，表格的最左边一列不动（与股东页面类似）。</w:t>
      </w:r>
      <w:r>
        <w:rPr>
          <w:szCs w:val="21"/>
        </w:rPr>
        <w:drawing>
          <wp:inline distT="0" distB="0" distL="0" distR="0">
            <wp:extent cx="5274310" cy="43872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分红页面，部分单位需要调整。</w:t>
      </w:r>
    </w:p>
    <w:p>
      <w:pPr>
        <w:pStyle w:val="5"/>
        <w:ind w:left="420" w:firstLine="0" w:firstLineChars="0"/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5274310" cy="26447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风险页面。变更后的部分，用红色标注出实际变更的内容，而不是所有内容。</w:t>
      </w:r>
    </w:p>
    <w:p>
      <w:pPr>
        <w:pStyle w:val="5"/>
        <w:ind w:left="42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3766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tabs>
          <w:tab w:val="left" w:pos="6435"/>
        </w:tabs>
        <w:ind w:left="420"/>
      </w:pP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A5B0A"/>
    <w:multiLevelType w:val="multilevel"/>
    <w:tmpl w:val="34DA5B0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93C43"/>
    <w:multiLevelType w:val="multilevel"/>
    <w:tmpl w:val="35193C4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1E"/>
    <w:rsid w:val="00212DF7"/>
    <w:rsid w:val="00236714"/>
    <w:rsid w:val="00244BFD"/>
    <w:rsid w:val="002C202D"/>
    <w:rsid w:val="00352325"/>
    <w:rsid w:val="003735AD"/>
    <w:rsid w:val="00376CEE"/>
    <w:rsid w:val="004F1CD0"/>
    <w:rsid w:val="006C2103"/>
    <w:rsid w:val="006D0D01"/>
    <w:rsid w:val="00707758"/>
    <w:rsid w:val="0079464A"/>
    <w:rsid w:val="00885E8D"/>
    <w:rsid w:val="00901316"/>
    <w:rsid w:val="009E3FD8"/>
    <w:rsid w:val="00A16FB2"/>
    <w:rsid w:val="00A3145D"/>
    <w:rsid w:val="00A34F17"/>
    <w:rsid w:val="00AC21F2"/>
    <w:rsid w:val="00AD524B"/>
    <w:rsid w:val="00B47624"/>
    <w:rsid w:val="00B72D1E"/>
    <w:rsid w:val="00B91256"/>
    <w:rsid w:val="00C94AB8"/>
    <w:rsid w:val="00C95645"/>
    <w:rsid w:val="00CA521E"/>
    <w:rsid w:val="00D03164"/>
    <w:rsid w:val="00E1206A"/>
    <w:rsid w:val="00E2580D"/>
    <w:rsid w:val="00E6063C"/>
    <w:rsid w:val="00FF0C31"/>
    <w:rsid w:val="5D4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hanging="420" w:hanging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133</Words>
  <Characters>764</Characters>
  <Lines>6</Lines>
  <Paragraphs>1</Paragraphs>
  <TotalTime>0</TotalTime>
  <ScaleCrop>false</ScaleCrop>
  <LinksUpToDate>false</LinksUpToDate>
  <CharactersWithSpaces>896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2018-06-15T06:11:00Z</dcterms:created>
  <dc:creator>liucm</dc:creator>
  <cp:lastModifiedBy>漂浮在sk</cp:lastModifiedBy>
  <dcterms:modified xsi:type="dcterms:W3CDTF">2018-06-22T05:54:57Z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