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b/>
          <w:bCs/>
          <w:lang w:val="en-US" w:eastAsia="zh-CN"/>
        </w:rPr>
        <w:t>2017-9-30修改页面（二期）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侧边栏结构：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1、个人中心：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1.1我的关注：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1.1.1关注的公司（acompany.html）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1.1.2关注的行业（aIndustry.html）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1.2我的收藏（mycollect.html）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1.3通讯录维护（addressList.html）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1.4修改密码（changePassword.html）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系统管理（）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3.1行业知识库（industryKB.html）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3.2成功案例（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caseIntroduction</w:t>
      </w:r>
      <w:r>
        <w:rPr>
          <w:rFonts w:hint="eastAsia"/>
          <w:lang w:val="en-US" w:eastAsia="zh-CN"/>
        </w:rPr>
        <w:t>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互动（interaction.html）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5、信息反馈：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5.1拟IPO项目信息（）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5.2股权质押项目信息（）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5.3并购卖方项目信息（）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5.4并购买方项目信息（）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5.5特定股东增持减（）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5.6股权激励项目信息（）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5.7产业并购基金项目信息（）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5.8信贷项目信息（）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5.9债权项目信息（）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5.10投资理财项目（）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6、项目线索：（新增三个页面）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6.1质押到期（xsZydq.html）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6.2限售解禁（xsXsjj.html）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6.3减持预披露（xsJcypl.html）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根据10-25的首页原型调整页面</w:t>
      </w:r>
    </w:p>
    <w:p>
      <w:r>
        <w:drawing>
          <wp:inline distT="0" distB="0" distL="114300" distR="114300">
            <wp:extent cx="5265420" cy="2212340"/>
            <wp:effectExtent l="0" t="0" r="1143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首页两种风格切换，在</w:t>
      </w:r>
      <w:r>
        <w:rPr>
          <w:rFonts w:hint="eastAsia"/>
          <w:lang w:val="en-US" w:eastAsia="zh-CN"/>
        </w:rPr>
        <w:t>main.html里加入换肤所用的js，在index.html引入base2.js，两种风格的css（szRed.css、szBlue.css），shzqb.css和index.css修改样式，index.html内容及布局根据二期需求进行了变更。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在main.html里根据原型侧边栏对侧边栏进行更改。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个人中心新增修改密码页面（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changePassword.html</w:t>
      </w:r>
      <w:r>
        <w:rPr>
          <w:rFonts w:hint="eastAsia"/>
          <w:lang w:val="en-US" w:eastAsia="zh-CN"/>
        </w:rPr>
        <w:t>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系统管理暂时隐藏，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新增一个只有领导可以看得到的系统统计图（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smStatistics.html</w:t>
      </w:r>
      <w:r>
        <w:rPr>
          <w:rFonts w:hint="eastAsia"/>
          <w:lang w:val="en-US" w:eastAsia="zh-CN"/>
        </w:rPr>
        <w:t>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1、行业知识库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2、成功案例（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successfulCase.html</w:t>
      </w:r>
      <w:r>
        <w:rPr>
          <w:rFonts w:hint="eastAsia"/>
          <w:lang w:val="en-US" w:eastAsia="zh-CN"/>
        </w:rPr>
        <w:t>）,新增成功案例？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信息反馈：(新增十种表，页面写一个示例)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拟IPO项目信息（）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股权质押项目信息（）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并购卖方项目信息（）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并购买方项目信息（）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特定股东增持减（）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股权激励项目信息（）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产业并购基金项目信息（）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信贷项目信息（）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债权项目信息（）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投资理财项目（）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项目线索：（新增三个页面）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质押到期（xsZydq.html）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限售解禁（xsXsjj.html）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减持预披露（xsJcypl.html）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数据服务移到顶部导航栏中，点击直接跳转到我们的数据服务去；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b/>
          <w:bCs/>
          <w:lang w:val="en-US" w:eastAsia="zh-CN"/>
        </w:rPr>
        <w:t>2017-11-2修改页面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main.html顶部导航内容改；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关注公司（acompany.html）改，点击‘新增’，弹出新增的公司列表页（companyTable.html）；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关注行业（aIndustry.html）改，点击‘新增’，弹出新增的行业树页面（</w:t>
      </w:r>
      <w:r>
        <w:rPr>
          <w:rFonts w:hint="eastAsia"/>
          <w:lang w:eastAsia="zh-CN"/>
        </w:rPr>
        <w:t>industryTable.html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我的收藏（mycollect.html）改,标题跳转正文页（kxText.html）,在正文页可以取消收藏；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新增一个修改密码页（changePassword.html）；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知识库：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1、行业知识库还是industryKB.html；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2、成功案例列表页（caseIntroduction.html），点更多进入详细列表页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（caseIntrolist.html），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在css文件中添加caseIntro.css。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b/>
          <w:bCs/>
          <w:lang w:val="en-US" w:eastAsia="zh-CN"/>
        </w:rPr>
        <w:t>2017-11-3修改页面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关注的公司中全部公司页面，搜索的方式应该加上按行业来搜索；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信息反馈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以拟IPO为例：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首先是列表页面（infoList.html）,点击新增弹出填报页面（IPOT1.html），点击查看，进入查看页面，可以看到历史记录（IPOTck1.html）；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首页【项目信息】点进去详情列表页：已发布的项目列表页（publishInfolist.html）改；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首页【项目信息】点每项项目跳转的页面（tableDetail.html）改；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●</w:t>
      </w:r>
      <w:r>
        <w:rPr>
          <w:rFonts w:hint="eastAsia"/>
          <w:b/>
          <w:bCs/>
          <w:lang w:val="en-US" w:eastAsia="zh-CN"/>
        </w:rPr>
        <w:t>2017-11-4修改页面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首页【我的项目】仅显示‘我’要处理的项目，点【更多】进入到与我有关的全部项目（applicationList.html）改；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点击【处理】，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跳转新增的处理页面（handle.html）；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在首页点击项目标题，弹出项目详细信息页面（application.html）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，此页面含历史流程；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094"/>
    <w:multiLevelType w:val="multilevel"/>
    <w:tmpl w:val="59F9809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6968"/>
    <w:rsid w:val="00EE6115"/>
    <w:rsid w:val="01580EE2"/>
    <w:rsid w:val="01FB696D"/>
    <w:rsid w:val="022F59F2"/>
    <w:rsid w:val="045165FA"/>
    <w:rsid w:val="094D57D0"/>
    <w:rsid w:val="11A521E8"/>
    <w:rsid w:val="1A6E5940"/>
    <w:rsid w:val="1C417C20"/>
    <w:rsid w:val="1CEC1081"/>
    <w:rsid w:val="20C15A52"/>
    <w:rsid w:val="21F86AB8"/>
    <w:rsid w:val="248778BE"/>
    <w:rsid w:val="2B59497C"/>
    <w:rsid w:val="2E211D9E"/>
    <w:rsid w:val="32B0163A"/>
    <w:rsid w:val="346F03C4"/>
    <w:rsid w:val="36102846"/>
    <w:rsid w:val="36613D8E"/>
    <w:rsid w:val="3DD77A7B"/>
    <w:rsid w:val="41EE72B1"/>
    <w:rsid w:val="45932ECE"/>
    <w:rsid w:val="4A973644"/>
    <w:rsid w:val="4B266F10"/>
    <w:rsid w:val="52FA6FE5"/>
    <w:rsid w:val="54FF3617"/>
    <w:rsid w:val="59BD2906"/>
    <w:rsid w:val="5AB40209"/>
    <w:rsid w:val="5E990CD9"/>
    <w:rsid w:val="604E2234"/>
    <w:rsid w:val="625C73C6"/>
    <w:rsid w:val="63180C8A"/>
    <w:rsid w:val="633961AD"/>
    <w:rsid w:val="693837F5"/>
    <w:rsid w:val="6ADA29AC"/>
    <w:rsid w:val="70BE72A7"/>
    <w:rsid w:val="72A436D9"/>
    <w:rsid w:val="74981267"/>
    <w:rsid w:val="764612AA"/>
    <w:rsid w:val="7C552F80"/>
    <w:rsid w:val="7DBF2AC4"/>
    <w:rsid w:val="7EA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