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Defense answers - GuarantorLens</w:t>
      </w:r>
    </w:p>
    <w:p>
      <w:pPr>
        <w:pStyle w:val="Heading1"/>
      </w:pPr>
      <w:r>
        <w:t>Defense answers — GuarantorLens</w:t>
      </w:r>
    </w:p>
    <w:p>
      <w:r>
        <w:t xml:space="preserve">Draft answers grounded in the codebase and in real numbers computed on the actual cohort. </w:t>
      </w:r>
      <w:r>
        <w:rPr>
          <w:b/>
        </w:rPr>
        <w:t>[YOU]</w:t>
      </w:r>
      <w:r>
        <w:t xml:space="preserve"> marks a</w:t>
      </w:r>
    </w:p>
    <w:p>
      <w:r>
        <w:t>point only you can supply (something you observed, decided, or were told) — I've written what to say, but the</w:t>
      </w:r>
    </w:p>
    <w:p>
      <w:r>
        <w:t>facts are yours. Numbers without a mark are ones I verified.</w:t>
      </w:r>
    </w:p>
    <w:p>
      <w:r>
        <w:rPr>
          <w:b/>
        </w:rPr>
        <w:t>Keep these in front of you:</w:t>
      </w:r>
      <w:r>
        <w:t xml:space="preserve"> 11,015 loans · 226 write-offs (2.1%) · 22,485 members · 11 of ~30 branches ·</w:t>
      </w:r>
    </w:p>
    <w:p>
      <w:r>
        <w:t>18 features (11 borrower + 7 network) · deployed PR-AUC 0.603 / ROC 0.932 · recall 0.801 · precision 0.153 ·</w:t>
      </w:r>
    </w:p>
    <w:p>
      <w:r>
        <w:t>threshold 0.017 · network lift +0.012 [−0.019, +0.044]. New: drop interest_rate → PR 0.660→0.613 ·</w:t>
      </w:r>
    </w:p>
    <w:p>
      <w:r>
        <w:t>complete-records network lift −0.043 · 122 arrears-but-0 (0.54× positives) · contagion 377 vs random 774 ·</w:t>
      </w:r>
    </w:p>
    <w:p>
      <w:r>
        <w:t>guarantee cap max 7 · g_mean_savings 35% fully imputed · riskiest community 27.5%, 95% CI [16%, 43%].</w:t>
      </w:r>
    </w:p>
    <w:p/>
    <w:p>
      <w:pPr>
        <w:pStyle w:val="Heading2"/>
      </w:pPr>
      <w:r>
        <w:t>A. The problem and why it is a problem</w:t>
      </w:r>
    </w:p>
    <w:p>
      <w:r>
        <w:rPr>
          <w:b/>
        </w:rPr>
        <w:t>1.</w:t>
      </w:r>
      <w:r>
        <w:t xml:space="preserve"> A house is a fixed asset the SACCO can value and seize; two teachers are two *people* whose ability to</w:t>
      </w:r>
    </w:p>
    <w:p>
      <w:r>
        <w:t>cover is itself uncertain and *correlated* (same employer, same shocks). So the collateral's value depends on a</w:t>
      </w:r>
    </w:p>
    <w:p>
      <w:r>
        <w:t>network of human risk, which is exactly what a house-backed loan doesn't have — and what no tool at the SACCO</w:t>
      </w:r>
    </w:p>
    <w:p>
      <w:r>
        <w:t>currently makes visible.</w:t>
      </w:r>
    </w:p>
    <w:p>
      <w:r>
        <w:rPr>
          <w:b/>
        </w:rPr>
        <w:t>2. [sharp]</w:t>
      </w:r>
      <w:r>
        <w:t xml:space="preserve"> Write-off is the SACCO's own definitive record of a loan it decided it will not recover — it is</w:t>
      </w:r>
    </w:p>
    <w:p>
      <w:r>
        <w:t>the outcome the institution acts on and provisions for, and it is unambiguous in the data. Default/NPL states</w:t>
      </w:r>
    </w:p>
    <w:p>
      <w:r>
        <w:t>(arrears) are *transient* and reversible; a loan can be 90+ days late and recover. I chose the outcome the</w:t>
      </w:r>
    </w:p>
    <w:p>
      <w:r>
        <w:t xml:space="preserve">business actually cares about. </w:t>
      </w:r>
      <w:r>
        <w:rPr>
          <w:b/>
        </w:rPr>
        <w:t>The honest caveat</w:t>
      </w:r>
      <w:r>
        <w:t xml:space="preserve"> (own it): write-off is partly an accounting act, so the</w:t>
      </w:r>
    </w:p>
    <w:p>
      <w:r>
        <w:t>model predicts "loans the SACCO ends up writing off", which folds in some institutional behaviour.</w:t>
      </w:r>
    </w:p>
    <w:p>
      <w:pPr>
        <w:pStyle w:val="ListBullet"/>
      </w:pPr>
      <w:r>
        <w:rPr>
          <w:b/>
        </w:rPr>
        <w:t>[follow-up]</w:t>
      </w:r>
      <w:r>
        <w:t xml:space="preserve"> Yes — if branches differ in write-off practice, the model partly learns branch policy. I</w:t>
      </w:r>
    </w:p>
    <w:p>
      <w:r>
        <w:t xml:space="preserve">mitigate by never using branch as a feature and by borrower-grouped CV, but I did </w:t>
      </w:r>
      <w:r>
        <w:rPr>
          <w:b/>
        </w:rPr>
        <w:t>not</w:t>
      </w:r>
      <w:r>
        <w:t xml:space="preserve"> test branch-level</w:t>
      </w:r>
    </w:p>
    <w:p>
      <w:r>
        <w:t>write-off-rate differences. That's a stated limitation and a fair future check.</w:t>
      </w:r>
    </w:p>
    <w:p>
      <w:r>
        <w:rPr>
          <w:b/>
        </w:rPr>
        <w:t>3. [sharp]</w:t>
      </w:r>
      <w:r>
        <w:t xml:space="preserve"> Approximate answer from the data: of the 226 write-offs, **182 (≈80%) had no guarantor with a</w:t>
      </w:r>
    </w:p>
    <w:p>
      <w:r>
        <w:t>prior write-off and were within the 8-guarantor cap** — i.e. they looked *clean* on the guarantor rules at</w:t>
      </w:r>
    </w:p>
    <w:p>
      <w:r>
        <w:t xml:space="preserve">disbursement. So the guarantor rules are </w:t>
      </w:r>
      <w:r>
        <w:rPr>
          <w:b/>
        </w:rPr>
        <w:t>largely not the failure</w:t>
      </w:r>
      <w:r>
        <w:t>; write-offs happen despite clean backers,</w:t>
      </w:r>
    </w:p>
    <w:p>
      <w:r>
        <w:t xml:space="preserve">which means my contribution is on the </w:t>
      </w:r>
      <w:r>
        <w:rPr>
          <w:b/>
        </w:rPr>
        <w:t>borrower-financial</w:t>
      </w:r>
      <w:r>
        <w:t xml:space="preserve"> side and the network's role is limited (consistent</w:t>
      </w:r>
    </w:p>
    <w:p>
      <w:r>
        <w:t>with my null result). I could not check "sufficient savings cover" and "performing status" without the exact</w:t>
      </w:r>
    </w:p>
    <w:p>
      <w:r>
        <w:t xml:space="preserve">thresholds </w:t>
      </w:r>
      <w:r>
        <w:rPr>
          <w:b/>
        </w:rPr>
        <w:t>[YOU: confirm the two thresholds and I'll compute the exact all-four pass rate]</w:t>
      </w:r>
      <w:r>
        <w:t>.</w:t>
      </w:r>
    </w:p>
    <w:p>
      <w:r>
        <w:rPr>
          <w:b/>
        </w:rPr>
        <w:t>4.</w:t>
      </w:r>
      <w:r>
        <w:t xml:space="preserve"> The cap of 8 is </w:t>
      </w:r>
      <w:r>
        <w:rPr>
          <w:b/>
        </w:rPr>
        <w:t>decorative, not binding</w:t>
      </w:r>
      <w:r>
        <w:t>: the maximum guarantees any member gives in the data is</w:t>
      </w:r>
    </w:p>
    <w:p>
      <w:r>
        <w:rPr>
          <w:b/>
        </w:rPr>
        <w:t>7</w:t>
      </w:r>
      <w:r>
        <w:t>, only 5 members reach 7, and 100% are at ≤5 (mean 1.58, median 1). So over-commitment via the cap is not a</w:t>
      </w:r>
    </w:p>
    <w:p>
      <w:r>
        <w:t>live constraint in this cohort — worth stating plainly rather than implying the cap bites.</w:t>
      </w:r>
    </w:p>
    <w:p>
      <w:r>
        <w:rPr>
          <w:b/>
        </w:rPr>
        <w:t>5.</w:t>
      </w:r>
      <w:r>
        <w:t xml:space="preserve"> Without the decade-apart comparison: SACCOs serve lower-income, thinner-file borrowers with *social*</w:t>
      </w:r>
    </w:p>
    <w:p>
      <w:r>
        <w:t>collateral rather than physical collateral, and Umwalimu SACCO had no data-driven, network-aware, explainable</w:t>
      </w:r>
    </w:p>
    <w:p>
      <w:r>
        <w:t xml:space="preserve">appraisal tool. The case stands on the </w:t>
      </w:r>
      <w:r>
        <w:rPr>
          <w:b/>
        </w:rPr>
        <w:t>structural gap</w:t>
      </w:r>
      <w:r>
        <w:t xml:space="preserve"> (no tool makes the guarantee network visible), not on</w:t>
      </w:r>
    </w:p>
    <w:p>
      <w:r>
        <w:t xml:space="preserve">a headline NPL number. </w:t>
      </w:r>
      <w:r>
        <w:rPr>
          <w:b/>
        </w:rPr>
        <w:t>[YOU/SOURCE: ideally add one current SACCO NPL figure from BNR/MINECOFIN.]</w:t>
      </w:r>
    </w:p>
    <w:p>
      <w:r>
        <w:rPr>
          <w:b/>
        </w:rPr>
        <w:t>6.</w:t>
      </w:r>
      <w:r>
        <w:t xml:space="preserve"> Recovery order </w:t>
      </w:r>
      <w:r>
        <w:rPr>
          <w:b/>
        </w:rPr>
        <w:t>[YOU: confirm against SACCO policy]</w:t>
      </w:r>
      <w:r>
        <w:t xml:space="preserve"> — typically: the borrower's own savings are seized</w:t>
      </w:r>
    </w:p>
    <w:p>
      <w:r>
        <w:t>first, then guarantors are called on (their savings, then salary deduction), and the loan is written off only</w:t>
      </w:r>
    </w:p>
    <w:p>
      <w:r>
        <w:t>when recovery from all of these fails. Walk it in that order; it explains why guarantor quality matters.</w:t>
      </w:r>
    </w:p>
    <w:p>
      <w:r>
        <w:rPr>
          <w:b/>
        </w:rPr>
        <w:t>7. [sharp] [YOU]</w:t>
      </w:r>
      <w:r>
        <w:t xml:space="preserve"> Be honest about your access. If you did not observe a live appraisal, say the process</w:t>
      </w:r>
    </w:p>
    <w:p>
      <w:r>
        <w:t>description comes from the literature plus an informal conversation with IT/operations staff, and that direct</w:t>
      </w:r>
    </w:p>
    <w:p>
      <w:r>
        <w:t>observation of a credit officer is a limitation. Do not claim fieldwork you didn't do — the panel will credit</w:t>
      </w:r>
    </w:p>
    <w:p>
      <w:r>
        <w:t>the honesty.</w:t>
      </w:r>
    </w:p>
    <w:p/>
    <w:p>
      <w:pPr>
        <w:pStyle w:val="Heading2"/>
      </w:pPr>
      <w:r>
        <w:t>B. Data, labels, and cohort</w:t>
      </w:r>
    </w:p>
    <w:p>
      <w:r>
        <w:rPr>
          <w:b/>
        </w:rPr>
        <w:t>8. [sharp]</w:t>
      </w:r>
      <w:r>
        <w:t xml:space="preserve"> </w:t>
      </w:r>
      <w:r>
        <w:rPr>
          <w:b/>
        </w:rPr>
        <w:t>122 loans (1.1%) are 90+ days in arrears but labelled 0</w:t>
      </w:r>
      <w:r>
        <w:t xml:space="preserve"> — 0.54× the size of the 226</w:t>
      </w:r>
    </w:p>
    <w:p>
      <w:r>
        <w:t>positives. Some will become write-offs, so the negative class is contaminated with future positives. This</w:t>
      </w:r>
    </w:p>
    <w:p>
      <w:r>
        <w:t xml:space="preserve">biases every metric </w:t>
      </w:r>
      <w:r>
        <w:rPr>
          <w:b/>
        </w:rPr>
        <w:t>downward</w:t>
      </w:r>
      <w:r>
        <w:t xml:space="preserve"> (my reported scores are a conservative lower bound), since the model is</w:t>
      </w:r>
    </w:p>
    <w:p>
      <w:r>
        <w:t>penalised for ranking these "not yet written off but troubled" loans as risky.</w:t>
      </w:r>
    </w:p>
    <w:p>
      <w:pPr>
        <w:pStyle w:val="ListBullet"/>
      </w:pPr>
      <w:r>
        <w:rPr>
          <w:b/>
        </w:rPr>
        <w:t>[follow-up]</w:t>
      </w:r>
      <w:r>
        <w:t xml:space="preserve"> I ran the sensitivity: relabelling the 122 arrears-90+ loans as write-offs moves PR-AUC</w:t>
      </w:r>
    </w:p>
    <w:p>
      <w:r>
        <w:rPr>
          <w:b/>
        </w:rPr>
        <w:t>0.653 → 0.520</w:t>
      </w:r>
      <w:r>
        <w:t xml:space="preserve">. Note the direction — it *drops*, because the model does </w:t>
      </w:r>
      <w:r>
        <w:rPr>
          <w:b/>
        </w:rPr>
        <w:t>not</w:t>
      </w:r>
      <w:r>
        <w:t xml:space="preserve"> rank these loans as</w:t>
      </w:r>
    </w:p>
    <w:p>
      <w:r>
        <w:t xml:space="preserve">high-risk (they looked normal at origination). So they are </w:t>
      </w:r>
      <w:r>
        <w:rPr>
          <w:b/>
        </w:rPr>
        <w:t>not</w:t>
      </w:r>
      <w:r>
        <w:t xml:space="preserve"> inflating the headline; the result instead</w:t>
      </w:r>
    </w:p>
    <w:p>
      <w:r>
        <w:t>shows that loans deteriorating after a clean start are genuinely hard to predict from application-time</w:t>
      </w:r>
    </w:p>
    <w:p>
      <w:r>
        <w:t>features — an honest limitation, not a hidden bias in my favour.</w:t>
      </w:r>
    </w:p>
    <w:p>
      <w:r>
        <w:rPr>
          <w:b/>
        </w:rPr>
        <w:t>9. [YOU]</w:t>
      </w:r>
      <w:r>
        <w:t xml:space="preserve"> The merge rule: the two source files (Normal / Written Off) are joined into one row per loan, and</w:t>
      </w:r>
    </w:p>
    <w:p>
      <w:r>
        <w:rPr>
          <w:b/>
        </w:rPr>
        <w:t>a loan appearing in both is treated as written-off</w:t>
      </w:r>
      <w:r>
        <w:t xml:space="preserve"> (write-off wins on overlap). Confirm the 2025-vs-2026</w:t>
      </w:r>
    </w:p>
    <w:p>
      <w:r>
        <w:t>extract handling — the current pipeline dedupes by Loan ID with write-off precedence.</w:t>
      </w:r>
    </w:p>
    <w:p>
      <w:r>
        <w:rPr>
          <w:b/>
        </w:rPr>
        <w:t>10. [sharp]</w:t>
      </w:r>
      <w:r>
        <w:t xml:space="preserve"> Real: </w:t>
      </w:r>
      <w:r>
        <w:rPr>
          <w:b/>
        </w:rPr>
        <w:t>35% of loans have `g_mean_savings` fully median-imputed</w:t>
      </w:r>
      <w:r>
        <w:t xml:space="preserve"> (no guarantor has any savings</w:t>
      </w:r>
    </w:p>
    <w:p>
      <w:r>
        <w:t xml:space="preserve">record), and on average only </w:t>
      </w:r>
      <w:r>
        <w:rPr>
          <w:b/>
        </w:rPr>
        <w:t>~36% of a loan's guarantors have a record</w:t>
      </w:r>
      <w:r>
        <w:t>. So these features are heavily</w:t>
      </w:r>
    </w:p>
    <w:p>
      <w:r>
        <w:t xml:space="preserve">imputed — the reviewer is right. </w:t>
      </w:r>
      <w:r>
        <w:rPr>
          <w:b/>
        </w:rPr>
        <w:t>But</w:t>
      </w:r>
      <w:r>
        <w:t xml:space="preserve"> (the key point) the network's lift stays ~0 even when restricted to the</w:t>
      </w:r>
    </w:p>
    <w:p>
      <w:r>
        <w:rPr>
          <w:b/>
        </w:rPr>
        <w:t>1,049 loans where every guarantor has complete records</w:t>
      </w:r>
      <w:r>
        <w:t xml:space="preserve"> (lift −0.043), so imputation is *not* what killed the</w:t>
      </w:r>
    </w:p>
    <w:p>
      <w:r>
        <w:t>signal — homophily is. The imputation weakens the features but is not the reason for the null result.</w:t>
      </w:r>
    </w:p>
    <w:p>
      <w:r>
        <w:rPr>
          <w:b/>
        </w:rPr>
        <w:t>11. [YOU]</w:t>
      </w:r>
      <w:r>
        <w:t xml:space="preserve"> Say who selected the 11 branches and why (data availability vs deliberate sampling). Then state</w:t>
      </w:r>
    </w:p>
    <w:p>
      <w:r>
        <w:t>honestly whether they're representative on size/members/write-off rate or were the easiest to extract — if you</w:t>
      </w:r>
    </w:p>
    <w:p>
      <w:r>
        <w:t>didn't test representativeness, name it as a limitation.</w:t>
      </w:r>
    </w:p>
    <w:p>
      <w:r>
        <w:rPr>
          <w:b/>
        </w:rPr>
        <w:t>12.</w:t>
      </w:r>
      <w:r>
        <w:t xml:space="preserve"> ~2 members per loan on average, but a member can borrow and/or guarantee, so 22,485 distinct members</w:t>
      </w:r>
    </w:p>
    <w:p>
      <w:r>
        <w:t xml:space="preserve">appear across 11,015 loans — most members are in the graph as </w:t>
      </w:r>
      <w:r>
        <w:rPr>
          <w:b/>
        </w:rPr>
        <w:t>guarantors, not borrowers</w:t>
      </w:r>
      <w:r>
        <w:t xml:space="preserve"> (that's why 51%</w:t>
      </w:r>
    </w:p>
    <w:p>
      <w:r>
        <w:t>have no loan of their own). The graph is dominated by people whose only footprint is backing others.</w:t>
      </w:r>
    </w:p>
    <w:p>
      <w:r>
        <w:rPr>
          <w:b/>
        </w:rPr>
        <w:t>13.</w:t>
      </w:r>
      <w:r>
        <w:t xml:space="preserve"> They measure different things: </w:t>
      </w:r>
      <w:r>
        <w:rPr>
          <w:b/>
        </w:rPr>
        <w:t>17,501 = distinct guarantors (people)</w:t>
      </w:r>
      <w:r>
        <w:t>; **~25,624/27,559 = guarantee</w:t>
      </w:r>
    </w:p>
    <w:p>
      <w:r>
        <w:t>links (edges)**. Not a contradiction — a labelling slip. Fix the captions to "distinct guarantors" vs</w:t>
      </w:r>
    </w:p>
    <w:p>
      <w:r>
        <w:t>"guarantee links".</w:t>
      </w:r>
    </w:p>
    <w:p/>
    <w:p>
      <w:pPr>
        <w:pStyle w:val="Heading2"/>
      </w:pPr>
      <w:r>
        <w:t>C. Features and leakage</w:t>
      </w:r>
    </w:p>
    <w:p>
      <w:r>
        <w:rPr>
          <w:b/>
        </w:rPr>
        <w:t>14.</w:t>
      </w:r>
      <w:r>
        <w:t xml:space="preserve"> The screen drops any field whose correlation with the disbursement date exceeds 0.40 (a disguised</w:t>
      </w:r>
    </w:p>
    <w:p>
      <w:r>
        <w:t xml:space="preserve">clock). The hardest call was </w:t>
      </w:r>
      <w:r>
        <w:rPr>
          <w:rFonts w:ascii="Consolas" w:hAnsi="Consolas"/>
          <w:color w:val="B03000"/>
        </w:rPr>
        <w:t>time_since_last_loan</w:t>
      </w:r>
      <w:r>
        <w:t xml:space="preserve"> (date-correlation 0.42) — genuinely informative but it</w:t>
      </w:r>
    </w:p>
    <w:p>
      <w:r>
        <w:t>tracks calendar time, so keeping it would leak the vintage; I dropped it. 18 features survive.</w:t>
      </w:r>
    </w:p>
    <w:p>
      <w:r>
        <w:rPr>
          <w:b/>
        </w:rPr>
        <w:t>15. [sharp]</w:t>
      </w:r>
      <w:r>
        <w:t xml:space="preserve"> It is a credit-risk model that *includes* a pricing signal. </w:t>
      </w:r>
      <w:r>
        <w:rPr>
          <w:rFonts w:ascii="Consolas" w:hAnsi="Consolas"/>
          <w:color w:val="B03000"/>
        </w:rPr>
        <w:t>interest_rate</w:t>
      </w:r>
      <w:r>
        <w:t xml:space="preserve"> is the top feature</w:t>
      </w:r>
    </w:p>
    <w:p>
      <w:r>
        <w:t>and encodes risk-based pricing (13% → 0.5% default, 14% → 13.3%), which correlates with employment type. **But</w:t>
      </w:r>
    </w:p>
    <w:p>
      <w:r>
        <w:t>dropping it entirely costs only 0.047 PR-AUC (0.660 → 0.613)** — the model keeps most of its skill from savings,</w:t>
      </w:r>
    </w:p>
    <w:p>
      <w:r>
        <w:t>loan-to-savings, account age and guarantor/community history. So it is *not merely* an employment classifier.</w:t>
      </w:r>
    </w:p>
    <w:p>
      <w:pPr>
        <w:pStyle w:val="ListBullet"/>
      </w:pPr>
      <w:r>
        <w:rPr>
          <w:b/>
        </w:rPr>
        <w:t>[follow-up]</w:t>
      </w:r>
      <w:r>
        <w:t xml:space="preserve"> Drop interest_rate: PR-AUC 0.660 → 0.613 (borrower+network); 0.663 → 0.599 (borrower-only).</w:t>
      </w:r>
    </w:p>
    <w:p>
      <w:pPr>
        <w:pStyle w:val="ListBullet"/>
      </w:pPr>
      <w:r>
        <w:rPr>
          <w:b/>
        </w:rPr>
        <w:t>[follow-up]</w:t>
      </w:r>
      <w:r>
        <w:t xml:space="preserve"> No — "your rate is 14%" is not an acceptable member-facing reason. The member-facing</w:t>
      </w:r>
    </w:p>
    <w:p>
      <w:r>
        <w:t>explanation uses the plain drivers (savings, loan size, guarantor history), and this is exactly why a fairness</w:t>
      </w:r>
    </w:p>
    <w:p>
      <w:r>
        <w:t>audit on the public/private split is a stated precondition for deployment.</w:t>
      </w:r>
    </w:p>
    <w:p>
      <w:r>
        <w:rPr>
          <w:b/>
        </w:rPr>
        <w:t>16. [sharp]</w:t>
      </w:r>
      <w:r>
        <w:t xml:space="preserve"> Honest: they are two different community definitions. The </w:t>
      </w:r>
      <w:r>
        <w:rPr>
          <w:b/>
        </w:rPr>
        <w:t>model feature</w:t>
      </w:r>
    </w:p>
    <w:p>
      <w:r>
        <w:rPr>
          <w:rFonts w:ascii="Consolas" w:hAnsi="Consolas"/>
          <w:color w:val="B03000"/>
        </w:rPr>
        <w:t>community_prior_default_rate</w:t>
      </w:r>
      <w:r>
        <w:t xml:space="preserve"> uses </w:t>
      </w:r>
      <w:r>
        <w:rPr>
          <w:b/>
        </w:rPr>
        <w:t>union-find connected components</w:t>
      </w:r>
      <w:r>
        <w:t xml:space="preserve"> (the borrower's whole reachable guarantee</w:t>
      </w:r>
    </w:p>
    <w:p>
      <w:r>
        <w:t xml:space="preserve">cluster) computed live in the backend. The </w:t>
      </w:r>
      <w:r>
        <w:rPr>
          <w:b/>
        </w:rPr>
        <w:t>Insights view</w:t>
      </w:r>
      <w:r>
        <w:t xml:space="preserve"> ranks </w:t>
      </w:r>
      <w:r>
        <w:rPr>
          <w:b/>
        </w:rPr>
        <w:t>Louvain</w:t>
      </w:r>
      <w:r>
        <w:t xml:space="preserve"> communities (tight groups),</w:t>
      </w:r>
    </w:p>
    <w:p>
      <w:r>
        <w:t xml:space="preserve">computed offline in the notebook. So the community *shown* to the officer is </w:t>
      </w:r>
      <w:r>
        <w:rPr>
          <w:b/>
        </w:rPr>
        <w:t>not</w:t>
      </w:r>
      <w:r>
        <w:t xml:space="preserve"> the same grouping the</w:t>
      </w:r>
    </w:p>
    <w:p>
      <w:r>
        <w:t>*score* was built from. That's an inconsistency I'd align in future work (use one definition end to end); for</w:t>
      </w:r>
    </w:p>
    <w:p>
      <w:r>
        <w:t>now the feature is a broad "cluster history" signal and the view is a browsing aid.</w:t>
      </w:r>
    </w:p>
    <w:p>
      <w:r>
        <w:rPr>
          <w:b/>
        </w:rPr>
        <w:t>17.</w:t>
      </w:r>
      <w:r>
        <w:t xml:space="preserve"> The </w:t>
      </w:r>
      <w:r>
        <w:rPr>
          <w:rFonts w:ascii="Consolas" w:hAnsi="Consolas"/>
          <w:color w:val="B03000"/>
        </w:rPr>
        <w:t>+1</w:t>
      </w:r>
      <w:r>
        <w:t xml:space="preserve"> avoids divide-by-zero for a borrower with (near-)zero savings. For such a borrower the ratio</w:t>
      </w:r>
    </w:p>
    <w:p>
      <w:r>
        <w:t>becomes essentially the guarantors' savings themselves — i.e. "how much backing stands behind someone with</w:t>
      </w:r>
    </w:p>
    <w:p>
      <w:r>
        <w:t>almost no savings of their own", which is exactly the high-risk case we want the feature to capture.</w:t>
      </w:r>
    </w:p>
    <w:p>
      <w:r>
        <w:rPr>
          <w:b/>
        </w:rPr>
        <w:t>18.</w:t>
      </w:r>
      <w:r>
        <w:t xml:space="preserve"> At serve time the application's date is "now"; all as-of histories are computed up to that point. Since</w:t>
      </w:r>
    </w:p>
    <w:p>
      <w:r>
        <w:t>serving happens after all recorded loans, the as-of window is effectively the full history — consistent with</w:t>
      </w:r>
    </w:p>
    <w:p>
      <w:r>
        <w:t>training, where each loan's window ends at its own disbursement. There's no train-serve skew in *definition*;</w:t>
      </w:r>
    </w:p>
    <w:p>
      <w:r>
        <w:t>the only difference is the reference date, which is intended.</w:t>
      </w:r>
    </w:p>
    <w:p>
      <w:r>
        <w:rPr>
          <w:b/>
        </w:rPr>
        <w:t>19. [sharp]</w:t>
      </w:r>
      <w:r>
        <w:t xml:space="preserve"> A first-time borrower (b_prior_loans 0, no prior write-off) with two never-borrowed guarantors:</w:t>
      </w:r>
    </w:p>
    <w:p>
      <w:r>
        <w:t>the borrower-history features are 0/empty, the guarantor savings/salary features are missing → median-imputed,</w:t>
      </w:r>
    </w:p>
    <w:p>
      <w:r>
        <w:t>and the community rate is ~0/imputed. The model leans on the loan-vs-savings ratios and interest rate, and</w:t>
      </w:r>
    </w:p>
    <w:p>
      <w:r>
        <w:t>returns a score near the portfolio baseline unless the amount is large relative to savings. It degrades</w:t>
      </w:r>
    </w:p>
    <w:p>
      <w:r>
        <w:t>gracefully to "not much signal → near base rate", which is the honest output.</w:t>
      </w:r>
    </w:p>
    <w:p/>
    <w:p>
      <w:pPr>
        <w:pStyle w:val="Heading2"/>
      </w:pPr>
      <w:r>
        <w:t>D. Methodology and evaluation</w:t>
      </w:r>
    </w:p>
    <w:p>
      <w:r>
        <w:rPr>
          <w:b/>
        </w:rPr>
        <w:t>20. [sharp]</w:t>
      </w:r>
      <w:r>
        <w:t xml:space="preserve"> Borrower-grouped CV controls </w:t>
      </w:r>
      <w:r>
        <w:rPr>
          <w:b/>
        </w:rPr>
        <w:t>identity</w:t>
      </w:r>
      <w:r>
        <w:t xml:space="preserve"> leakage (the real risk here, since a borrower recurs).</w:t>
      </w:r>
    </w:p>
    <w:p>
      <w:r>
        <w:t xml:space="preserve">I did </w:t>
      </w:r>
      <w:r>
        <w:rPr>
          <w:b/>
        </w:rPr>
        <w:t>not</w:t>
      </w:r>
      <w:r>
        <w:t xml:space="preserve"> do a strict 2022-train/2023-test </w:t>
      </w:r>
      <w:r>
        <w:rPr>
          <w:b/>
        </w:rPr>
        <w:t>temporal</w:t>
      </w:r>
      <w:r>
        <w:t xml:space="preserve"> split, and you're right that deployment is forward</w:t>
      </w:r>
    </w:p>
    <w:p>
      <w:r>
        <w:t>in time. My mitigations were the date-correlation leakage screen (dropping vintage proxies) and a matured</w:t>
      </w:r>
    </w:p>
    <w:p>
      <w:r>
        <w:t>cohort. I accept that grouped folds don't control temporal drift; a time-based split is the correct additional</w:t>
      </w:r>
    </w:p>
    <w:p>
      <w:r>
        <w:t xml:space="preserve">robustness check and is honest future work. </w:t>
      </w:r>
      <w:r>
        <w:rPr>
          <w:b/>
        </w:rPr>
        <w:t>[RE-RUN: I can run a 2022→2023 split for you.]</w:t>
      </w:r>
    </w:p>
    <w:p>
      <w:r>
        <w:rPr>
          <w:b/>
        </w:rPr>
        <w:t>21.</w:t>
      </w:r>
      <w:r>
        <w:t xml:space="preserve"> The bootstrap resamples </w:t>
      </w:r>
      <w:r>
        <w:rPr>
          <w:b/>
        </w:rPr>
        <w:t>over loans</w:t>
      </w:r>
      <w:r>
        <w:t xml:space="preserve"> (2,000 draws), recomputing PR-AUC on each resample of the</w:t>
      </w:r>
    </w:p>
    <w:p>
      <w:r>
        <w:t xml:space="preserve">out-of-fold predictions. It does </w:t>
      </w:r>
      <w:r>
        <w:rPr>
          <w:b/>
        </w:rPr>
        <w:t>not</w:t>
      </w:r>
      <w:r>
        <w:t xml:space="preserve"> explicitly model fold-to-fold correlation — a limitation; a</w:t>
      </w:r>
    </w:p>
    <w:p>
      <w:r>
        <w:t>grouped/block bootstrap would be more conservative. The interval crossing zero is the headline regardless.</w:t>
      </w:r>
    </w:p>
    <w:p>
      <w:r>
        <w:rPr>
          <w:b/>
        </w:rPr>
        <w:t>22.</w:t>
      </w:r>
      <w:r>
        <w:t xml:space="preserve"> The </w:t>
      </w:r>
      <w:r>
        <w:rPr>
          <w:rFonts w:ascii="Consolas" w:hAnsi="Consolas"/>
          <w:color w:val="B03000"/>
        </w:rPr>
        <w:t>neg/pos ≈ 48</w:t>
      </w:r>
      <w:r>
        <w:t xml:space="preserve"> rule optimises balanced accuracy at a 0.5 threshold, not ranking. Heavy up-weighting</w:t>
      </w:r>
    </w:p>
    <w:p>
      <w:r>
        <w:t>distorts the predicted probabilities and flattens the score distribution, which *lowers* PR-AUC. The recall we</w:t>
      </w:r>
    </w:p>
    <w:p>
      <w:r>
        <w:t xml:space="preserve">want comes from the operating </w:t>
      </w:r>
      <w:r>
        <w:rPr>
          <w:b/>
        </w:rPr>
        <w:t>threshold</w:t>
      </w:r>
      <w:r>
        <w:t xml:space="preserve">, not from re-weighting — so </w:t>
      </w:r>
      <w:r>
        <w:rPr>
          <w:rFonts w:ascii="Consolas" w:hAnsi="Consolas"/>
          <w:color w:val="B03000"/>
        </w:rPr>
        <w:t>scale_pos_weight = 1</w:t>
      </w:r>
      <w:r>
        <w:t xml:space="preserve"> ranks best (PR</w:t>
      </w:r>
    </w:p>
    <w:p>
      <w:r>
        <w:t>0.594 → 0.653 across the sweep).</w:t>
      </w:r>
    </w:p>
    <w:p>
      <w:r>
        <w:rPr>
          <w:b/>
        </w:rPr>
        <w:t>23. [sharp]</w:t>
      </w:r>
      <w:r>
        <w:t xml:space="preserve"> Honest: 80% recall was chosen as a </w:t>
      </w:r>
      <w:r>
        <w:rPr>
          <w:b/>
        </w:rPr>
        <w:t>screening-first</w:t>
      </w:r>
      <w:r>
        <w:t xml:space="preserve"> stance (a missed default costs more than</w:t>
      </w:r>
    </w:p>
    <w:p>
      <w:r>
        <w:t xml:space="preserve">a review), </w:t>
      </w:r>
      <w:r>
        <w:rPr>
          <w:b/>
        </w:rPr>
        <w:t>not</w:t>
      </w:r>
      <w:r>
        <w:t xml:space="preserve"> derived from a measured cost ratio or the SACCO's review capacity. That's a limitation — the</w:t>
      </w:r>
    </w:p>
    <w:p>
      <w:r>
        <w:t>threshold should be set with the SACCO's actual capacity.</w:t>
      </w:r>
    </w:p>
    <w:p>
      <w:pPr>
        <w:pStyle w:val="ListBullet"/>
      </w:pPr>
      <w:r>
        <w:rPr>
          <w:b/>
        </w:rPr>
        <w:t>[follow-up]</w:t>
      </w:r>
      <w:r>
        <w:t xml:space="preserve"> At that threshold, ~1,100/11,015 loans are flagged to catch 181, precision 0.153 → ~6 false</w:t>
      </w:r>
    </w:p>
    <w:p>
      <w:r>
        <w:t>alarms per catch. That is a heavy review load and a real adoption risk; officers would lose trust. The right</w:t>
      </w:r>
    </w:p>
    <w:p>
      <w:r>
        <w:t>fix is to set the threshold from branch capacity, or present a *ranked queue* (top-N by score) rather than a</w:t>
      </w:r>
    </w:p>
    <w:p>
      <w:r>
        <w:t>binary flag — I'd propose the ranked queue.</w:t>
      </w:r>
    </w:p>
    <w:p>
      <w:r>
        <w:rPr>
          <w:b/>
        </w:rPr>
        <w:t>24. [sharp] [YOU]</w:t>
      </w:r>
      <w:r>
        <w:t xml:space="preserve"> Say honestly who you consulted before trading 0.653 → 0.603 for monotonicity. If it was</w:t>
      </w:r>
    </w:p>
    <w:p>
      <w:r>
        <w:t>your own judgement (that a believable model an officer trusts beats a slightly sharper black box), say that — it</w:t>
      </w:r>
    </w:p>
    <w:p>
      <w:r>
        <w:t>is a defensible product decision — but don't invent a stakeholder sign-off.</w:t>
      </w:r>
    </w:p>
    <w:p>
      <w:r>
        <w:rPr>
          <w:b/>
        </w:rPr>
        <w:t>25.</w:t>
      </w:r>
      <w:r>
        <w:t xml:space="preserve"> The still-rising learning curve says the model is </w:t>
      </w:r>
      <w:r>
        <w:rPr>
          <w:b/>
        </w:rPr>
        <w:t>data-starved at 226 positives</w:t>
      </w:r>
      <w:r>
        <w:t>, not at its ceiling —</w:t>
      </w:r>
    </w:p>
    <w:p>
      <w:r>
        <w:t>more defaults would help. Roughly, going from 11 to all ~30 branches (≈2.7× the data, ~600 positives) is the</w:t>
      </w:r>
    </w:p>
    <w:p>
      <w:r>
        <w:t>natural next step; I can't promise a specific PR-AUC gain, only that the curve predicts headroom.</w:t>
      </w:r>
    </w:p>
    <w:p>
      <w:r>
        <w:rPr>
          <w:b/>
        </w:rPr>
        <w:t>26. [sharp]</w:t>
      </w:r>
      <w:r>
        <w:t xml:space="preserve"> I did </w:t>
      </w:r>
      <w:r>
        <w:rPr>
          <w:b/>
        </w:rPr>
        <w:t>not</w:t>
      </w:r>
      <w:r>
        <w:t xml:space="preserve"> encode the SACCO's eligibility rules as a classifier — baselines are base rate and</w:t>
      </w:r>
    </w:p>
    <w:p>
      <w:r>
        <w:t>logistic regression, which is a gap. The rules are mostly hard *filters* applied pre-disbursement (so they don't</w:t>
      </w:r>
    </w:p>
    <w:p>
      <w:r>
        <w:t>produce a probability to ROC-compare directly), but I could approximate a rule-score and compare. Honest future</w:t>
      </w:r>
    </w:p>
    <w:p>
      <w:r>
        <w:t>work. Note the related finding from Q3: 182/226 write-offs already *passed* the guarantor rules, so the rules</w:t>
      </w:r>
    </w:p>
    <w:p>
      <w:r>
        <w:t>have limited discriminating power on this cohort.</w:t>
      </w:r>
    </w:p>
    <w:p/>
    <w:p>
      <w:pPr>
        <w:pStyle w:val="Heading2"/>
      </w:pPr>
      <w:r>
        <w:t>E. The network finding</w:t>
      </w:r>
    </w:p>
    <w:p>
      <w:r>
        <w:rPr>
          <w:b/>
        </w:rPr>
        <w:t>27.</w:t>
      </w:r>
      <w:r>
        <w:t xml:space="preserve"> "Adding the guarantor-network features to the borrower features does not improve write-off ranking</w:t>
      </w:r>
    </w:p>
    <w:p>
      <w:r>
        <w:t xml:space="preserve">beyond noise (lift +0.012, 95% CI [−0.019, +0.044])." It is a </w:t>
      </w:r>
      <w:r>
        <w:rPr>
          <w:b/>
        </w:rPr>
        <w:t>finding</w:t>
      </w:r>
      <w:r>
        <w:t>, not a failure, because it is a</w:t>
      </w:r>
    </w:p>
    <w:p>
      <w:r>
        <w:t>*boundary condition* on the corporate-guarantee-network literature: what works for Chinese SME networks does not</w:t>
      </w:r>
    </w:p>
    <w:p>
      <w:r>
        <w:t>transfer to a Rwandan teachers' cooperative, and I show *why* (homophily + a near-tree graph).</w:t>
      </w:r>
    </w:p>
    <w:p>
      <w:r>
        <w:rPr>
          <w:b/>
        </w:rPr>
        <w:t>28. [sharp]</w:t>
      </w:r>
      <w:r>
        <w:t xml:space="preserve"> The two explanations are homophily vs imputation destroying the signal. The clean test is lift</w:t>
      </w:r>
    </w:p>
    <w:p>
      <w:r>
        <w:t xml:space="preserve">on </w:t>
      </w:r>
      <w:r>
        <w:rPr>
          <w:b/>
        </w:rPr>
        <w:t>complete-record loans only</w:t>
      </w:r>
      <w:r>
        <w:t xml:space="preserve"> — I ran it: on the 1,049 loans where every guarantor has complete savings and</w:t>
      </w:r>
    </w:p>
    <w:p>
      <w:r>
        <w:t xml:space="preserve">salary (44 defaults), the network lift is </w:t>
      </w:r>
      <w:r>
        <w:rPr>
          <w:b/>
        </w:rPr>
        <w:t>−0.043</w:t>
      </w:r>
      <w:r>
        <w:t xml:space="preserve"> (still none). So imputation is </w:t>
      </w:r>
      <w:r>
        <w:rPr>
          <w:b/>
        </w:rPr>
        <w:t>not</w:t>
      </w:r>
      <w:r>
        <w:t xml:space="preserve"> the cause;</w:t>
      </w:r>
    </w:p>
    <w:p>
      <w:r>
        <w:t>homophily holds. Caveat: small subset, so noisy — but the direction is clear.</w:t>
      </w:r>
    </w:p>
    <w:p>
      <w:r>
        <w:rPr>
          <w:b/>
        </w:rPr>
        <w:t>29. [sharp]</w:t>
      </w:r>
      <w:r>
        <w:t xml:space="preserve"> Average degree ≈ </w:t>
      </w:r>
      <w:r>
        <w:rPr>
          <w:b/>
        </w:rPr>
        <w:t>2.3</w:t>
      </w:r>
      <w:r>
        <w:t xml:space="preserve"> (2 × ~25,600 edges / 22,485 nodes) — a very sparse, near-tree graph.</w:t>
      </w:r>
    </w:p>
    <w:p>
      <w:r>
        <w:t xml:space="preserve">At that density Louvain is close to </w:t>
      </w:r>
      <w:r>
        <w:rPr>
          <w:b/>
        </w:rPr>
        <w:t>recovering connected components</w:t>
      </w:r>
      <w:r>
        <w:t>, so modularity 0.99 is near-trivial and</w:t>
      </w:r>
    </w:p>
    <w:p>
      <w:r>
        <w:t>I present it as such, not as strong community structure.</w:t>
      </w:r>
    </w:p>
    <w:p>
      <w:r>
        <w:rPr>
          <w:b/>
        </w:rPr>
        <w:t>30.</w:t>
      </w:r>
      <w:r>
        <w:t xml:space="preserve"> The riskiest community has </w:t>
      </w:r>
      <w:r>
        <w:rPr>
          <w:b/>
        </w:rPr>
        <w:t>40 loans (61 members)</w:t>
      </w:r>
      <w:r>
        <w:t xml:space="preserve"> at 27.5% write-off. The 95% Wilson CI is</w:t>
      </w:r>
    </w:p>
    <w:p>
      <w:r>
        <w:rPr>
          <w:b/>
        </w:rPr>
        <w:t>[16.1%, 42.8%]</w:t>
      </w:r>
      <w:r>
        <w:t xml:space="preserve"> — wide because n is small, but the lower bound (16%) is still ~8× the 2.1% portfolio rate, so</w:t>
      </w:r>
    </w:p>
    <w:p>
      <w:r>
        <w:t>it's a genuinely elevated group, not noise. (The 14 communities at "100%" are 1-loan/4-member artefacts — I</w:t>
      </w:r>
    </w:p>
    <w:p>
      <w:r>
        <w:t>filter to ≥30 loans.)</w:t>
      </w:r>
    </w:p>
    <w:p>
      <w:r>
        <w:rPr>
          <w:b/>
        </w:rPr>
        <w:t>31.</w:t>
      </w:r>
      <w:r>
        <w:t xml:space="preserve"> Real cascade: 217 defaulters → </w:t>
      </w:r>
      <w:r>
        <w:rPr>
          <w:b/>
        </w:rPr>
        <w:t>377 reached</w:t>
      </w:r>
      <w:r>
        <w:t>. A **random seed of 217 members reaches 774 on average</w:t>
      </w:r>
    </w:p>
    <w:p>
      <w:r>
        <w:t>(95% CI 718–833)** — so the real cascade is *below* random, because defaulters sit in less-central positions.</w:t>
      </w:r>
    </w:p>
    <w:p>
      <w:r>
        <w:t xml:space="preserve">Honest conclusion: the contagion figure illustrates </w:t>
      </w:r>
      <w:r>
        <w:rPr>
          <w:b/>
        </w:rPr>
        <w:t>exposure</w:t>
      </w:r>
      <w:r>
        <w:t>, not above-chance systemic spread; I present it</w:t>
      </w:r>
    </w:p>
    <w:p>
      <w:r>
        <w:t>that way rather than as evidence the network amplifies risk.</w:t>
      </w:r>
    </w:p>
    <w:p>
      <w:r>
        <w:rPr>
          <w:b/>
        </w:rPr>
        <w:t>32.</w:t>
      </w:r>
      <w:r>
        <w:t xml:space="preserve"> Structural differences: corporate SME guarantee networks have **directed, high-value, deliberately</w:t>
      </w:r>
    </w:p>
    <w:p>
      <w:r>
        <w:t>chosen** guarantees among firms with rich financials, dense interlocking structure, and strategic default</w:t>
      </w:r>
    </w:p>
    <w:p>
      <w:r>
        <w:t xml:space="preserve">behaviour. A teachers' cooperative has </w:t>
      </w:r>
      <w:r>
        <w:rPr>
          <w:b/>
        </w:rPr>
        <w:t>thin-file individuals</w:t>
      </w:r>
      <w:r>
        <w:t>, near-tree low-degree structure, guarantees</w:t>
      </w:r>
    </w:p>
    <w:p>
      <w:r>
        <w:t>chosen by social proximity (homophily), and salary-deduction recovery — so the network carries far less</w:t>
      </w:r>
    </w:p>
    <w:p>
      <w:r>
        <w:t>*independent* signal. That's the theoretical spine (joint-liability lending literature: Ghatak &amp; Guinnane;</w:t>
      </w:r>
    </w:p>
    <w:p>
      <w:r>
        <w:t>Besley &amp; Coate).</w:t>
      </w:r>
    </w:p>
    <w:p>
      <w:r>
        <w:rPr>
          <w:b/>
        </w:rPr>
        <w:t>33. [sharp]</w:t>
      </w:r>
      <w:r>
        <w:t xml:space="preserve"> The value is </w:t>
      </w:r>
      <w:r>
        <w:rPr>
          <w:b/>
        </w:rPr>
        <w:t>not</w:t>
      </w:r>
      <w:r>
        <w:t xml:space="preserve"> incremental accuracy — it's </w:t>
      </w:r>
      <w:r>
        <w:rPr>
          <w:b/>
        </w:rPr>
        <w:t>explainability and visibility</w:t>
      </w:r>
      <w:r>
        <w:t>: the network</w:t>
      </w:r>
    </w:p>
    <w:p>
      <w:r>
        <w:t>flags (a written-off or over-committed guarantor), the contagion/exposure view a single officer could never</w:t>
      </w:r>
    </w:p>
    <w:p>
      <w:r>
        <w:t>assemble by hand, the fix-it advisor, and a calibrated, monotone, defensible score. In commercial terms: faster,</w:t>
      </w:r>
    </w:p>
    <w:p>
      <w:r>
        <w:t>consistent, auditable appraisals and earlier sight of concentrated exposure — process value, not a higher AUC.</w:t>
      </w:r>
    </w:p>
    <w:p/>
    <w:p>
      <w:pPr>
        <w:pStyle w:val="Heading2"/>
      </w:pPr>
      <w:r>
        <w:t>F. The system, deployment, and ethics</w:t>
      </w:r>
    </w:p>
    <w:p>
      <w:r>
        <w:rPr>
          <w:b/>
        </w:rPr>
        <w:t>34. [sharp]</w:t>
      </w:r>
      <w:r>
        <w:t xml:space="preserve"> It re-scores </w:t>
      </w:r>
      <w:r>
        <w:rPr>
          <w:b/>
        </w:rPr>
        <w:t>real alternative guarantors</w:t>
      </w:r>
      <w:r>
        <w:t xml:space="preserve"> from the book, so it's genuine risk reduction when</w:t>
      </w:r>
    </w:p>
    <w:p>
      <w:r>
        <w:t>the swapped-in backer is actually stronger — but you're right it can shade into "make the loan look better to</w:t>
      </w:r>
    </w:p>
    <w:p>
      <w:r>
        <w:t>the model". The monotone constraints and the use of real member data limit gaming, and it's framed as a</w:t>
      </w:r>
    </w:p>
    <w:p>
      <w:r>
        <w:t>suggestion, not an action.</w:t>
      </w:r>
    </w:p>
    <w:p>
      <w:pPr>
        <w:pStyle w:val="ListBullet"/>
      </w:pPr>
      <w:r>
        <w:rPr>
          <w:b/>
        </w:rPr>
        <w:t>[follow-up]</w:t>
      </w:r>
      <w:r>
        <w:t xml:space="preserve"> Yes — systematically swapping in strong-savings members concentrates *their* exposure and, at</w:t>
      </w:r>
    </w:p>
    <w:p>
      <w:r>
        <w:t>the next retraining, the model would learn those members as "safe backers", a feedback loop. That's a real</w:t>
      </w:r>
    </w:p>
    <w:p>
      <w:r>
        <w:t>risk I'd monitor (cap suggestions per member; watch exposure concentration).</w:t>
      </w:r>
    </w:p>
    <w:p>
      <w:r>
        <w:rPr>
          <w:b/>
        </w:rPr>
        <w:t>35.</w:t>
      </w:r>
      <w:r>
        <w:t xml:space="preserve"> Yes — that's a genuine fairness concern: penalising members connected to prior write-offs can make it</w:t>
      </w:r>
    </w:p>
    <w:p>
      <w:r>
        <w:t>harder for them to find backers, concentrating rather than reducing risk. It's part of why the fairness audit is</w:t>
      </w:r>
    </w:p>
    <w:p>
      <w:r>
        <w:t>a deployment precondition, and why the tool is decision-support (the officer can override), not an auto-decline.</w:t>
      </w:r>
    </w:p>
    <w:p>
      <w:r>
        <w:rPr>
          <w:b/>
        </w:rPr>
        <w:t>36. [sharp]</w:t>
      </w:r>
      <w:r>
        <w:t xml:space="preserve"> Corrected facts: the demo runs on the </w:t>
      </w:r>
      <w:r>
        <w:rPr>
          <w:b/>
        </w:rPr>
        <w:t>real, pseudonymised</w:t>
      </w:r>
      <w:r>
        <w:t xml:space="preserve"> records, </w:t>
      </w:r>
      <w:r>
        <w:rPr>
          <w:b/>
        </w:rPr>
        <w:t>not synthetic</w:t>
      </w:r>
      <w:r>
        <w:t xml:space="preserve"> — the</w:t>
      </w:r>
    </w:p>
    <w:p>
      <w:r>
        <w:t xml:space="preserve">seeding was a known, deliberate step. It was </w:t>
      </w:r>
      <w:r>
        <w:rPr>
          <w:b/>
        </w:rPr>
        <w:t>explicitly authorised</w:t>
      </w:r>
      <w:r>
        <w:t>, and the data was **deleted immediately</w:t>
      </w:r>
    </w:p>
    <w:p>
      <w:r>
        <w:t>after the demonstration**. Member IDs are opaque pseudonyms with no directly identifying fields. I'm fixing the</w:t>
      </w:r>
    </w:p>
    <w:p>
      <w:r>
        <w:t>report to say this in one place and removing the wrong "synthetic only" wording. **[YOU: fill the date and who</w:t>
      </w:r>
    </w:p>
    <w:p>
      <w:r>
        <w:t>authorised.]**</w:t>
      </w:r>
    </w:p>
    <w:p>
      <w:pPr>
        <w:pStyle w:val="ListBullet"/>
      </w:pPr>
      <w:r>
        <w:rPr>
          <w:b/>
        </w:rPr>
        <w:t>[follow-up]</w:t>
      </w:r>
      <w:r>
        <w:t xml:space="preserve"> Pseudonymised guarantee-graph data can still be personal data under Law 058/2021 (re-</w:t>
      </w:r>
    </w:p>
    <w:p>
      <w:r>
        <w:t>identification risk via the graph), which is exactly why the cloud copy was authorised, minimal, and deleted</w:t>
      </w:r>
    </w:p>
    <w:p>
      <w:r>
        <w:t>immediately — a controlled, time-boxed exception, not indefinite storage.</w:t>
      </w:r>
    </w:p>
    <w:p>
      <w:r>
        <w:rPr>
          <w:b/>
        </w:rPr>
        <w:t>37.</w:t>
      </w:r>
      <w:r>
        <w:t xml:space="preserve"> Reconcile by fixing §6.4: the approach is *methodologically* sound and the score is *defensible in</w:t>
      </w:r>
    </w:p>
    <w:p>
      <w:r>
        <w:t xml:space="preserve">design*, but it </w:t>
      </w:r>
      <w:r>
        <w:rPr>
          <w:b/>
        </w:rPr>
        <w:t>should not be deployed until the fairness audit (and the interest-rate proxy check) are done</w:t>
      </w:r>
      <w:r>
        <w:t>.</w:t>
      </w:r>
    </w:p>
    <w:p>
      <w:r>
        <w:t>I'm softening "can be trusted" to match §5.3 — the honesty is deliberate.</w:t>
      </w:r>
    </w:p>
    <w:p>
      <w:r>
        <w:rPr>
          <w:b/>
        </w:rPr>
        <w:t>38.</w:t>
      </w:r>
      <w:r>
        <w:t xml:space="preserve"> The audit: </w:t>
      </w:r>
      <w:r>
        <w:rPr>
          <w:b/>
        </w:rPr>
        <w:t>groups</w:t>
      </w:r>
      <w:r>
        <w:t xml:space="preserve"> = public vs private teachers (the interest-rate proxy) and branch; </w:t>
      </w:r>
      <w:r>
        <w:rPr>
          <w:b/>
        </w:rPr>
        <w:t>metric</w:t>
      </w:r>
      <w:r>
        <w:t xml:space="preserve"> =</w:t>
      </w:r>
    </w:p>
    <w:p>
      <w:r>
        <w:t xml:space="preserve">equal-opportunity / TPR gap and FPR gap at the operating threshold (plus calibration-by-group); </w:t>
      </w:r>
      <w:r>
        <w:rPr>
          <w:b/>
        </w:rPr>
        <w:t>threshold</w:t>
      </w:r>
      <w:r>
        <w:t xml:space="preserve"> =</w:t>
      </w:r>
    </w:p>
    <w:p>
      <w:r>
        <w:t>refuse deployment if the FPR or TPR gap between groups exceeds a pre-agreed bound (e.g. &gt; ~10 points) or if</w:t>
      </w:r>
    </w:p>
    <w:p>
      <w:r>
        <w:t>calibration diverges materially by group.</w:t>
      </w:r>
    </w:p>
    <w:p>
      <w:r>
        <w:rPr>
          <w:b/>
        </w:rPr>
        <w:t>39. [YOU]</w:t>
      </w:r>
      <w:r>
        <w:t xml:space="preserve"> Show the exact member-facing wording from the client report/email path (it uses plain drivers —</w:t>
      </w:r>
    </w:p>
    <w:p>
      <w:r>
        <w:t xml:space="preserve">savings, loan size, guarantor history — and </w:t>
      </w:r>
      <w:r>
        <w:rPr>
          <w:b/>
        </w:rPr>
        <w:t>excludes</w:t>
      </w:r>
      <w:r>
        <w:t xml:space="preserve"> guarantor identities and the internal breakdown). State</w:t>
      </w:r>
    </w:p>
    <w:p>
      <w:r>
        <w:t>who delivers it (the loan officer, as guidance, not an automated decline).</w:t>
      </w:r>
    </w:p>
    <w:p>
      <w:r>
        <w:rPr>
          <w:b/>
        </w:rPr>
        <w:t>40. [YOU/design]</w:t>
      </w:r>
      <w:r>
        <w:t xml:space="preserve"> Retraining: on each new SACCO data extract (e.g. quarterly/annually) by whoever owns the</w:t>
      </w:r>
    </w:p>
    <w:p>
      <w:r>
        <w:t>model (you/IT), via the admin Model tab (upload the new bundle). Drift detection: monitor the calibration curve</w:t>
      </w:r>
    </w:p>
    <w:p>
      <w:r>
        <w:t>and the score distribution / flag rate over time; a shift in observed-vs-predicted default rate signals</w:t>
      </w:r>
    </w:p>
    <w:p>
      <w:r>
        <w:t>recalibration. (This is designed, not yet automated — say so.)</w:t>
      </w:r>
    </w:p>
    <w:p>
      <w:r>
        <w:rPr>
          <w:b/>
        </w:rPr>
        <w:t>41.</w:t>
      </w:r>
      <w:r>
        <w:t xml:space="preserve"> Honest: the score source is shown (the result carries "source: model" vs "rule-based fallback"), so an</w:t>
      </w:r>
    </w:p>
    <w:p>
      <w:r>
        <w:t>officer *can* see a fallback — but confirm the fallback wording is prominent enough. If it's subtle, that's a</w:t>
      </w:r>
    </w:p>
    <w:p>
      <w:r>
        <w:t>one-line UI fix worth making.</w:t>
      </w:r>
    </w:p>
    <w:p>
      <w:r>
        <w:rPr>
          <w:b/>
        </w:rPr>
        <w:t>42. [sharp] [YOU]</w:t>
      </w:r>
      <w:r>
        <w:t xml:space="preserve"> Best honest guess: a real credit manager would demand the tool respect the **actual</w:t>
      </w:r>
    </w:p>
    <w:p>
      <w:r>
        <w:t>eligibility rules and branch review capacity** — i.e. a ranked queue sized to what they can review, not a</w:t>
      </w:r>
    </w:p>
    <w:p>
      <w:r>
        <w:t>binary flag that lights up ~1 in 10 loans. Frame it as "I'd expect them to want the flag volume tied to their</w:t>
      </w:r>
    </w:p>
    <w:p>
      <w:r>
        <w:t>capacity."</w:t>
      </w:r>
    </w:p>
    <w:p/>
    <w:p>
      <w:pPr>
        <w:pStyle w:val="Heading2"/>
      </w:pPr>
      <w:r>
        <w:t>G. Live demo requests (rehearse; these are actions, not written answers)</w:t>
      </w:r>
    </w:p>
    <w:p>
      <w:r>
        <w:rPr>
          <w:b/>
        </w:rPr>
        <w:t>43–50.</w:t>
      </w:r>
      <w:r>
        <w:t xml:space="preserve"> These are live actions — rehearse each: (43) assess a fresh loan and read every number; (44) a</w:t>
      </w:r>
    </w:p>
    <w:p>
      <w:r>
        <w:t>Medium/High borderline and what you'd advise; (45) use what-if to push High→Low by swapping guarantors, then say</w:t>
      </w:r>
    </w:p>
    <w:p>
      <w:r>
        <w:t>honestly it changes the *guarantee*, not the borrower's finances, so it's only safer if the new backer is really</w:t>
      </w:r>
    </w:p>
    <w:p>
      <w:r>
        <w:t>stronger; (46) monotone demo — raise savings (score can't rise), raise amount (score can't fall); (47) open a</w:t>
      </w:r>
    </w:p>
    <w:p>
      <w:r>
        <w:t>max-out-degree guarantor (out-degree 7 in your data) and show aggregate exposure; (48) try to record a</w:t>
      </w:r>
    </w:p>
    <w:p>
      <w:r>
        <w:t>recommendation as an officer → 403; (49) remove/rename the bundle and show the rule-based fallback + "source:</w:t>
      </w:r>
    </w:p>
    <w:p>
      <w:r>
        <w:t>rule-based fallback"; (50) open the exported report and show guarantor IDs are redacted to blanks. Practise 45</w:t>
      </w:r>
    </w:p>
    <w:p>
      <w:r>
        <w:t>and 47 most — they're the sharp ones.</w:t>
      </w:r>
    </w:p>
    <w:p/>
    <w:p>
      <w:pPr>
        <w:pStyle w:val="Heading2"/>
      </w:pPr>
      <w:r>
        <w:t>H. Closing questions (your reflection — [YOU], but here's a strong frame)</w:t>
      </w:r>
    </w:p>
    <w:p>
      <w:r>
        <w:rPr>
          <w:b/>
        </w:rPr>
        <w:t>51.</w:t>
      </w:r>
      <w:r>
        <w:t xml:space="preserve"> Weakest part: the </w:t>
      </w:r>
      <w:r>
        <w:rPr>
          <w:b/>
        </w:rPr>
        <w:t>network null result / the interest-rate proxy</w:t>
      </w:r>
      <w:r>
        <w:t xml:space="preserve"> — the headline contribution (the</w:t>
      </w:r>
    </w:p>
    <w:p>
      <w:r>
        <w:t>network) adds little, and the strongest feature is partly a pricing proxy. I left it because reporting it</w:t>
      </w:r>
    </w:p>
    <w:p>
      <w:r>
        <w:t>honestly is more valuable than hiding it, and it's a genuine boundary-condition finding.</w:t>
      </w:r>
    </w:p>
    <w:p>
      <w:r>
        <w:rPr>
          <w:b/>
        </w:rPr>
        <w:t>52.</w:t>
      </w:r>
      <w:r>
        <w:t xml:space="preserve"> With four weeks + all 30 branches: run the </w:t>
      </w:r>
      <w:r>
        <w:rPr>
          <w:b/>
        </w:rPr>
        <w:t>time-based (2022→2023) validation</w:t>
      </w:r>
      <w:r>
        <w:t xml:space="preserve"> and the **fairness</w:t>
      </w:r>
    </w:p>
    <w:p>
      <w:r>
        <w:t>audit on public/private</w:t>
      </w:r>
      <w:r>
        <w:rPr>
          <w:b/>
        </w:rPr>
        <w:t xml:space="preserve">, and add the </w:t>
      </w:r>
      <w:r>
        <w:t>incumbent-rules baseline** — the three things that would move this from</w:t>
      </w:r>
    </w:p>
    <w:p>
      <w:r>
        <w:t>"careful prototype" to "deployment-ready evidence".</w:t>
      </w:r>
    </w:p>
    <w:p>
      <w:r>
        <w:rPr>
          <w:b/>
        </w:rPr>
        <w:t>53.</w:t>
      </w:r>
      <w:r>
        <w:t xml:space="preserve"> If write-offs didn't fall: first check </w:t>
      </w:r>
      <w:r>
        <w:rPr>
          <w:b/>
        </w:rPr>
        <w:t>whether officers actually used the flags</w:t>
      </w:r>
      <w:r>
        <w:t xml:space="preserve"> (adoption/logs), then</w:t>
      </w:r>
    </w:p>
    <w:p>
      <w:r>
        <w:rPr>
          <w:b/>
        </w:rPr>
        <w:t>whether the threshold matched their capacity</w:t>
      </w:r>
      <w:r>
        <w:t xml:space="preserve"> (were they ignoring a 1-in-10 flag), then </w:t>
      </w:r>
      <w:r>
        <w:rPr>
          <w:b/>
        </w:rPr>
        <w:t>calibration drift</w:t>
      </w:r>
      <w:r>
        <w:t>.</w:t>
      </w:r>
    </w:p>
    <w:p>
      <w:r>
        <w:t>A model that isn't acted on can't move outcomes — I'd rule out non-use before blaming the model.</w:t>
      </w:r>
    </w:p>
    <w:p>
      <w:r>
        <w:rPr>
          <w:b/>
        </w:rPr>
        <w:t>54. [YOU]</w:t>
      </w:r>
      <w:r>
        <w:t xml:space="preserve"> Personal reflection — e.g. that reporting a *null* result well is harder and more valuable than</w:t>
      </w:r>
    </w:p>
    <w:p>
      <w:r>
        <w:t>chasing a positive one, or how much of "ML" is actually leakage control and data honesty rather than modelling.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