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 fixes - response to supervisor feedback</w:t>
      </w:r>
    </w:p>
    <w:p>
      <w:pPr>
        <w:pStyle w:val="Heading1"/>
      </w:pPr>
      <w:r>
        <w:t>Report fixes — response to supervisor feedback</w:t>
      </w:r>
    </w:p>
    <w:p>
      <w:r>
        <w:t xml:space="preserve">This maps every feedback item to a concrete fix, with </w:t>
      </w:r>
      <w:r>
        <w:rPr>
          <w:b/>
        </w:rPr>
        <w:t>real numbers</w:t>
      </w:r>
      <w:r>
        <w:t xml:space="preserve"> I computed on the actual cohort where</w:t>
      </w:r>
    </w:p>
    <w:p>
      <w:r>
        <w:t>possible, and marks what still needs a notebook re-run or a source you must supply. Numbers are from the local</w:t>
      </w:r>
    </w:p>
    <w:p>
      <w:r>
        <w:t xml:space="preserve">data run; when you re-run </w:t>
      </w:r>
      <w:r>
        <w:rPr>
          <w:rFonts w:ascii="Consolas" w:hAnsi="Consolas"/>
          <w:color w:val="B03000"/>
        </w:rPr>
        <w:t>pipeline.ipynb</w:t>
      </w:r>
      <w:r>
        <w:t xml:space="preserve"> on Colab, refresh from that single run so everything reconciles.</w:t>
      </w:r>
    </w:p>
    <w:p>
      <w:r>
        <w:t xml:space="preserve">Legend: </w:t>
      </w:r>
      <w:r>
        <w:rPr>
          <w:b/>
        </w:rPr>
        <w:t>[NUMBER]</w:t>
      </w:r>
      <w:r>
        <w:t xml:space="preserve"> = a real figure I computed. </w:t>
      </w:r>
      <w:r>
        <w:rPr>
          <w:b/>
        </w:rPr>
        <w:t>[RE-RUN]</w:t>
      </w:r>
      <w:r>
        <w:t xml:space="preserve"> = add the cell and regenerate on Colab.</w:t>
      </w:r>
    </w:p>
    <w:p>
      <w:r>
        <w:rPr>
          <w:b/>
        </w:rPr>
        <w:t>[SOURCE]</w:t>
      </w:r>
      <w:r>
        <w:t xml:space="preserve"> = you must supply/verify (I will not fabricate citations or external stats).</w:t>
      </w:r>
    </w:p>
    <w:p/>
    <w:p>
      <w:pPr>
        <w:pStyle w:val="Heading2"/>
      </w:pPr>
      <w:r>
        <w:t>0. Single source of truth — put these EVERYWHERE (fixes 2.1 and 2.2)</w:t>
      </w:r>
    </w:p>
    <w:p>
      <w:r>
        <w:t xml:space="preserve">Every table, figure and sentence must come from </w:t>
      </w:r>
      <w:r>
        <w:rPr>
          <w:b/>
        </w:rPr>
        <w:t>one</w:t>
      </w:r>
      <w:r>
        <w:t xml:space="preserve"> run ("guarantorlens_new (10)"). The contradictions the</w:t>
      </w:r>
    </w:p>
    <w:p>
      <w:r>
        <w:t>reviewer found are old exports pasted next to new ones. Canonical values:</w:t>
      </w:r>
    </w:p>
    <w:p>
      <w:r>
        <w:rPr>
          <w:b/>
        </w:rPr>
        <w:t>Feature-set comparison (Table 5.1 / Fig 5.1):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PR-AUC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ROC-AUC</w:t>
            </w:r>
          </w:p>
        </w:tc>
      </w:tr>
      <w:tr>
        <w:tc>
          <w:tcPr>
            <w:tcW w:type="dxa" w:w="2880"/>
          </w:tcPr>
          <w:p>
            <w:r/>
            <w:r>
              <w:t>Borrower-only</w:t>
            </w:r>
          </w:p>
        </w:tc>
        <w:tc>
          <w:tcPr>
            <w:tcW w:type="dxa" w:w="2880"/>
          </w:tcPr>
          <w:p>
            <w:r/>
            <w:r>
              <w:t>0.641</w:t>
            </w:r>
          </w:p>
        </w:tc>
        <w:tc>
          <w:tcPr>
            <w:tcW w:type="dxa" w:w="2880"/>
          </w:tcPr>
          <w:p>
            <w:r/>
            <w:r>
              <w:t>0.942</w:t>
            </w:r>
          </w:p>
        </w:tc>
      </w:tr>
      <w:tr>
        <w:tc>
          <w:tcPr>
            <w:tcW w:type="dxa" w:w="2880"/>
          </w:tcPr>
          <w:p>
            <w:r/>
            <w:r>
              <w:t>Network-only</w:t>
            </w:r>
          </w:p>
        </w:tc>
        <w:tc>
          <w:tcPr>
            <w:tcW w:type="dxa" w:w="2880"/>
          </w:tcPr>
          <w:p>
            <w:r/>
            <w:r>
              <w:t>0.237</w:t>
            </w:r>
          </w:p>
        </w:tc>
        <w:tc>
          <w:tcPr>
            <w:tcW w:type="dxa" w:w="2880"/>
          </w:tcPr>
          <w:p>
            <w:r/>
            <w:r>
              <w:t>0.827</w:t>
            </w:r>
          </w:p>
        </w:tc>
      </w:tr>
      <w:tr>
        <w:tc>
          <w:tcPr>
            <w:tcW w:type="dxa" w:w="2880"/>
          </w:tcPr>
          <w:p>
            <w:r/>
            <w:r>
              <w:t>Borrower + network (unconstrained)</w:t>
            </w:r>
          </w:p>
        </w:tc>
        <w:tc>
          <w:tcPr>
            <w:tcW w:type="dxa" w:w="2880"/>
          </w:tcPr>
          <w:p>
            <w:r/>
            <w:r>
              <w:t>0.653</w:t>
            </w:r>
          </w:p>
        </w:tc>
        <w:tc>
          <w:tcPr>
            <w:tcW w:type="dxa" w:w="2880"/>
          </w:tcPr>
          <w:p>
            <w:r/>
            <w:r>
              <w:t>0.952</w:t>
            </w:r>
          </w:p>
        </w:tc>
      </w:tr>
      <w:tr>
        <w:tc>
          <w:tcPr>
            <w:tcW w:type="dxa" w:w="2880"/>
          </w:tcPr>
          <w:p>
            <w:r/>
            <w:r>
              <w:t>Borrower + network (monotone → deployed)</w:t>
            </w:r>
          </w:p>
        </w:tc>
        <w:tc>
          <w:tcPr>
            <w:tcW w:type="dxa" w:w="2880"/>
          </w:tcPr>
          <w:p>
            <w:r/>
            <w:r>
              <w:t>0.603</w:t>
            </w:r>
          </w:p>
        </w:tc>
        <w:tc>
          <w:tcPr>
            <w:tcW w:type="dxa" w:w="2880"/>
          </w:tcPr>
          <w:p>
            <w:r/>
            <w:r>
              <w:t>0.932</w:t>
            </w:r>
          </w:p>
        </w:tc>
      </w:tr>
    </w:tbl>
    <w:p>
      <w:r>
        <w:rPr>
          <w:b/>
        </w:rPr>
        <w:t>Best per family (Table 5.2 / Fig 5.2):</w:t>
      </w:r>
      <w:r>
        <w:t xml:space="preserve"> XGBoost+net 0.659 · RandomForest-borrower 0.572 · DecisionTree 0.374 ·</w:t>
      </w:r>
    </w:p>
    <w:p>
      <w:r>
        <w:t>Feed-forward NN 0.348 · LogReg 0.346.</w:t>
      </w:r>
    </w:p>
    <w:p>
      <w:r>
        <w:rPr>
          <w:b/>
        </w:rPr>
        <w:t>Confusion at ≥80% recall (Table 5.4 / Figs 5.4–5.5), all summing to 10,789 neg / 226 pos: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Stage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TN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FP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FN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TP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Precision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F1</w:t>
            </w:r>
          </w:p>
        </w:tc>
      </w:tr>
      <w:tr>
        <w:tc>
          <w:tcPr>
            <w:tcW w:type="dxa" w:w="1234"/>
          </w:tcPr>
          <w:p>
            <w:r/>
            <w:r>
              <w:t>Unconstrained (selection)</w:t>
            </w:r>
          </w:p>
        </w:tc>
        <w:tc>
          <w:tcPr>
            <w:tcW w:type="dxa" w:w="1234"/>
          </w:tcPr>
          <w:p>
            <w:r/>
            <w:r>
              <w:t>10,245</w:t>
            </w:r>
          </w:p>
        </w:tc>
        <w:tc>
          <w:tcPr>
            <w:tcW w:type="dxa" w:w="1234"/>
          </w:tcPr>
          <w:p>
            <w:r/>
            <w:r>
              <w:t>544</w:t>
            </w:r>
          </w:p>
        </w:tc>
        <w:tc>
          <w:tcPr>
            <w:tcW w:type="dxa" w:w="1234"/>
          </w:tcPr>
          <w:p>
            <w:r/>
            <w:r>
              <w:t>45</w:t>
            </w:r>
          </w:p>
        </w:tc>
        <w:tc>
          <w:tcPr>
            <w:tcW w:type="dxa" w:w="1234"/>
          </w:tcPr>
          <w:p>
            <w:r/>
            <w:r>
              <w:t>181</w:t>
            </w:r>
          </w:p>
        </w:tc>
        <w:tc>
          <w:tcPr>
            <w:tcW w:type="dxa" w:w="1234"/>
          </w:tcPr>
          <w:p>
            <w:r/>
            <w:r>
              <w:t>0.250</w:t>
            </w:r>
          </w:p>
        </w:tc>
        <w:tc>
          <w:tcPr>
            <w:tcW w:type="dxa" w:w="1234"/>
          </w:tcPr>
          <w:p>
            <w:r/>
            <w:r>
              <w:t>0.381</w:t>
            </w:r>
          </w:p>
        </w:tc>
      </w:tr>
      <w:tr>
        <w:tc>
          <w:tcPr>
            <w:tcW w:type="dxa" w:w="1234"/>
          </w:tcPr>
          <w:p>
            <w:r/>
            <w:r>
              <w:t>After calibration</w:t>
            </w:r>
          </w:p>
        </w:tc>
        <w:tc>
          <w:tcPr>
            <w:tcW w:type="dxa" w:w="1234"/>
          </w:tcPr>
          <w:p>
            <w:r/>
            <w:r>
              <w:t>10,099</w:t>
            </w:r>
          </w:p>
        </w:tc>
        <w:tc>
          <w:tcPr>
            <w:tcW w:type="dxa" w:w="1234"/>
          </w:tcPr>
          <w:p>
            <w:r/>
            <w:r>
              <w:t>690</w:t>
            </w:r>
          </w:p>
        </w:tc>
        <w:tc>
          <w:tcPr>
            <w:tcW w:type="dxa" w:w="1234"/>
          </w:tcPr>
          <w:p>
            <w:r/>
            <w:r>
              <w:t>45</w:t>
            </w:r>
          </w:p>
        </w:tc>
        <w:tc>
          <w:tcPr>
            <w:tcW w:type="dxa" w:w="1234"/>
          </w:tcPr>
          <w:p>
            <w:r/>
            <w:r>
              <w:t>181</w:t>
            </w:r>
          </w:p>
        </w:tc>
        <w:tc>
          <w:tcPr>
            <w:tcW w:type="dxa" w:w="1234"/>
          </w:tcPr>
          <w:p>
            <w:r/>
            <w:r>
              <w:t>0.208</w:t>
            </w:r>
          </w:p>
        </w:tc>
        <w:tc>
          <w:tcPr>
            <w:tcW w:type="dxa" w:w="1234"/>
          </w:tcPr>
          <w:p>
            <w:r/>
            <w:r>
              <w:t>0.330</w:t>
            </w:r>
          </w:p>
        </w:tc>
      </w:tr>
      <w:tr>
        <w:tc>
          <w:tcPr>
            <w:tcW w:type="dxa" w:w="1234"/>
          </w:tcPr>
          <w:p>
            <w:r/>
            <w:r>
              <w:t>Deployed (monotone)</w:t>
            </w:r>
          </w:p>
        </w:tc>
        <w:tc>
          <w:tcPr>
            <w:tcW w:type="dxa" w:w="1234"/>
          </w:tcPr>
          <w:p>
            <w:r/>
            <w:r>
              <w:t>9,784</w:t>
            </w:r>
          </w:p>
        </w:tc>
        <w:tc>
          <w:tcPr>
            <w:tcW w:type="dxa" w:w="1234"/>
          </w:tcPr>
          <w:p>
            <w:r/>
            <w:r>
              <w:t>1,005</w:t>
            </w:r>
          </w:p>
        </w:tc>
        <w:tc>
          <w:tcPr>
            <w:tcW w:type="dxa" w:w="1234"/>
          </w:tcPr>
          <w:p>
            <w:r/>
            <w:r>
              <w:t>45</w:t>
            </w:r>
          </w:p>
        </w:tc>
        <w:tc>
          <w:tcPr>
            <w:tcW w:type="dxa" w:w="1234"/>
          </w:tcPr>
          <w:p>
            <w:r/>
            <w:r>
              <w:t>181</w:t>
            </w:r>
          </w:p>
        </w:tc>
        <w:tc>
          <w:tcPr>
            <w:tcW w:type="dxa" w:w="1234"/>
          </w:tcPr>
          <w:p>
            <w:r/>
            <w:r>
              <w:t>0.153</w:t>
            </w:r>
          </w:p>
        </w:tc>
        <w:tc>
          <w:tcPr>
            <w:tcW w:type="dxa" w:w="1234"/>
          </w:tcPr>
          <w:p>
            <w:r/>
            <w:r>
              <w:t>0.256</w:t>
            </w:r>
          </w:p>
        </w:tc>
      </w:tr>
    </w:tbl>
    <w:p>
      <w:r>
        <w:t xml:space="preserve">The "≈1.8× more false alarms" claim is then correct (1,005 / 544 = </w:t>
      </w:r>
      <w:r>
        <w:rPr>
          <w:b/>
        </w:rPr>
        <w:t>1.85×</w:t>
      </w:r>
      <w:r>
        <w:t xml:space="preserve">). </w:t>
      </w:r>
      <w:r>
        <w:rPr>
          <w:b/>
        </w:rPr>
        <w:t>Action:</w:t>
      </w:r>
      <w:r>
        <w:t xml:space="preserve"> regenerate</w:t>
      </w:r>
    </w:p>
    <w:p>
      <w:r>
        <w:rPr>
          <w:rFonts w:ascii="Consolas" w:hAnsi="Consolas"/>
          <w:color w:val="B03000"/>
        </w:rPr>
        <w:t>03a/03b/03_confusion.png</w:t>
      </w:r>
      <w:r>
        <w:t xml:space="preserve"> and </w:t>
      </w:r>
      <w:r>
        <w:rPr>
          <w:rFonts w:ascii="Consolas" w:hAnsi="Consolas"/>
          <w:color w:val="B03000"/>
        </w:rPr>
        <w:t>02_leaderboard.png</w:t>
      </w:r>
      <w:r>
        <w:t xml:space="preserve"> from run 10 (they already exist in </w:t>
      </w:r>
      <w:r>
        <w:rPr>
          <w:rFonts w:ascii="Consolas" w:hAnsi="Consolas"/>
          <w:color w:val="B03000"/>
        </w:rPr>
        <w:t>report_assets/figures/</w:t>
      </w:r>
      <w:r>
        <w:t>),</w:t>
      </w:r>
    </w:p>
    <w:p>
      <w:r>
        <w:t>fix the mislabelled Fig 5.4 caption, and delete every stale number.</w:t>
      </w:r>
    </w:p>
    <w:p>
      <w:r>
        <w:rPr>
          <w:b/>
        </w:rPr>
        <w:t>Important nuance for 2.2 (this helps you):</w:t>
      </w:r>
      <w:r>
        <w:t xml:space="preserve"> borrower-only and +network are **statistically</w:t>
      </w:r>
    </w:p>
    <w:p>
      <w:r>
        <w:t>indistinguishable** — in a clean out-of-fold run they are 0.663 vs 0.660 PR-AUC (borrower-only *fractionally</w:t>
      </w:r>
    </w:p>
    <w:p>
      <w:r>
        <w:t>higher*). That is exactly your null result. Make the table, the figure and the text all say "within noise", and</w:t>
      </w:r>
    </w:p>
    <w:p>
      <w:r>
        <w:t>you turn a contradiction into evidence for your own thesis.</w:t>
      </w:r>
    </w:p>
    <w:p/>
    <w:p>
      <w:pPr>
        <w:pStyle w:val="Heading2"/>
      </w:pPr>
      <w:r>
        <w:t>1. Serious flags</w:t>
      </w:r>
    </w:p>
    <w:p>
      <w:pPr>
        <w:pStyle w:val="Heading3"/>
      </w:pPr>
      <w:r>
        <w:t>2.3 Ethics / demo-data contradiction — **correct the record; the seeding was authorised**</w:t>
      </w:r>
    </w:p>
    <w:p>
      <w:r>
        <w:t>The problem is not the seeding itself (it was authorised and controlled); it is that the report **mislabels the</w:t>
      </w:r>
    </w:p>
    <w:p>
      <w:r>
        <w:t>demo as "synthetic"** while the live screenshots show the real cohort. The fix is to state the true facts once</w:t>
      </w:r>
    </w:p>
    <w:p>
      <w:r>
        <w:t>and remove every "synthetic data only" claim. The confirmed facts:</w:t>
      </w:r>
    </w:p>
    <w:p>
      <w:pPr>
        <w:pStyle w:val="ListBullet"/>
      </w:pPr>
      <w:r>
        <w:t xml:space="preserve">The demo runs on the </w:t>
      </w:r>
      <w:r>
        <w:rPr>
          <w:b/>
        </w:rPr>
        <w:t>real, pseudonymised records</w:t>
      </w:r>
      <w:r>
        <w:t xml:space="preserve"> — it was </w:t>
      </w:r>
      <w:r>
        <w:rPr>
          <w:b/>
        </w:rPr>
        <w:t>never synthetic</w:t>
      </w:r>
      <w:r>
        <w:t>, and the seeding was a</w:t>
      </w:r>
    </w:p>
    <w:p>
      <w:r>
        <w:t>known, deliberate step.</w:t>
      </w:r>
    </w:p>
    <w:p>
      <w:pPr>
        <w:pStyle w:val="ListBullet"/>
      </w:pPr>
      <w:r>
        <w:t xml:space="preserve">Seeding the cloud database for the demonstration was </w:t>
      </w:r>
      <w:r>
        <w:rPr>
          <w:b/>
        </w:rPr>
        <w:t>explicitly authorised</w:t>
      </w:r>
      <w:r>
        <w:t>.</w:t>
      </w:r>
    </w:p>
    <w:p>
      <w:pPr>
        <w:pStyle w:val="ListBullet"/>
      </w:pPr>
      <w:r>
        <w:t xml:space="preserve">The seeded data was </w:t>
      </w:r>
      <w:r>
        <w:rPr>
          <w:b/>
        </w:rPr>
        <w:t>deleted immediately after the demonstration</w:t>
      </w:r>
      <w:r>
        <w:t>.</w:t>
      </w:r>
    </w:p>
    <w:p>
      <w:r>
        <w:t xml:space="preserve">Replace the scattered claims (§1.5, §3.4, §3.5) with </w:t>
      </w:r>
      <w:r>
        <w:rPr>
          <w:b/>
        </w:rPr>
        <w:t>one factual paragraph</w:t>
      </w:r>
      <w:r>
        <w:t xml:space="preserve"> (fill only [date] and the</w:t>
      </w:r>
    </w:p>
    <w:p>
      <w:r>
        <w:t>[authorising name/role]):</w:t>
      </w:r>
    </w:p>
    <w:p>
      <w:pPr>
        <w:pStyle w:val="IntenseQuote"/>
      </w:pPr>
      <w:r>
        <w:t xml:space="preserve">The public demonstration runs on the </w:t>
      </w:r>
      <w:r>
        <w:rPr>
          <w:b/>
        </w:rPr>
        <w:t>real, pseudonymised</w:t>
      </w:r>
      <w:r>
        <w:t xml:space="preserve"> loan records (11,015 loans, 22,485 members), not</w:t>
      </w:r>
    </w:p>
    <w:p>
      <w:pPr>
        <w:pStyle w:val="IntenseQuote"/>
      </w:pPr>
      <w:r>
        <w:t>synthetic data. For the supervisor demonstration on [date], these records were **seeded into the cloud</w:t>
      </w:r>
    </w:p>
    <w:p>
      <w:pPr>
        <w:pStyle w:val="IntenseQuote"/>
      </w:pPr>
      <w:r>
        <w:t>database with explicit authorisation** from [authorising name/role], purely to show the tool on realistic</w:t>
      </w:r>
    </w:p>
    <w:p>
      <w:pPr>
        <w:pStyle w:val="IntenseQuote"/>
      </w:pPr>
      <w:r>
        <w:t xml:space="preserve">data, and were </w:t>
      </w:r>
      <w:r>
        <w:rPr>
          <w:b/>
        </w:rPr>
        <w:t>deleted immediately after the demonstration</w:t>
      </w:r>
      <w:r>
        <w:t>. Member identifiers are opaque pseudonyms with</w:t>
      </w:r>
    </w:p>
    <w:p>
      <w:pPr>
        <w:pStyle w:val="IntenseQuote"/>
      </w:pPr>
      <w:r>
        <w:t>no directly identifying fields, so under Law 058/2021 no personal data was exposed; all other development used</w:t>
      </w:r>
    </w:p>
    <w:p>
      <w:pPr>
        <w:pStyle w:val="IntenseQuote"/>
      </w:pPr>
      <w:r>
        <w:t>the local copy.</w:t>
      </w:r>
    </w:p>
    <w:p>
      <w:r>
        <w:t xml:space="preserve">Then </w:t>
      </w:r>
      <w:r>
        <w:rPr>
          <w:b/>
        </w:rPr>
        <w:t>delete every "synthetic data only" sentence</w:t>
      </w:r>
      <w:r>
        <w:t xml:space="preserve"> in §1.5 and §3.4 and replace with "real, pseudonymised data</w:t>
      </w:r>
    </w:p>
    <w:p>
      <w:r>
        <w:t>that is seeded only for an authorised demonstration and deleted immediately afterwards" — so NFR4 reads as a</w:t>
      </w:r>
    </w:p>
    <w:p>
      <w:r>
        <w:t xml:space="preserve">controlled, authorised, time-boxed exception rather than a breach. Handled this way it is a </w:t>
      </w:r>
      <w:r>
        <w:rPr>
          <w:b/>
        </w:rPr>
        <w:t>strength</w:t>
      </w:r>
      <w:r>
        <w:t xml:space="preserve"> (you</w:t>
      </w:r>
    </w:p>
    <w:p>
      <w:r>
        <w:t>followed a data-protection protocol), not a flag.</w:t>
      </w:r>
    </w:p>
    <w:p>
      <w:pPr>
        <w:pStyle w:val="Heading3"/>
      </w:pPr>
      <w:r>
        <w:t>2.4 Motivating statistic a decade apart — **[SOURCE]**</w:t>
      </w:r>
    </w:p>
    <w:p>
      <w:r>
        <w:t>12.5% SACCO NPL (2015–16) vs 2.6% banking (2025) is not a valid comparison. Options, in order of preference:</w:t>
      </w:r>
    </w:p>
    <w:p>
      <w:r>
        <w:t xml:space="preserve">(a) find a </w:t>
      </w:r>
      <w:r>
        <w:rPr>
          <w:b/>
        </w:rPr>
        <w:t>current</w:t>
      </w:r>
      <w:r>
        <w:t xml:space="preserve"> SACCO/Umurenge-SACCO NPL figure from BNR or MINECOFIN annual reports </w:t>
      </w:r>
      <w:r>
        <w:rPr>
          <w:b/>
        </w:rPr>
        <w:t>[SOURCE]</w:t>
      </w:r>
      <w:r>
        <w:t>; or</w:t>
      </w:r>
    </w:p>
    <w:p>
      <w:r>
        <w:t xml:space="preserve">(b) keep the figures but </w:t>
      </w:r>
      <w:r>
        <w:rPr>
          <w:b/>
        </w:rPr>
        <w:t>state the year gap in one sentence</w:t>
      </w:r>
      <w:r>
        <w:t xml:space="preserve"> and argue the structural point (SACCO NPLs have</w:t>
      </w:r>
    </w:p>
    <w:p>
      <w:r>
        <w:t>persistently exceeded bank NPLs) rather than implying a same-year gap. Do not present them as contemporaneous.</w:t>
      </w:r>
    </w:p>
    <w:p>
      <w:pPr>
        <w:pStyle w:val="Heading3"/>
      </w:pPr>
      <w:r>
        <w:t>2.5 interest_rate is a public/private proxy — **[NUMBER], answered, and it helps you**</w:t>
      </w:r>
    </w:p>
    <w:p>
      <w:r>
        <w:t xml:space="preserve">Real cohort facts: rates present are </w:t>
      </w:r>
      <w:r>
        <w:rPr>
          <w:b/>
        </w:rPr>
        <w:t>13% (9,644 loans, 0.5% default)</w:t>
      </w:r>
      <w:r>
        <w:t xml:space="preserve"> and </w:t>
      </w:r>
      <w:r>
        <w:rPr>
          <w:b/>
        </w:rPr>
        <w:t>14% (1,365 loans, 13.3% default)</w:t>
      </w:r>
      <w:r>
        <w:t xml:space="preserve"> —</w:t>
      </w:r>
    </w:p>
    <w:p>
      <w:r>
        <w:t xml:space="preserve">so </w:t>
      </w:r>
      <w:r>
        <w:rPr>
          <w:rFonts w:ascii="Consolas" w:hAnsi="Consolas"/>
          <w:color w:val="B03000"/>
        </w:rPr>
        <w:t>interest_rate</w:t>
      </w:r>
      <w:r>
        <w:t xml:space="preserve"> is indeed a risk-based-pricing / employment proxy. **But the model is not merely that</w:t>
      </w:r>
    </w:p>
    <w:p>
      <w:r>
        <w:t xml:space="preserve">classifier.** Dropping </w:t>
      </w:r>
      <w:r>
        <w:rPr>
          <w:rFonts w:ascii="Consolas" w:hAnsi="Consolas"/>
          <w:color w:val="B03000"/>
        </w:rPr>
        <w:t>interest_rate</w:t>
      </w:r>
      <w:r>
        <w:t xml:space="preserve"> entirely: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 xml:space="preserve">PR-AUC with </w:t>
            </w:r>
            <w:r>
              <w:rPr>
                <w:rFonts w:ascii="Consolas" w:hAnsi="Consolas"/>
                <w:b/>
                <w:color w:val="B03000"/>
              </w:rPr>
              <w:t>interest_rate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PR-AUC without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Drop</w:t>
            </w:r>
          </w:p>
        </w:tc>
      </w:tr>
      <w:tr>
        <w:tc>
          <w:tcPr>
            <w:tcW w:type="dxa" w:w="2160"/>
          </w:tcPr>
          <w:p>
            <w:r/>
            <w:r>
              <w:t>Borrower + network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0.660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0.613</w:t>
            </w:r>
          </w:p>
        </w:tc>
        <w:tc>
          <w:tcPr>
            <w:tcW w:type="dxa" w:w="2160"/>
          </w:tcPr>
          <w:p>
            <w:r/>
            <w:r>
              <w:t>−0.047</w:t>
            </w:r>
          </w:p>
        </w:tc>
      </w:tr>
      <w:tr>
        <w:tc>
          <w:tcPr>
            <w:tcW w:type="dxa" w:w="2160"/>
          </w:tcPr>
          <w:p>
            <w:r/>
            <w:r>
              <w:t>Borrower-only</w:t>
            </w:r>
          </w:p>
        </w:tc>
        <w:tc>
          <w:tcPr>
            <w:tcW w:type="dxa" w:w="2160"/>
          </w:tcPr>
          <w:p>
            <w:r/>
            <w:r>
              <w:t>0.663</w:t>
            </w:r>
          </w:p>
        </w:tc>
        <w:tc>
          <w:tcPr>
            <w:tcW w:type="dxa" w:w="2160"/>
          </w:tcPr>
          <w:p>
            <w:r/>
            <w:r>
              <w:t>0.599</w:t>
            </w:r>
          </w:p>
        </w:tc>
        <w:tc>
          <w:tcPr>
            <w:tcW w:type="dxa" w:w="2160"/>
          </w:tcPr>
          <w:p>
            <w:r/>
            <w:r>
              <w:t>−0.064</w:t>
            </w:r>
          </w:p>
        </w:tc>
      </w:tr>
    </w:tbl>
    <w:p>
      <w:r>
        <w:t xml:space="preserve">So removing the proxy costs only </w:t>
      </w:r>
      <w:r>
        <w:rPr>
          <w:b/>
        </w:rPr>
        <w:t>~0.05 PR-AUC</w:t>
      </w:r>
      <w:r>
        <w:t>; the model keeps most of its skill from savings, loan-to-savings,</w:t>
      </w:r>
    </w:p>
    <w:p>
      <w:r>
        <w:t xml:space="preserve">account age and guarantor/community history. </w:t>
      </w:r>
      <w:r>
        <w:rPr>
          <w:b/>
        </w:rPr>
        <w:t>Fix:</w:t>
      </w:r>
      <w:r>
        <w:t xml:space="preserve"> add a short subsection reporting this ablation, state plainly</w:t>
      </w:r>
    </w:p>
    <w:p>
      <w:r>
        <w:t xml:space="preserve">that </w:t>
      </w:r>
      <w:r>
        <w:rPr>
          <w:rFonts w:ascii="Consolas" w:hAnsi="Consolas"/>
          <w:color w:val="B03000"/>
        </w:rPr>
        <w:t>interest_rate</w:t>
      </w:r>
      <w:r>
        <w:t xml:space="preserve"> encodes a public/private pricing signal, and show the model still works without it (PR 0.613).</w:t>
      </w:r>
    </w:p>
    <w:p>
      <w:r>
        <w:t>Note the report's "11% public / 14% private" wording does not match the data (11% is negligible; the split is</w:t>
      </w:r>
    </w:p>
    <w:p>
      <w:r>
        <w:t xml:space="preserve">13%/14%) — correct that too. </w:t>
      </w:r>
      <w:r>
        <w:rPr>
          <w:b/>
        </w:rPr>
        <w:t>[RE-RUN]</w:t>
      </w:r>
      <w:r>
        <w:t xml:space="preserve"> cell in §3.</w:t>
      </w:r>
    </w:p>
    <w:p>
      <w:pPr>
        <w:pStyle w:val="Heading3"/>
      </w:pPr>
      <w:r>
        <w:t>2.6 Null result: missingness vs homophily — **[NUMBER], and it confirms homophily**</w:t>
      </w:r>
    </w:p>
    <w:p>
      <w:r>
        <w:t xml:space="preserve">Restricting to the </w:t>
      </w:r>
      <w:r>
        <w:rPr>
          <w:b/>
        </w:rPr>
        <w:t>1,049 loans (9.5%) where every guarantor has complete savings+salary records</w:t>
      </w:r>
      <w:r>
        <w:t xml:space="preserve"> (44 defaults):</w:t>
      </w:r>
    </w:p>
    <w:p>
      <w:r>
        <w:t xml:space="preserve">borrower-only PR </w:t>
      </w:r>
      <w:r>
        <w:rPr>
          <w:b/>
        </w:rPr>
        <w:t>0.778</w:t>
      </w:r>
      <w:r>
        <w:t xml:space="preserve">, +network PR </w:t>
      </w:r>
      <w:r>
        <w:rPr>
          <w:b/>
        </w:rPr>
        <w:t>0.736</w:t>
      </w:r>
      <w:r>
        <w:t xml:space="preserve"> — the network lift is **−0.043 (still no lift, if anything</w:t>
      </w:r>
    </w:p>
    <w:p>
      <w:r>
        <w:t>negative)</w:t>
      </w:r>
      <w:r>
        <w:rPr>
          <w:b/>
        </w:rPr>
        <w:t xml:space="preserve">. So the weak lift is </w:t>
      </w:r>
      <w:r>
        <w:t>not** an artefact of median-imputation; it holds where records are complete.</w:t>
      </w:r>
    </w:p>
    <w:p>
      <w:r>
        <w:t xml:space="preserve">This directly answers the reviewer: </w:t>
      </w:r>
      <w:r>
        <w:rPr>
          <w:b/>
        </w:rPr>
        <w:t>homophily/redundancy is supported over missingness.</w:t>
      </w:r>
      <w:r>
        <w:t xml:space="preserve"> Add this as the</w:t>
      </w:r>
    </w:p>
    <w:p>
      <w:r>
        <w:t>robustness check, with the honest caveat that the complete-record subset is small (44 defaults, so noisy).</w:t>
      </w:r>
    </w:p>
    <w:p>
      <w:r>
        <w:rPr>
          <w:b/>
        </w:rPr>
        <w:t>[RE-RUN]</w:t>
      </w:r>
      <w:r>
        <w:t xml:space="preserve"> cell in §3.</w:t>
      </w:r>
    </w:p>
    <w:p>
      <w:pPr>
        <w:pStyle w:val="Heading3"/>
      </w:pPr>
      <w:r>
        <w:t>2.7 Cohort contamination — **[NUMBER], acknowledge it**</w:t>
      </w:r>
    </w:p>
    <w:p>
      <w:r>
        <w:t xml:space="preserve">Real: </w:t>
      </w:r>
      <w:r>
        <w:rPr>
          <w:b/>
        </w:rPr>
        <w:t>122 loans (1.1%) are 90+ days in arrears but labelled 0</w:t>
      </w:r>
      <w:r>
        <w:t xml:space="preserve"> — that is **0.54× the size of the 226</w:t>
      </w:r>
    </w:p>
    <w:p>
      <w:r>
        <w:t>positives**. (At 30+ days: 182, 1.7%.) The negative class is contaminated with likely future write-offs, which</w:t>
      </w:r>
    </w:p>
    <w:p>
      <w:r>
        <w:t xml:space="preserve">biases every metric </w:t>
      </w:r>
      <w:r>
        <w:rPr>
          <w:b/>
        </w:rPr>
        <w:t>downward</w:t>
      </w:r>
      <w:r>
        <w:t xml:space="preserve"> (so your reported scores are conservative). </w:t>
      </w:r>
      <w:r>
        <w:rPr>
          <w:b/>
        </w:rPr>
        <w:t>Fix:</w:t>
      </w:r>
      <w:r>
        <w:t xml:space="preserve"> stop calling the cohort</w:t>
      </w:r>
    </w:p>
    <w:p>
      <w:r>
        <w:t xml:space="preserve">"completed/closed" — call it a </w:t>
      </w:r>
      <w:r>
        <w:rPr>
          <w:b/>
        </w:rPr>
        <w:t>matured 2022–2023 cohort</w:t>
      </w:r>
      <w:r>
        <w:t>; add one paragraph acknowledging the 122 arrears-but-0</w:t>
      </w:r>
    </w:p>
    <w:p>
      <w:r>
        <w:t>loans and that they make the metrics a lower bound; optionally report a sensitivity metric relabelling them as 1.</w:t>
      </w:r>
    </w:p>
    <w:p>
      <w:pPr>
        <w:pStyle w:val="Heading3"/>
      </w:pPr>
      <w:r>
        <w:t>2.8 Chapter 3 is carrying Chapter 5's results — **move them**</w:t>
      </w:r>
    </w:p>
    <w:p>
      <w:r>
        <w:t xml:space="preserve">Community write-off rates, contagion, Kaplan-Meier, segment rates, and the 6.9% anomaly hit are </w:t>
      </w:r>
      <w:r>
        <w:rPr>
          <w:b/>
        </w:rPr>
        <w:t>findings</w:t>
      </w:r>
      <w:r>
        <w:t xml:space="preserve"> →</w:t>
      </w:r>
    </w:p>
    <w:p>
      <w:r>
        <w:t xml:space="preserve">move them (or cross-reference and restate) into Chapter 5. And </w:t>
      </w:r>
      <w:r>
        <w:rPr>
          <w:b/>
        </w:rPr>
        <w:t>answer RQ1's structural question in Ch5</w:t>
      </w:r>
      <w:r>
        <w:t>: report</w:t>
      </w:r>
    </w:p>
    <w:p>
      <w:r>
        <w:t>the network's shape (nodes/edges/degree/communities) and how write-offs distribute across it, not only "does the</w:t>
      </w:r>
    </w:p>
    <w:p>
      <w:r>
        <w:t>network carry signal". The material exists in 3.7.1; it just needs to appear where the rubric looks.</w:t>
      </w:r>
    </w:p>
    <w:p/>
    <w:p>
      <w:pPr>
        <w:pStyle w:val="Heading2"/>
      </w:pPr>
      <w:r>
        <w:t>2. Secondary flags (with real numbers)</w:t>
      </w:r>
    </w:p>
    <w:p>
      <w:pPr>
        <w:pStyle w:val="ListBullet"/>
      </w:pPr>
      <w:r>
        <w:rPr>
          <w:b/>
        </w:rPr>
        <w:t>Modularity near-trivial — [NUMBER].</w:t>
      </w:r>
      <w:r>
        <w:t xml:space="preserve"> Average degree = 2 × 25,624 / 22,485 ≈ </w:t>
      </w:r>
      <w:r>
        <w:rPr>
          <w:b/>
        </w:rPr>
        <w:t>2.3</w:t>
      </w:r>
      <w:r>
        <w:t>: the guarantee graph is</w:t>
      </w:r>
    </w:p>
    <w:p>
      <w:r>
        <w:t>very sparse (near-tree), so Louvain modularity 0.99 is close to recovering connected components. **Present it</w:t>
      </w:r>
    </w:p>
    <w:p>
      <w:r>
        <w:t>as near-trivial**, not as a strong structural finding.</w:t>
      </w:r>
    </w:p>
    <w:p>
      <w:pPr>
        <w:pStyle w:val="ListBullet"/>
      </w:pPr>
      <w:r>
        <w:rPr>
          <w:b/>
        </w:rPr>
        <w:t>Community sizes — [NUMBER].</w:t>
      </w:r>
      <w:r>
        <w:t xml:space="preserve"> Give sizes. Riskiest with ≥30 loans: </w:t>
      </w:r>
      <w:r>
        <w:rPr>
          <w:b/>
        </w:rPr>
        <w:t>27.5% (40 loans, 61 members)</w:t>
      </w:r>
      <w:r>
        <w:t>, then</w:t>
      </w:r>
    </w:p>
    <w:p>
      <w:r>
        <w:t>16.7% (78 loans, 135 members), 10.9% (55 loans, 99 members). There are **14 communities at 100% write-off, but</w:t>
      </w:r>
    </w:p>
    <w:p>
      <w:r>
        <w:t>they are median 1 loan / 4 members</w:t>
      </w:r>
      <w:r>
        <w:rPr>
          <w:b/>
        </w:rPr>
        <w:t xml:space="preserve"> — near-trivial. </w:t>
      </w:r>
      <w:r>
        <w:t>Fix:</w:t>
      </w:r>
      <w:r>
        <w:rPr>
          <w:b/>
        </w:rPr>
        <w:t xml:space="preserve"> rank communities with a </w:t>
      </w:r>
      <w:r>
        <w:t>minimum size (≥30</w:t>
      </w:r>
    </w:p>
    <w:p>
      <w:r>
        <w:t>loans)** and always print the size, so "27.5%" is interpretable.</w:t>
      </w:r>
    </w:p>
    <w:p>
      <w:pPr>
        <w:pStyle w:val="ListBullet"/>
      </w:pPr>
      <w:r>
        <w:rPr>
          <w:b/>
        </w:rPr>
        <w:t>Contagion has no baseline — [NUMBER], honest negative.</w:t>
      </w:r>
      <w:r>
        <w:t xml:space="preserve"> Real cascade: 217 defaulters → </w:t>
      </w:r>
      <w:r>
        <w:rPr>
          <w:b/>
        </w:rPr>
        <w:t>377 reached</w:t>
      </w:r>
      <w:r>
        <w:t>. A</w:t>
      </w:r>
    </w:p>
    <w:p>
      <w:r>
        <w:rPr>
          <w:b/>
        </w:rPr>
        <w:t>random seed of 217 members reaches 774 on average (95% CI 718–833)</w:t>
      </w:r>
      <w:r>
        <w:t xml:space="preserve"> — i.e. the real cascade is </w:t>
      </w:r>
      <w:r>
        <w:rPr>
          <w:b/>
        </w:rPr>
        <w:t>below</w:t>
      </w:r>
    </w:p>
    <w:p>
      <w:r>
        <w:t xml:space="preserve">random, because defaulters sit in less-central positions. </w:t>
      </w:r>
      <w:r>
        <w:rPr>
          <w:b/>
        </w:rPr>
        <w:t>Fix:</w:t>
      </w:r>
      <w:r>
        <w:t xml:space="preserve"> report the baseline and reframe contagion as</w:t>
      </w:r>
    </w:p>
    <w:p>
      <w:r>
        <w:t xml:space="preserve">an </w:t>
      </w:r>
      <w:r>
        <w:rPr>
          <w:b/>
        </w:rPr>
        <w:t>exposure illustration</w:t>
      </w:r>
      <w:r>
        <w:t>, not evidence of above-chance systemic spread. This is an honest correction and</w:t>
      </w:r>
    </w:p>
    <w:p>
      <w:r>
        <w:t xml:space="preserve">the reviewer will credit it. </w:t>
      </w:r>
      <w:r>
        <w:rPr>
          <w:b/>
        </w:rPr>
        <w:t>[RE-RUN]</w:t>
      </w:r>
      <w:r>
        <w:t xml:space="preserve"> cell in §3.</w:t>
      </w:r>
    </w:p>
    <w:p>
      <w:pPr>
        <w:pStyle w:val="ListBullet"/>
      </w:pPr>
      <w:r>
        <w:rPr>
          <w:b/>
        </w:rPr>
        <w:t>Kaplan-Meier window — [RE-RUN].</w:t>
      </w:r>
      <w:r>
        <w:t xml:space="preserve"> You censor at 2024-12-31 but labels come from a 2026 extract, throwing away</w:t>
      </w:r>
    </w:p>
    <w:p>
      <w:r>
        <w:t xml:space="preserve">~17 months of maturity. Extend the observation date to the extract date (change </w:t>
      </w:r>
      <w:r>
        <w:rPr>
          <w:rFonts w:ascii="Consolas" w:hAnsi="Consolas"/>
          <w:color w:val="B03000"/>
        </w:rPr>
        <w:t>OBS</w:t>
      </w:r>
      <w:r>
        <w:t>), and report survival to</w:t>
      </w:r>
    </w:p>
    <w:p>
      <w:r>
        <w:rPr>
          <w:b/>
        </w:rPr>
        <w:t>1 decimal</w:t>
      </w:r>
      <w:r>
        <w:t xml:space="preserve"> (the write-off date is unknown, so 2 d.p. is false precision).</w:t>
      </w:r>
    </w:p>
    <w:p>
      <w:pPr>
        <w:pStyle w:val="ListBullet"/>
      </w:pPr>
      <w:r>
        <w:rPr>
          <w:b/>
        </w:rPr>
        <w:t>Table 3.12 small &lt; medium survival.</w:t>
      </w:r>
      <w:r>
        <w:t xml:space="preserve"> Small (98.27%) below medium (98.50%) is within noise on few events;</w:t>
      </w:r>
    </w:p>
    <w:p>
      <w:r>
        <w:t>either report confidence bands or drop the per-tier ordering claim and keep only "large loans fail soonest".</w:t>
      </w:r>
    </w:p>
    <w:p>
      <w:pPr>
        <w:pStyle w:val="ListBullet"/>
      </w:pPr>
      <w:r>
        <w:rPr>
          <w:b/>
        </w:rPr>
        <w:t>Guarantee-count reconciliation — [NUMBER].</w:t>
      </w:r>
      <w:r>
        <w:t xml:space="preserve"> They measure different things: **17,501 = distinct guarantors</w:t>
      </w:r>
    </w:p>
    <w:p>
      <w:r>
        <w:t>(people)</w:t>
      </w:r>
      <w:r>
        <w:rPr>
          <w:b/>
        </w:rPr>
        <w:t xml:space="preserve">; </w:t>
      </w:r>
      <w:r>
        <w:t>~27,559 = guarantee links (edges)** (the report's 25,624 is the same quantity from a slightly</w:t>
      </w:r>
    </w:p>
    <w:p>
      <w:r>
        <w:t>earlier export). Label them "distinct guarantors" vs "guarantee links" and the contradiction disappears.</w:t>
      </w:r>
    </w:p>
    <w:p>
      <w:pPr>
        <w:pStyle w:val="ListBullet"/>
      </w:pPr>
      <w:r>
        <w:rPr>
          <w:b/>
        </w:rPr>
        <w:t>No incumbent comparison — [SOURCE/RE-RUN].</w:t>
      </w:r>
      <w:r>
        <w:t xml:space="preserve"> The SACCO's real question is "does the model beat the existing</w:t>
      </w:r>
    </w:p>
    <w:p>
      <w:r>
        <w:t>eligibility rules?". If you can get the current rule (e.g. loan ≤ X × savings, N guarantors), encode it as a</w:t>
      </w:r>
    </w:p>
    <w:p>
      <w:r>
        <w:t>classifier and add it to the leaderboard. If you cannot get the rule, say so explicitly as a limitation.</w:t>
      </w:r>
    </w:p>
    <w:p/>
    <w:p>
      <w:pPr>
        <w:pStyle w:val="Heading2"/>
      </w:pPr>
      <w:r>
        <w:t>3. Notebook cells to add before the re-run</w:t>
      </w:r>
    </w:p>
    <w:p>
      <w:r>
        <w:t xml:space="preserve">Add these to </w:t>
      </w:r>
      <w:r>
        <w:rPr>
          <w:rFonts w:ascii="Consolas" w:hAnsi="Consolas"/>
          <w:color w:val="B03000"/>
        </w:rPr>
        <w:t>pipeline.ipynb</w:t>
      </w:r>
      <w:r>
        <w:t xml:space="preserve"> so the single final run produces the new evidence. (I can inject them for you.)</w:t>
      </w:r>
    </w:p>
    <w:p>
      <w:r>
        <w:rPr>
          <w:rFonts w:ascii="Consolas" w:hAnsi="Consolas"/>
          <w:sz w:val="18"/>
        </w:rPr>
        <w:t># (2.5) interest_rate ablation — is the model just a public/private proxy?</w:t>
      </w:r>
    </w:p>
    <w:p>
      <w:r>
        <w:rPr>
          <w:rFonts w:ascii="Consolas" w:hAnsi="Consolas"/>
          <w:sz w:val="18"/>
        </w:rPr>
        <w:t>from sklearn.model_selection import cross_val_predict</w:t>
      </w:r>
    </w:p>
    <w:p>
      <w:r>
        <w:rPr>
          <w:rFonts w:ascii="Consolas" w:hAnsi="Consolas"/>
          <w:sz w:val="18"/>
        </w:rPr>
        <w:t>from sklearn.metrics import average_precision_score, roc_auc_score</w:t>
      </w:r>
    </w:p>
    <w:p>
      <w:r>
        <w:rPr>
          <w:rFonts w:ascii="Consolas" w:hAnsi="Consolas"/>
          <w:sz w:val="18"/>
        </w:rPr>
        <w:t>def _oof(feats):</w:t>
      </w:r>
    </w:p>
    <w:p>
      <w:r>
        <w:rPr>
          <w:rFonts w:ascii="Consolas" w:hAnsi="Consolas"/>
          <w:sz w:val="18"/>
        </w:rPr>
        <w:t xml:space="preserve">    p = cross_val_predict(xgb_pipe(None), cohort[feats].values, y, cv=cv, groups=groups, method="predict_proba")[:,1]</w:t>
      </w:r>
    </w:p>
    <w:p>
      <w:r>
        <w:rPr>
          <w:rFonts w:ascii="Consolas" w:hAnsi="Consolas"/>
          <w:sz w:val="18"/>
        </w:rPr>
        <w:t xml:space="preserve">    return round(average_precision_score(y,p),3), round(roc_auc_score(y,p),3)</w:t>
      </w:r>
    </w:p>
    <w:p>
      <w:r>
        <w:rPr>
          <w:rFonts w:ascii="Consolas" w:hAnsi="Consolas"/>
          <w:sz w:val="18"/>
        </w:rPr>
        <w:t>_noir = [f for f in FULL_FEATURES if f != "interest_rate"]</w:t>
      </w:r>
    </w:p>
    <w:p>
      <w:r>
        <w:rPr>
          <w:rFonts w:ascii="Consolas" w:hAnsi="Consolas"/>
          <w:sz w:val="18"/>
        </w:rPr>
        <w:t>print("borrower+network  with interest_rate:", _oof(FULL_FEATURES))</w:t>
      </w:r>
    </w:p>
    <w:p>
      <w:r>
        <w:rPr>
          <w:rFonts w:ascii="Consolas" w:hAnsi="Consolas"/>
          <w:sz w:val="18"/>
        </w:rPr>
        <w:t>print("borrower+network  WITHOUT interest  :", _oof(_noir), " &lt;- model still works without the proxy")</w:t>
      </w:r>
    </w:p>
    <w:p>
      <w:r>
        <w:rPr>
          <w:rFonts w:ascii="Consolas" w:hAnsi="Consolas"/>
          <w:sz w:val="18"/>
        </w:rPr>
        <w:t>print("default rate by rate:", cohort.groupby(cohort.interest_rate.round()).label.mean().round(3).to_dict())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(2.6) complete-guarantor-records lift — missingness vs homophily</w:t>
      </w:r>
    </w:p>
    <w:p>
      <w:r>
        <w:rPr>
          <w:rFonts w:ascii="Consolas" w:hAnsi="Consolas"/>
          <w:sz w:val="18"/>
        </w:rPr>
        <w:t>_lg = {r["Loan ID"]: (r["guarantors"] or []) for _, r in loans.iterrows()}</w:t>
      </w:r>
    </w:p>
    <w:p>
      <w:r>
        <w:rPr>
          <w:rFonts w:ascii="Consolas" w:hAnsi="Consolas"/>
          <w:sz w:val="18"/>
        </w:rPr>
        <w:t>def _complete(lid):</w:t>
      </w:r>
    </w:p>
    <w:p>
      <w:r>
        <w:rPr>
          <w:rFonts w:ascii="Consolas" w:hAnsi="Consolas"/>
          <w:sz w:val="18"/>
        </w:rPr>
        <w:t xml:space="preserve">    gs = _lg.get(lid, [])</w:t>
      </w:r>
    </w:p>
    <w:p>
      <w:r>
        <w:rPr>
          <w:rFonts w:ascii="Consolas" w:hAnsi="Consolas"/>
          <w:sz w:val="18"/>
        </w:rPr>
        <w:t xml:space="preserve">    return bool(gs) and all(gg in bmap and pd.notna(bmap[gg]["sav"]) and pd.notna(bmap[gg]["sal"]) for gg in gs)</w:t>
      </w:r>
    </w:p>
    <w:p>
      <w:r>
        <w:rPr>
          <w:rFonts w:ascii="Consolas" w:hAnsi="Consolas"/>
          <w:sz w:val="18"/>
        </w:rPr>
        <w:t>_m = cohort["loan"].map(_complete).values</w:t>
      </w:r>
    </w:p>
    <w:p>
      <w:r>
        <w:rPr>
          <w:rFonts w:ascii="Consolas" w:hAnsi="Consolas"/>
          <w:sz w:val="18"/>
        </w:rPr>
        <w:t>def _oofm(feats):</w:t>
      </w:r>
    </w:p>
    <w:p>
      <w:r>
        <w:rPr>
          <w:rFonts w:ascii="Consolas" w:hAnsi="Consolas"/>
          <w:sz w:val="18"/>
        </w:rPr>
        <w:t xml:space="preserve">    p = cross_val_predict(xgb_pipe(None), cohort[feats].values, y, cv=cv, groups=groups, method="predict_proba")[:,1]</w:t>
      </w:r>
    </w:p>
    <w:p>
      <w:r>
        <w:rPr>
          <w:rFonts w:ascii="Consolas" w:hAnsi="Consolas"/>
          <w:sz w:val="18"/>
        </w:rPr>
        <w:t xml:space="preserve">    return round(average_precision_score(y[_m], p[_m]),3)</w:t>
      </w:r>
    </w:p>
    <w:p>
      <w:r>
        <w:rPr>
          <w:rFonts w:ascii="Consolas" w:hAnsi="Consolas"/>
          <w:sz w:val="18"/>
        </w:rPr>
        <w:t>print(f"complete-record loans: {_m.sum()} ({_m.mean():.1%}), defaults {int(y[_m].sum())}")</w:t>
      </w:r>
    </w:p>
    <w:p>
      <w:r>
        <w:rPr>
          <w:rFonts w:ascii="Consolas" w:hAnsi="Consolas"/>
          <w:sz w:val="18"/>
        </w:rPr>
        <w:t>print("  borrower-only", _oofm(IND_FEATURES), "| +network", _oofm(FULL_FEATURES), "-&gt; network lift stays ~0/negative =&gt; homophily, not missingness")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(contagion) random-seed baseline</w:t>
      </w:r>
    </w:p>
    <w:p>
      <w:r>
        <w:rPr>
          <w:rFonts w:ascii="Consolas" w:hAnsi="Consolas"/>
          <w:sz w:val="18"/>
        </w:rPr>
        <w:t>_defaulters = set(df.loc[df.label==1, "borrower"])</w:t>
      </w:r>
    </w:p>
    <w:p>
      <w:r>
        <w:rPr>
          <w:rFonts w:ascii="Consolas" w:hAnsi="Consolas"/>
          <w:sz w:val="18"/>
        </w:rPr>
        <w:t>_edges = [(r["Borrower ID"], set(r["guarantors"] or [])) for _, r in loans.iterrows()]</w:t>
      </w:r>
    </w:p>
    <w:p>
      <w:r>
        <w:rPr>
          <w:rFonts w:ascii="Consolas" w:hAnsi="Consolas"/>
          <w:sz w:val="18"/>
        </w:rPr>
        <w:t>def _cascade(seed):</w:t>
      </w:r>
    </w:p>
    <w:p>
      <w:r>
        <w:rPr>
          <w:rFonts w:ascii="Consolas" w:hAnsi="Consolas"/>
          <w:sz w:val="18"/>
        </w:rPr>
        <w:t xml:space="preserve">    comp=set(seed)</w:t>
      </w:r>
    </w:p>
    <w:p>
      <w:r>
        <w:rPr>
          <w:rFonts w:ascii="Consolas" w:hAnsi="Consolas"/>
          <w:sz w:val="18"/>
        </w:rPr>
        <w:t xml:space="preserve">    for _ in range(4):</w:t>
      </w:r>
    </w:p>
    <w:p>
      <w:r>
        <w:rPr>
          <w:rFonts w:ascii="Consolas" w:hAnsi="Consolas"/>
          <w:sz w:val="18"/>
        </w:rPr>
        <w:t xml:space="preserve">        grew={b for b,gs in _edges if gs &amp; comp}</w:t>
      </w:r>
    </w:p>
    <w:p>
      <w:r>
        <w:rPr>
          <w:rFonts w:ascii="Consolas" w:hAnsi="Consolas"/>
          <w:sz w:val="18"/>
        </w:rPr>
        <w:t xml:space="preserve">        if comp&gt;=grew: break</w:t>
      </w:r>
    </w:p>
    <w:p>
      <w:r>
        <w:rPr>
          <w:rFonts w:ascii="Consolas" w:hAnsi="Consolas"/>
          <w:sz w:val="18"/>
        </w:rPr>
        <w:t xml:space="preserve">        comp|=grew</w:t>
      </w:r>
    </w:p>
    <w:p>
      <w:r>
        <w:rPr>
          <w:rFonts w:ascii="Consolas" w:hAnsi="Consolas"/>
          <w:sz w:val="18"/>
        </w:rPr>
        <w:t xml:space="preserve">    return len(comp)</w:t>
      </w:r>
    </w:p>
    <w:p>
      <w:r>
        <w:rPr>
          <w:rFonts w:ascii="Consolas" w:hAnsi="Consolas"/>
          <w:sz w:val="18"/>
        </w:rPr>
        <w:t>_ids=list(set(loans["Borrower ID"]) | {g for gs in _lg.values() for g in gs})</w:t>
      </w:r>
    </w:p>
    <w:p>
      <w:r>
        <w:rPr>
          <w:rFonts w:ascii="Consolas" w:hAnsi="Consolas"/>
          <w:sz w:val="18"/>
        </w:rPr>
        <w:t>_real=_cascade(_defaulters); _rng=np.random.RandomState(RANDOM_STATE)</w:t>
      </w:r>
    </w:p>
    <w:p>
      <w:r>
        <w:rPr>
          <w:rFonts w:ascii="Consolas" w:hAnsi="Consolas"/>
          <w:sz w:val="18"/>
        </w:rPr>
        <w:t>_rand=[_cascade(set(_rng.choice(_ids,len(_defaulters),replace=False))) for _ in range(50)]</w:t>
      </w:r>
    </w:p>
    <w:p>
      <w:r>
        <w:rPr>
          <w:rFonts w:ascii="Consolas" w:hAnsi="Consolas"/>
          <w:sz w:val="18"/>
        </w:rPr>
        <w:t>print(f"contagion: real {_real} vs random {np.mean(_rand):.0f} (95% {np.percentile(_rand,2.5):.0f}-{np.percentile(_rand,97.5):.0f})")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(2.7) cohort contamination</w:t>
      </w:r>
    </w:p>
    <w:p>
      <w:r>
        <w:rPr>
          <w:rFonts w:ascii="Consolas" w:hAnsi="Consolas"/>
          <w:sz w:val="18"/>
        </w:rPr>
        <w:t>_arr = loans.set_index("Loan ID")["Days in Arrears"]; _a = cohort["loan"].map(_arr)</w:t>
      </w:r>
    </w:p>
    <w:p>
      <w:r>
        <w:rPr>
          <w:rFonts w:ascii="Consolas" w:hAnsi="Consolas"/>
          <w:sz w:val="18"/>
        </w:rPr>
        <w:t>print(f"90+ days arrears but labelled 0: {int(((_a&gt;=90)&amp;(y==0)).sum())} ({((_a&gt;=90)&amp;(y==0)).mean():.1%})")</w:t>
      </w:r>
    </w:p>
    <w:p>
      <w:r>
        <w:t xml:space="preserve">Plus: in the communities cell add a </w:t>
      </w:r>
      <w:r>
        <w:rPr>
          <w:b/>
        </w:rPr>
        <w:t>`min_loans=30`</w:t>
      </w:r>
      <w:r>
        <w:t xml:space="preserve"> filter and print </w:t>
      </w:r>
      <w:r>
        <w:rPr>
          <w:rFonts w:ascii="Consolas" w:hAnsi="Consolas"/>
          <w:color w:val="B03000"/>
        </w:rPr>
        <w:t>members</w:t>
      </w:r>
      <w:r>
        <w:t xml:space="preserve"> + </w:t>
      </w:r>
      <w:r>
        <w:rPr>
          <w:rFonts w:ascii="Consolas" w:hAnsi="Consolas"/>
          <w:color w:val="B03000"/>
        </w:rPr>
        <w:t>loans</w:t>
      </w:r>
      <w:r>
        <w:t xml:space="preserve"> per community; in the</w:t>
      </w:r>
    </w:p>
    <w:p>
      <w:r>
        <w:t xml:space="preserve">survival cell set </w:t>
      </w:r>
      <w:r>
        <w:rPr>
          <w:b/>
        </w:rPr>
        <w:t>`OBS = &lt;the extract date&gt;`</w:t>
      </w:r>
      <w:r>
        <w:t xml:space="preserve"> (not 2024-12-31) and round to 1 d.p.</w:t>
      </w:r>
    </w:p>
    <w:p/>
    <w:p>
      <w:pPr>
        <w:pStyle w:val="Heading2"/>
      </w:pPr>
      <w:r>
        <w:t>4. Presentation / writing checklist (biggest mark-per-hour, items 1–4 in the review)</w:t>
      </w:r>
    </w:p>
    <w:p>
      <w:pPr>
        <w:pStyle w:val="ListBullet"/>
      </w:pPr>
      <w:r>
        <w:t>[ ] Regenerate ALL figures from the single run 10; delete stale numbers (fixes 2.1, 2.2).</w:t>
      </w:r>
    </w:p>
    <w:p>
      <w:pPr>
        <w:pStyle w:val="ListBullet"/>
      </w:pPr>
      <w:r>
        <w:t>[ ] Certification page: fill the template (title, supervisor name, date, signatures).</w:t>
      </w:r>
    </w:p>
    <w:p>
      <w:pPr>
        <w:pStyle w:val="ListBullet"/>
      </w:pPr>
      <w:r>
        <w:t xml:space="preserve">[ ] Regenerate List of Figures and List of Tables </w:t>
      </w:r>
      <w:r>
        <w:rPr>
          <w:b/>
        </w:rPr>
        <w:t>with page numbers</w:t>
      </w:r>
      <w:r>
        <w:t>; add Ch4 figures and Tables 3.10–3.14.</w:t>
      </w:r>
    </w:p>
    <w:p>
      <w:pPr>
        <w:pStyle w:val="ListBullet"/>
      </w:pPr>
      <w:r>
        <w:t>[ ] Fix duplicate figure numbers (two 3.2, two 5.3, two 5.6, two 5.7, four 5.4) and the "Figure 4.20"→4.9 cite.</w:t>
      </w:r>
    </w:p>
    <w:p>
      <w:pPr>
        <w:pStyle w:val="ListBullet"/>
      </w:pPr>
      <w:r>
        <w:t xml:space="preserve">[ ] Replace code </w:t>
      </w:r>
      <w:r>
        <w:rPr>
          <w:b/>
        </w:rPr>
        <w:t>screenshots</w:t>
      </w:r>
      <w:r>
        <w:t xml:space="preserve"> with formatted, monospaced </w:t>
      </w:r>
      <w:r>
        <w:rPr>
          <w:b/>
        </w:rPr>
        <w:t>listings</w:t>
      </w:r>
      <w:r>
        <w:t xml:space="preserve"> with a one-line caption each (§4.1.3).</w:t>
      </w:r>
    </w:p>
    <w:p>
      <w:pPr>
        <w:pStyle w:val="ListBullet"/>
      </w:pPr>
      <w:r>
        <w:t xml:space="preserve">[ ] Re-take screenshots </w:t>
      </w:r>
      <w:r>
        <w:rPr>
          <w:b/>
        </w:rPr>
        <w:t>cropped</w:t>
      </w:r>
      <w:r>
        <w:t xml:space="preserve"> (no macOS dock, bookmarks, DevTools, </w:t>
      </w:r>
      <w:r>
        <w:rPr>
          <w:rFonts w:ascii="Consolas" w:hAnsi="Consolas"/>
          <w:color w:val="B03000"/>
        </w:rPr>
        <w:t>localhost</w:t>
      </w:r>
      <w:r>
        <w:t xml:space="preserve"> URLs).</w:t>
      </w:r>
    </w:p>
    <w:p>
      <w:pPr>
        <w:pStyle w:val="ListBullet"/>
      </w:pPr>
      <w:r>
        <w:t>[ ] One register throughout (pick impersonal; remove "I did 8 tests" and the "we" in §5.3).</w:t>
      </w:r>
    </w:p>
    <w:p>
      <w:pPr>
        <w:pStyle w:val="ListBullet"/>
      </w:pPr>
      <w:r>
        <w:t>[ ] Typos: "plain English" (×2), "assess()", "/assess-risk endpoint", "held only locally (except", "Write-off".</w:t>
      </w:r>
    </w:p>
    <w:p>
      <w:pPr>
        <w:pStyle w:val="ListBullet"/>
      </w:pPr>
      <w:r>
        <w:t xml:space="preserve">[ ] Reconcile "≈10×" vs "≈11×" base-rate multiple (PR-AUC 0.60 / 0.021 ≈ </w:t>
      </w:r>
      <w:r>
        <w:rPr>
          <w:b/>
        </w:rPr>
        <w:t>29×</w:t>
      </w:r>
      <w:r>
        <w:t>, or ROC framing — pick one and</w:t>
      </w:r>
    </w:p>
    <w:p>
      <w:r>
        <w:t>use it everywhere; the "10/11×" figures look like an older run).</w:t>
      </w:r>
    </w:p>
    <w:p>
      <w:pPr>
        <w:pStyle w:val="ListBullet"/>
      </w:pPr>
      <w:r>
        <w:t>[ ] §6.4 "can be trusted" → soften to match §5.3 (not for deployment until the fairness + interest-rate checks</w:t>
      </w:r>
    </w:p>
    <w:p>
      <w:r>
        <w:t>are done). Don't undercut your own honesty in the last paragraph.</w:t>
      </w:r>
    </w:p>
    <w:p>
      <w:pPr>
        <w:pStyle w:val="ListBullet"/>
      </w:pPr>
      <w:r>
        <w:t xml:space="preserve">[ ] Latency: add one measured </w:t>
      </w:r>
      <w:r>
        <w:rPr>
          <w:rFonts w:ascii="Consolas" w:hAnsi="Consolas"/>
          <w:color w:val="B03000"/>
        </w:rPr>
        <w:t>/assess-risk</w:t>
      </w:r>
      <w:r>
        <w:t xml:space="preserve"> timing to back NFR7; add the pytest count as your coverage proxy.</w:t>
      </w:r>
    </w:p>
    <w:p/>
    <w:p>
      <w:pPr>
        <w:pStyle w:val="Heading2"/>
      </w:pPr>
      <w:r>
        <w:t>5. Literature to add — **[cite]** (find full refs; do not fabricate)</w:t>
      </w:r>
    </w:p>
    <w:p>
      <w:pPr>
        <w:pStyle w:val="ListBullet"/>
      </w:pPr>
      <w:r>
        <w:rPr>
          <w:b/>
        </w:rPr>
        <w:t>Joint-liability / social-collateral lending</w:t>
      </w:r>
      <w:r>
        <w:t xml:space="preserve"> (gives homophily a theoretical spine): Ghatak &amp; Guinnane</w:t>
      </w:r>
    </w:p>
    <w:p>
      <w:r>
        <w:t>(1999) on peer selection/monitoring; Besley &amp; Coate (1995) on group lending and repayment; Armendáriz &amp;</w:t>
      </w:r>
    </w:p>
    <w:p>
      <w:r>
        <w:t>Morduch, *The Economics of Microfinance*. Cite these in §2.4.3 around the network/homophily argument.</w:t>
      </w:r>
    </w:p>
    <w:p>
      <w:pPr>
        <w:pStyle w:val="ListBullet"/>
      </w:pPr>
      <w:r>
        <w:rPr>
          <w:b/>
        </w:rPr>
        <w:t>Fairness in credit scoring</w:t>
      </w:r>
      <w:r>
        <w:t xml:space="preserve"> (you name fairness as the deployment precondition): a fairness-in-lending / ML</w:t>
      </w:r>
    </w:p>
    <w:p>
      <w:r>
        <w:t xml:space="preserve">fairness reference in §2.4.7 </w:t>
      </w:r>
      <w:r>
        <w:rPr>
          <w:b/>
        </w:rPr>
        <w:t>[cite]</w:t>
      </w:r>
      <w:r>
        <w:t>.</w:t>
      </w:r>
    </w:p>
    <w:p>
      <w:pPr>
        <w:pStyle w:val="ListBullet"/>
      </w:pPr>
      <w:r>
        <w:t>Acknowledge that ~4 of ~25 sources are from one group (Cheng et al.) — one sentence.</w:t>
      </w:r>
    </w:p>
    <w:p/>
    <w:p>
      <w:pPr>
        <w:pStyle w:val="Heading2"/>
      </w:pPr>
      <w:r>
        <w:t>What genuinely improves the mark (the reviewer's own ranking)</w:t>
      </w:r>
    </w:p>
    <w:p>
      <w:r>
        <w:t>Items 1–4 (reconcile numbers, ethics paragraph, prelims, figure numbering + code listings) are pure</w:t>
      </w:r>
    </w:p>
    <w:p>
      <w:r>
        <w:t xml:space="preserve">presentation and move you from ~76% to mid-80s. Items 5–6 here — the </w:t>
      </w:r>
      <w:r>
        <w:rPr>
          <w:b/>
        </w:rPr>
        <w:t>interest_rate ablation (2.5)</w:t>
      </w:r>
      <w:r>
        <w:t xml:space="preserve"> and the</w:t>
      </w:r>
    </w:p>
    <w:p>
      <w:r>
        <w:rPr>
          <w:b/>
        </w:rPr>
        <w:t>complete-records / homophily check (2.6)</w:t>
      </w:r>
      <w:r>
        <w:t>, both of which I have already computed for you — push Results and</w:t>
      </w:r>
    </w:p>
    <w:p>
      <w:r>
        <w:t>Literature into the mastery band.</w:t>
      </w:r>
    </w:p>
    <w:p/>
    <w:p>
      <w:pPr>
        <w:pStyle w:val="Heading1"/>
      </w:pPr>
      <w:r>
        <w:t>Round 2 — outstanding issues (grade now 28/35)</w:t>
      </w:r>
    </w:p>
    <w:p>
      <w:pPr>
        <w:pStyle w:val="Heading2"/>
      </w:pPr>
      <w:r>
        <w:t>Blockers</w:t>
      </w:r>
    </w:p>
    <w:p>
      <w:pPr>
        <w:pStyle w:val="Heading3"/>
      </w:pPr>
      <w:r>
        <w:t>B1. Figures still show the old run — **swap the PNGs, don't re-save the Word file**</w:t>
      </w:r>
    </w:p>
    <w:p>
      <w:r>
        <w:t>Re-exporting Word only re-compresses images; it does not change what they depict. In Word, **right-click each</w:t>
      </w:r>
    </w:p>
    <w:p>
      <w:r>
        <w:t xml:space="preserve">chart → Change Picture → point at the run-10 PNG** already sitting in </w:t>
      </w:r>
      <w:r>
        <w:rPr>
          <w:rFonts w:ascii="Consolas" w:hAnsi="Consolas"/>
          <w:color w:val="B03000"/>
        </w:rPr>
        <w:t>report_assets/figures/</w:t>
      </w:r>
      <w:r>
        <w:t>. Mapping: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Report figure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Replace with (</w:t>
            </w:r>
            <w:r>
              <w:rPr>
                <w:rFonts w:ascii="Consolas" w:hAnsi="Consolas"/>
                <w:b/>
                <w:color w:val="B03000"/>
              </w:rPr>
              <w:t>report_assets/figures/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Fig 5.1 (ROC/PR by feature set)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00"/>
              </w:rPr>
              <w:t>05_roc_pr_curves.png</w:t>
            </w:r>
          </w:p>
        </w:tc>
      </w:tr>
      <w:tr>
        <w:tc>
          <w:tcPr>
            <w:tcW w:type="dxa" w:w="4320"/>
          </w:tcPr>
          <w:p>
            <w:r/>
            <w:r>
              <w:t>Fig 5.2 (leaderboard)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00"/>
              </w:rPr>
              <w:t>02_leaderboard.png</w:t>
            </w:r>
          </w:p>
        </w:tc>
      </w:tr>
      <w:tr>
        <w:tc>
          <w:tcPr>
            <w:tcW w:type="dxa" w:w="4320"/>
          </w:tcPr>
          <w:p>
            <w:r/>
            <w:r>
              <w:t>Fig 5.4a (calibration confusion)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00"/>
              </w:rPr>
              <w:t>03b_confusion_calibrated.png</w:t>
            </w:r>
          </w:p>
        </w:tc>
      </w:tr>
      <w:tr>
        <w:tc>
          <w:tcPr>
            <w:tcW w:type="dxa" w:w="4320"/>
          </w:tcPr>
          <w:p>
            <w:r/>
            <w:r>
              <w:t>Fig 5.4c / deployed confusion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00"/>
              </w:rPr>
              <w:t>03_confusion.png</w:t>
            </w:r>
          </w:p>
        </w:tc>
      </w:tr>
      <w:tr>
        <w:tc>
          <w:tcPr>
            <w:tcW w:type="dxa" w:w="4320"/>
          </w:tcPr>
          <w:p>
            <w:r/>
            <w:r>
              <w:t>Fig 5.5 (selected/unconstrained confusion)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00"/>
              </w:rPr>
              <w:t>03a_confusion_unconstrained.png</w:t>
            </w:r>
          </w:p>
        </w:tc>
      </w:tr>
      <w:tr>
        <w:tc>
          <w:tcPr>
            <w:tcW w:type="dxa" w:w="4320"/>
          </w:tcPr>
          <w:p>
            <w:r/>
            <w:r>
              <w:t>all-model confusion grid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00"/>
              </w:rPr>
              <w:t>06_confusion_grid.png</w:t>
            </w:r>
          </w:p>
        </w:tc>
      </w:tr>
      <w:tr>
        <w:tc>
          <w:tcPr>
            <w:tcW w:type="dxa" w:w="4320"/>
          </w:tcPr>
          <w:p>
            <w:r/>
            <w:r>
              <w:t>calibration curve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00"/>
              </w:rPr>
              <w:t>05_calibration.png</w:t>
            </w:r>
          </w:p>
        </w:tc>
      </w:tr>
      <w:tr>
        <w:tc>
          <w:tcPr>
            <w:tcW w:type="dxa" w:w="4320"/>
          </w:tcPr>
          <w:p>
            <w:r/>
            <w:r>
              <w:t>SHAP summary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00"/>
              </w:rPr>
              <w:t>04_shap_summary.png</w:t>
            </w:r>
          </w:p>
        </w:tc>
      </w:tr>
    </w:tbl>
    <w:p>
      <w:r>
        <w:rPr>
          <w:b/>
        </w:rPr>
        <w:t>Verification (the reviewer's check):</w:t>
      </w:r>
      <w:r>
        <w:t xml:space="preserve"> in run 10, XGBoost </w:t>
      </w:r>
      <w:r>
        <w:rPr>
          <w:b/>
        </w:rPr>
        <w:t>+network 0.659 &gt; borrower-only 0.641</w:t>
      </w:r>
      <w:r>
        <w:t xml:space="preserve"> (Table 5.2</w:t>
      </w:r>
    </w:p>
    <w:p>
      <w:r>
        <w:t xml:space="preserve">is correct; regenerate Fig 5.2 to match). But a clean fixed-config comparison puts them </w:t>
      </w:r>
      <w:r>
        <w:rPr>
          <w:b/>
        </w:rPr>
        <w:t>within noise</w:t>
      </w:r>
    </w:p>
    <w:p>
      <w:r>
        <w:t>(0.663 vs 0.660, borrower fractionally ahead) — add one sentence saying the two feature sets are statistically</w:t>
      </w:r>
    </w:p>
    <w:p>
      <w:r>
        <w:t xml:space="preserve">tied (bootstrap CI crosses zero). That makes figure, table and text agree </w:t>
      </w:r>
      <w:r>
        <w:rPr>
          <w:b/>
        </w:rPr>
        <w:t>and</w:t>
      </w:r>
      <w:r>
        <w:t xml:space="preserve"> strengthens the null result.</w:t>
      </w:r>
    </w:p>
    <w:p>
      <w:pPr>
        <w:pStyle w:val="Heading3"/>
      </w:pPr>
      <w:r>
        <w:t>B2. Ethics placeholders — **fill [DATE] and [AUTHORISING NAME AND ROLE].** Two facts. A data-protection</w:t>
      </w:r>
    </w:p>
    <w:p>
      <w:r>
        <w:t>statement with blanks is worse than none.</w:t>
      </w:r>
    </w:p>
    <w:p>
      <w:pPr>
        <w:pStyle w:val="Heading3"/>
      </w:pPr>
      <w:r>
        <w:t>B3. Table 5.5 shows the UNCONSTRAINED model — **recompute on the deployed model.** Real deployed operating</w:t>
      </w:r>
    </w:p>
    <w:p>
      <w:r>
        <w:t>points (borrower-grouped OOF on the monotone model):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Operating point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Threshold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F1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Accuracy</w:t>
            </w:r>
          </w:p>
        </w:tc>
      </w:tr>
      <w:tr>
        <w:tc>
          <w:tcPr>
            <w:tcW w:type="dxa" w:w="1440"/>
          </w:tcPr>
          <w:p>
            <w:r/>
            <w:r>
              <w:t>Screening (≥80% recall)</w:t>
            </w:r>
          </w:p>
        </w:tc>
        <w:tc>
          <w:tcPr>
            <w:tcW w:type="dxa" w:w="1440"/>
          </w:tcPr>
          <w:p>
            <w:r/>
            <w:r>
              <w:t>0.017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0.153</w:t>
            </w:r>
          </w:p>
        </w:tc>
        <w:tc>
          <w:tcPr>
            <w:tcW w:type="dxa" w:w="1440"/>
          </w:tcPr>
          <w:p>
            <w:r/>
            <w:r>
              <w:t>0.801</w:t>
            </w:r>
          </w:p>
        </w:tc>
        <w:tc>
          <w:tcPr>
            <w:tcW w:type="dxa" w:w="1440"/>
          </w:tcPr>
          <w:p>
            <w:r/>
            <w:r>
              <w:t>0.256</w:t>
            </w:r>
          </w:p>
        </w:tc>
        <w:tc>
          <w:tcPr>
            <w:tcW w:type="dxa" w:w="1440"/>
          </w:tcPr>
          <w:p>
            <w:r/>
            <w:r>
              <w:t>0.905</w:t>
            </w:r>
          </w:p>
        </w:tc>
      </w:tr>
      <w:tr>
        <w:tc>
          <w:tcPr>
            <w:tcW w:type="dxa" w:w="1440"/>
          </w:tcPr>
          <w:p>
            <w:r/>
            <w:r>
              <w:t>F1-optimal (balanced)</w:t>
            </w:r>
          </w:p>
        </w:tc>
        <w:tc>
          <w:tcPr>
            <w:tcW w:type="dxa" w:w="1440"/>
          </w:tcPr>
          <w:p>
            <w:r/>
            <w:r>
              <w:t>~0.257</w:t>
            </w:r>
          </w:p>
        </w:tc>
        <w:tc>
          <w:tcPr>
            <w:tcW w:type="dxa" w:w="1440"/>
          </w:tcPr>
          <w:p>
            <w:r/>
            <w:r>
              <w:t>~0.679</w:t>
            </w:r>
          </w:p>
        </w:tc>
        <w:tc>
          <w:tcPr>
            <w:tcW w:type="dxa" w:w="1440"/>
          </w:tcPr>
          <w:p>
            <w:r/>
            <w:r>
              <w:t>~0.553</w:t>
            </w:r>
          </w:p>
        </w:tc>
        <w:tc>
          <w:tcPr>
            <w:tcW w:type="dxa" w:w="1440"/>
          </w:tcPr>
          <w:p>
            <w:r/>
            <w:r>
              <w:t>~0.610</w:t>
            </w:r>
          </w:p>
        </w:tc>
        <w:tc>
          <w:tcPr>
            <w:tcW w:type="dxa" w:w="1440"/>
          </w:tcPr>
          <w:p>
            <w:r/>
            <w:r>
              <w:t>~0.985</w:t>
            </w:r>
          </w:p>
        </w:tc>
      </w:tr>
      <w:tr>
        <w:tc>
          <w:tcPr>
            <w:tcW w:type="dxa" w:w="1440"/>
          </w:tcPr>
          <w:p>
            <w:r/>
            <w:r>
              <w:t>Precision ≥ 0.50 (precise)</w:t>
            </w:r>
          </w:p>
        </w:tc>
        <w:tc>
          <w:tcPr>
            <w:tcW w:type="dxa" w:w="1440"/>
          </w:tcPr>
          <w:p>
            <w:r/>
            <w:r>
              <w:t>~0.155</w:t>
            </w:r>
          </w:p>
        </w:tc>
        <w:tc>
          <w:tcPr>
            <w:tcW w:type="dxa" w:w="1440"/>
          </w:tcPr>
          <w:p>
            <w:r/>
            <w:r>
              <w:t>0.500</w:t>
            </w:r>
          </w:p>
        </w:tc>
        <w:tc>
          <w:tcPr>
            <w:tcW w:type="dxa" w:w="1440"/>
          </w:tcPr>
          <w:p>
            <w:r/>
            <w:r>
              <w:t>~0.602</w:t>
            </w:r>
          </w:p>
        </w:tc>
        <w:tc>
          <w:tcPr>
            <w:tcW w:type="dxa" w:w="1440"/>
          </w:tcPr>
          <w:p>
            <w:r/>
            <w:r>
              <w:t>~0.546</w:t>
            </w:r>
          </w:p>
        </w:tc>
        <w:tc>
          <w:tcPr>
            <w:tcW w:type="dxa" w:w="1440"/>
          </w:tcPr>
          <w:p>
            <w:r/>
            <w:r>
              <w:t>~0.979</w:t>
            </w:r>
          </w:p>
        </w:tc>
      </w:tr>
    </w:tbl>
    <w:p>
      <w:r>
        <w:t xml:space="preserve">The screening row must read </w:t>
      </w:r>
      <w:r>
        <w:rPr>
          <w:b/>
        </w:rPr>
        <w:t>0.017 / 0.153 / 0.905</w:t>
      </w:r>
      <w:r>
        <w:t xml:space="preserve"> (= Table 5.4's deployed column), not 0.032 / 0.250 / 0.947</w:t>
      </w:r>
    </w:p>
    <w:p>
      <w:r>
        <w:t>(which is the unconstrained model). Regenerate this table in the same run 10 for exact consistency; add the cell</w:t>
      </w:r>
    </w:p>
    <w:p>
      <w:r>
        <w:t xml:space="preserve">in §3 (compute the three points on </w:t>
      </w:r>
      <w:r>
        <w:rPr>
          <w:rFonts w:ascii="Consolas" w:hAnsi="Consolas"/>
          <w:color w:val="B03000"/>
        </w:rPr>
        <w:t>p_mono</w:t>
      </w:r>
      <w:r>
        <w:t xml:space="preserve">, not </w:t>
      </w:r>
      <w:r>
        <w:rPr>
          <w:rFonts w:ascii="Consolas" w:hAnsi="Consolas"/>
          <w:color w:val="B03000"/>
        </w:rPr>
        <w:t>p_full</w:t>
      </w:r>
      <w:r>
        <w:t>).</w:t>
      </w:r>
    </w:p>
    <w:p>
      <w:pPr>
        <w:pStyle w:val="Heading3"/>
      </w:pPr>
      <w:r>
        <w:t>B4. Employment-sector claim — **[YOU: confirm with the SACCO].** The two claims differ: "public vs private</w:t>
      </w:r>
    </w:p>
    <w:p>
      <w:r>
        <w:t>teacher" (§5.3) vs "13% for teacher members, 14% for cooperative-employees/non-teacher members" (the separate</w:t>
      </w:r>
    </w:p>
    <w:p>
      <w:r>
        <w:t xml:space="preserve">note). The </w:t>
      </w:r>
      <w:r>
        <w:rPr>
          <w:b/>
        </w:rPr>
        <w:t>fairness audit groups depend on which is true.</w:t>
      </w:r>
      <w:r>
        <w:t xml:space="preserve"> Correct §1.1 and §5.3 to the confirmed rule, and</w:t>
      </w:r>
    </w:p>
    <w:p>
      <w:r>
        <w:t>set the audit's protected groups to match (teacher vs non-teacher, or public vs private — whichever it is).</w:t>
      </w:r>
    </w:p>
    <w:p>
      <w:pPr>
        <w:pStyle w:val="Heading2"/>
      </w:pPr>
      <w:r>
        <w:t>Substantive</w:t>
      </w:r>
    </w:p>
    <w:p>
      <w:pPr>
        <w:pStyle w:val="ListBullet"/>
      </w:pPr>
      <w:r>
        <w:rPr>
          <w:b/>
        </w:rPr>
        <w:t>S1. Tables 5.2b vs 5.1 disagree (0.655/0.637 vs 0.653/0.641).</w:t>
      </w:r>
      <w:r>
        <w:t xml:space="preserve"> Both must come off run 10. Recompute the</w:t>
      </w:r>
    </w:p>
    <w:p>
      <w:r>
        <w:t>network ablation in the same notebook run; use one pair of numbers everywhere (canonical: +network 0.653,</w:t>
      </w:r>
    </w:p>
    <w:p>
      <w:r>
        <w:t>borrower-only 0.641).</w:t>
      </w:r>
    </w:p>
    <w:p>
      <w:pPr>
        <w:pStyle w:val="ListBullet"/>
      </w:pPr>
      <w:r>
        <w:rPr>
          <w:b/>
        </w:rPr>
        <w:t>S2. Abstract is behind the analysis.</w:t>
      </w:r>
      <w:r>
        <w:t xml:space="preserve"> Three edits: (a) "11,015 </w:t>
      </w:r>
      <w:r>
        <w:rPr>
          <w:b/>
        </w:rPr>
        <w:t>completed</w:t>
      </w:r>
      <w:r>
        <w:t xml:space="preserve"> loans" → "a </w:t>
      </w:r>
      <w:r>
        <w:rPr>
          <w:b/>
        </w:rPr>
        <w:t>matured</w:t>
      </w:r>
    </w:p>
    <w:p>
      <w:r>
        <w:t>2022–2023 cohort (with 122 loans, 1%, still 90+ days in arrears, labelled 0)"; (b) network "improved accuracy</w:t>
      </w:r>
    </w:p>
    <w:p>
      <w:r>
        <w:t xml:space="preserve">marginally" → "network lift </w:t>
      </w:r>
      <w:r>
        <w:rPr>
          <w:b/>
        </w:rPr>
        <w:t>+0.012, 95% CI [−0.019, +0.044]</w:t>
      </w:r>
      <w:r>
        <w:t xml:space="preserve"> — within noise"; (c) add the stronger reason</w:t>
      </w:r>
    </w:p>
    <w:p>
      <w:r>
        <w:t>for the null: **181 of 226 write-offs sit inside a 14%-rate pricing band covering ~12% of the book, leaving</w:t>
      </w:r>
    </w:p>
    <w:p>
      <w:r>
        <w:t>little room for network features to add signal** (put this ahead of homophily).</w:t>
      </w:r>
    </w:p>
    <w:p>
      <w:pPr>
        <w:pStyle w:val="ListBullet"/>
      </w:pPr>
      <w:r>
        <w:rPr>
          <w:b/>
        </w:rPr>
        <w:t>S3. Survival method vs result.</w:t>
      </w:r>
      <w:r>
        <w:t xml:space="preserve"> §3.7.2 says it censors at 2024-12-31 but quotes the extract-date figure.</w:t>
      </w:r>
    </w:p>
    <w:p>
      <w:r>
        <w:t xml:space="preserve">Change the method sentence to the </w:t>
      </w:r>
      <w:r>
        <w:rPr>
          <w:b/>
        </w:rPr>
        <w:t>extract date</w:t>
      </w:r>
      <w:r>
        <w:t xml:space="preserve"> and round survival to </w:t>
      </w:r>
      <w:r>
        <w:rPr>
          <w:b/>
        </w:rPr>
        <w:t>1 d.p.</w:t>
      </w:r>
      <w:r>
        <w:t xml:space="preserve"> (write-off date is unknown).</w:t>
      </w:r>
    </w:p>
    <w:p>
      <w:pPr>
        <w:pStyle w:val="ListBullet"/>
      </w:pPr>
      <w:r>
        <w:rPr>
          <w:b/>
        </w:rPr>
        <w:t>S4. Register — pick impersonal, delete these:</w:t>
      </w:r>
      <w:r>
        <w:t xml:space="preserve"> "I did 5 validation tests", "I did 6 Integration tests",</w:t>
      </w:r>
    </w:p>
    <w:p>
      <w:r>
        <w:t>"I did 6 functional cases tests", "I run code based end-to-end user scenarios", and the three "we"s in §5.3</w:t>
      </w:r>
    </w:p>
    <w:p>
      <w:r>
        <w:t>("we did not test", "the neural network we tried", "what we already know") → impersonal.</w:t>
      </w:r>
    </w:p>
    <w:p>
      <w:pPr>
        <w:pStyle w:val="ListBullet"/>
      </w:pPr>
      <w:r>
        <w:rPr>
          <w:b/>
        </w:rPr>
        <w:t>S5. Code listings — paste these four functions from `app/scoring.py` as formatted monospace</w:t>
      </w:r>
      <w:r>
        <w:t xml:space="preserve"> (not</w:t>
      </w:r>
    </w:p>
    <w:p>
      <w:r>
        <w:t>screenshots). Ready to paste:</w:t>
      </w:r>
    </w:p>
    <w:p>
      <w:r>
        <w:rPr>
          <w:rFonts w:ascii="Consolas" w:hAnsi="Consolas"/>
          <w:sz w:val="18"/>
        </w:rPr>
        <w:t># Listing 4.x  Risk bands from the calibrated score (app/scoring.py)</w:t>
      </w:r>
    </w:p>
    <w:p>
      <w:r>
        <w:rPr>
          <w:rFonts w:ascii="Consolas" w:hAnsi="Consolas"/>
          <w:sz w:val="18"/>
        </w:rPr>
        <w:t>def _band(p: float) -&gt; str:</w:t>
      </w:r>
    </w:p>
    <w:p>
      <w:r>
        <w:rPr>
          <w:rFonts w:ascii="Consolas" w:hAnsi="Consolas"/>
          <w:sz w:val="18"/>
        </w:rPr>
        <w:t xml:space="preserve">    if p &gt;= BANDS["high"]:</w:t>
      </w:r>
    </w:p>
    <w:p>
      <w:r>
        <w:rPr>
          <w:rFonts w:ascii="Consolas" w:hAnsi="Consolas"/>
          <w:sz w:val="18"/>
        </w:rPr>
        <w:t xml:space="preserve">        return "High"</w:t>
      </w:r>
    </w:p>
    <w:p>
      <w:r>
        <w:rPr>
          <w:rFonts w:ascii="Consolas" w:hAnsi="Consolas"/>
          <w:sz w:val="18"/>
        </w:rPr>
        <w:t xml:space="preserve">    if p &gt;= BANDS["medium"]:</w:t>
      </w:r>
    </w:p>
    <w:p>
      <w:r>
        <w:rPr>
          <w:rFonts w:ascii="Consolas" w:hAnsi="Consolas"/>
          <w:sz w:val="18"/>
        </w:rPr>
        <w:t xml:space="preserve">        return "Medium"</w:t>
      </w:r>
    </w:p>
    <w:p>
      <w:r>
        <w:rPr>
          <w:rFonts w:ascii="Consolas" w:hAnsi="Consolas"/>
          <w:sz w:val="18"/>
        </w:rPr>
        <w:t xml:space="preserve">    return "Low"</w:t>
      </w:r>
    </w:p>
    <w:p>
      <w:r>
        <w:rPr>
          <w:rFonts w:ascii="Consolas" w:hAnsi="Consolas"/>
          <w:sz w:val="18"/>
        </w:rPr>
        <w:t># Listing 4.x  Leak-free rule overlay: escalate the band on concentrated guarantor red flags</w:t>
      </w:r>
    </w:p>
    <w:p>
      <w:r>
        <w:rPr>
          <w:rFonts w:ascii="Consolas" w:hAnsi="Consolas"/>
          <w:sz w:val="18"/>
        </w:rPr>
        <w:t>def adjust_band(base_band, guarantor_ids, borrower_id=None):</w:t>
      </w:r>
    </w:p>
    <w:p>
      <w:r>
        <w:rPr>
          <w:rFonts w:ascii="Consolas" w:hAnsi="Consolas"/>
          <w:sz w:val="18"/>
        </w:rPr>
        <w:t xml:space="preserve">    band = base_band</w:t>
      </w:r>
    </w:p>
    <w:p>
      <w:r>
        <w:rPr>
          <w:rFonts w:ascii="Consolas" w:hAnsi="Consolas"/>
          <w:sz w:val="18"/>
        </w:rPr>
        <w:t xml:space="preserve">    gs = guarantor_ids or []</w:t>
      </w:r>
    </w:p>
    <w:p>
      <w:r>
        <w:rPr>
          <w:rFonts w:ascii="Consolas" w:hAnsi="Consolas"/>
          <w:sz w:val="18"/>
        </w:rPr>
        <w:t xml:space="preserve">    over = [g for g in gs if (_member(g).get("loans_backed") or 0) &gt;= FLAG_TH["over_committed_loads"]]</w:t>
      </w:r>
    </w:p>
    <w:p>
      <w:r>
        <w:rPr>
          <w:rFonts w:ascii="Consolas" w:hAnsi="Consolas"/>
          <w:sz w:val="18"/>
        </w:rPr>
        <w:t xml:space="preserve">    defaulters = [g for g in gs if _member(g).get("ever_defaulted") == 1]</w:t>
      </w:r>
    </w:p>
    <w:p>
      <w:r>
        <w:rPr>
          <w:rFonts w:ascii="Consolas" w:hAnsi="Consolas"/>
          <w:sz w:val="18"/>
        </w:rPr>
        <w:t xml:space="preserve">    if gs and len(over) == len(gs):      # whole backing group over-committed -&gt; +1 band</w:t>
      </w:r>
    </w:p>
    <w:p>
      <w:r>
        <w:rPr>
          <w:rFonts w:ascii="Consolas" w:hAnsi="Consolas"/>
          <w:sz w:val="18"/>
        </w:rPr>
        <w:t xml:space="preserve">        band = _bump(band, 1)</w:t>
      </w:r>
    </w:p>
    <w:p>
      <w:r>
        <w:rPr>
          <w:rFonts w:ascii="Consolas" w:hAnsi="Consolas"/>
          <w:sz w:val="18"/>
        </w:rPr>
        <w:t xml:space="preserve">    if len(defaulters) &gt;= 2:             # two or more backers defaulted before -&gt; High</w:t>
      </w:r>
    </w:p>
    <w:p>
      <w:r>
        <w:rPr>
          <w:rFonts w:ascii="Consolas" w:hAnsi="Consolas"/>
          <w:sz w:val="18"/>
        </w:rPr>
        <w:t xml:space="preserve">        band = "High"</w:t>
      </w:r>
    </w:p>
    <w:p>
      <w:r>
        <w:rPr>
          <w:rFonts w:ascii="Consolas" w:hAnsi="Consolas"/>
          <w:sz w:val="18"/>
        </w:rPr>
        <w:t xml:space="preserve">    return band</w:t>
      </w:r>
    </w:p>
    <w:p>
      <w:r>
        <w:rPr>
          <w:rFonts w:ascii="Consolas" w:hAnsi="Consolas"/>
          <w:sz w:val="18"/>
        </w:rPr>
        <w:t># Listing 4.x  The guarantee-network feature at serve time (community default rate)</w:t>
      </w:r>
    </w:p>
    <w:p>
      <w:r>
        <w:rPr>
          <w:rFonts w:ascii="Consolas" w:hAnsi="Consolas"/>
          <w:sz w:val="18"/>
        </w:rPr>
        <w:t>def _community_rate(borrower_id, guarantor_ids):</w:t>
      </w:r>
    </w:p>
    <w:p>
      <w:r>
        <w:rPr>
          <w:rFonts w:ascii="Consolas" w:hAnsi="Consolas"/>
          <w:sz w:val="18"/>
        </w:rPr>
        <w:t xml:space="preserve">    root = _COMMUNITY.get(borrower_id) if borrower_id else None</w:t>
      </w:r>
    </w:p>
    <w:p>
      <w:r>
        <w:rPr>
          <w:rFonts w:ascii="Consolas" w:hAnsi="Consolas"/>
          <w:sz w:val="18"/>
        </w:rPr>
        <w:t xml:space="preserve">    if root is None:</w:t>
      </w:r>
    </w:p>
    <w:p>
      <w:r>
        <w:rPr>
          <w:rFonts w:ascii="Consolas" w:hAnsi="Consolas"/>
          <w:sz w:val="18"/>
        </w:rPr>
        <w:t xml:space="preserve">        for g in (guarantor_ids or []):</w:t>
      </w:r>
    </w:p>
    <w:p>
      <w:r>
        <w:rPr>
          <w:rFonts w:ascii="Consolas" w:hAnsi="Consolas"/>
          <w:sz w:val="18"/>
        </w:rPr>
        <w:t xml:space="preserve">            if g in _COMMUNITY:</w:t>
      </w:r>
    </w:p>
    <w:p>
      <w:r>
        <w:rPr>
          <w:rFonts w:ascii="Consolas" w:hAnsi="Consolas"/>
          <w:sz w:val="18"/>
        </w:rPr>
        <w:t xml:space="preserve">                root = _COMMUNITY[g]; break</w:t>
      </w:r>
    </w:p>
    <w:p>
      <w:r>
        <w:rPr>
          <w:rFonts w:ascii="Consolas" w:hAnsi="Consolas"/>
          <w:sz w:val="18"/>
        </w:rPr>
        <w:t xml:space="preserve">    return _COMMUNITY_RATE.get(root) if root is not None else None</w:t>
      </w:r>
    </w:p>
    <w:p>
      <w:r>
        <w:t xml:space="preserve">Plus a fourth (pick one): </w:t>
      </w:r>
      <w:r>
        <w:rPr>
          <w:rFonts w:ascii="Consolas" w:hAnsi="Consolas"/>
          <w:color w:val="B03000"/>
        </w:rPr>
        <w:t>_load_communities()</w:t>
      </w:r>
      <w:r>
        <w:t xml:space="preserve"> (union-find over the guarantee graph) or </w:t>
      </w:r>
      <w:r>
        <w:rPr>
          <w:rFonts w:ascii="Consolas" w:hAnsi="Consolas"/>
          <w:color w:val="B03000"/>
        </w:rPr>
        <w:t>assess()</w:t>
      </w:r>
      <w:r>
        <w:t xml:space="preserve"> (the entry</w:t>
      </w:r>
    </w:p>
    <w:p>
      <w:r>
        <w:t>point). Caption each with one sentence saying what it does.</w:t>
      </w:r>
    </w:p>
    <w:p>
      <w:pPr>
        <w:pStyle w:val="ListBullet"/>
      </w:pPr>
      <w:r>
        <w:rPr>
          <w:b/>
        </w:rPr>
        <w:t>S6. Screenshots — [YOU]</w:t>
      </w:r>
      <w:r>
        <w:t xml:space="preserve"> re-capture cropped to the viewport, from the </w:t>
      </w:r>
      <w:r>
        <w:rPr>
          <w:b/>
        </w:rPr>
        <w:t>deployed Vercel URL</w:t>
      </w:r>
      <w:r>
        <w:t xml:space="preserve"> (no</w:t>
      </w:r>
    </w:p>
    <w:p>
      <w:r>
        <w:rPr>
          <w:rFonts w:ascii="Consolas" w:hAnsi="Consolas"/>
          <w:color w:val="B03000"/>
        </w:rPr>
        <w:t>localhost</w:t>
      </w:r>
      <w:r>
        <w:t>, dock, bookmarks, DevTools). Nine images.</w:t>
      </w:r>
    </w:p>
    <w:p>
      <w:pPr>
        <w:pStyle w:val="Heading2"/>
      </w:pPr>
      <w:r>
        <w:t>Minor</w:t>
      </w:r>
    </w:p>
    <w:p>
      <w:pPr>
        <w:pStyle w:val="ListBullet"/>
      </w:pPr>
      <w:r>
        <w:t xml:space="preserve">Delete </w:t>
      </w:r>
      <w:r>
        <w:rPr>
          <w:b/>
        </w:rPr>
        <w:t>Top Africa News (2024)</w:t>
      </w:r>
      <w:r>
        <w:t xml:space="preserve"> from the reference list (uncited, misalphabetised).</w:t>
      </w:r>
    </w:p>
    <w:p>
      <w:pPr>
        <w:pStyle w:val="ListBullet"/>
      </w:pPr>
      <w:r>
        <w:t xml:space="preserve">Add </w:t>
      </w:r>
      <w:r>
        <w:rPr>
          <w:b/>
        </w:rPr>
        <w:t>Blondel et al. (2008)</w:t>
      </w:r>
      <w:r>
        <w:t xml:space="preserve"> for Louvain to the reference list and cite it in Ch3. </w:t>
      </w:r>
      <w:r>
        <w:rPr>
          <w:b/>
        </w:rPr>
        <w:t>[cite]</w:t>
      </w:r>
    </w:p>
    <w:p>
      <w:pPr>
        <w:pStyle w:val="ListBullet"/>
      </w:pPr>
      <w:r>
        <w:rPr>
          <w:b/>
        </w:rPr>
        <w:t>Nikuze et al. (2024)</w:t>
      </w:r>
      <w:r>
        <w:t xml:space="preserve"> — add volume/issue/pages. </w:t>
      </w:r>
      <w:r>
        <w:rPr>
          <w:b/>
        </w:rPr>
        <w:t>[SOURCE]</w:t>
      </w:r>
    </w:p>
    <w:p>
      <w:pPr>
        <w:pStyle w:val="ListBullet"/>
      </w:pPr>
      <w:r>
        <w:rPr>
          <w:b/>
        </w:rPr>
        <w:t>Test coverage:</w:t>
      </w:r>
      <w:r>
        <w:t xml:space="preserve"> add one sentence — "the 28 passing tests evidence behaviour at the API surface, not code</w:t>
      </w:r>
    </w:p>
    <w:p>
      <w:r>
        <w:t>coverage; measured line coverage is a limitation."</w:t>
      </w:r>
    </w:p>
    <w:p>
      <w:pPr>
        <w:pStyle w:val="ListBullet"/>
      </w:pPr>
      <w:r>
        <w:rPr>
          <w:b/>
        </w:rPr>
        <w:t>NFR7 latency — [YOU]:</w:t>
      </w:r>
      <w:r>
        <w:t xml:space="preserve"> time 20 consecutive </w:t>
      </w:r>
      <w:r>
        <w:rPr>
          <w:rFonts w:ascii="Consolas" w:hAnsi="Consolas"/>
          <w:color w:val="B03000"/>
        </w:rPr>
        <w:t>/assess-risk</w:t>
      </w:r>
      <w:r>
        <w:t xml:space="preserve"> calls on the deployed API, report the median in</w:t>
      </w:r>
    </w:p>
    <w:p>
      <w:r>
        <w:t>one sentence.</w:t>
      </w:r>
    </w:p>
    <w:p>
      <w:pPr>
        <w:pStyle w:val="ListBullet"/>
      </w:pPr>
      <w:r>
        <w:rPr>
          <w:b/>
        </w:rPr>
        <w:t>Contamination sensitivity (optional, closes 2.7):</w:t>
      </w:r>
      <w:r>
        <w:t xml:space="preserve"> relabelling the 122 arrears-90+ loans as write-offs</w:t>
      </w:r>
    </w:p>
    <w:p>
      <w:r>
        <w:t xml:space="preserve">moves PR-AUC </w:t>
      </w:r>
      <w:r>
        <w:rPr>
          <w:b/>
        </w:rPr>
        <w:t>0.653 → 0.520</w:t>
      </w:r>
      <w:r>
        <w:t xml:space="preserve"> — i.e. the model does </w:t>
      </w:r>
      <w:r>
        <w:rPr>
          <w:b/>
        </w:rPr>
        <w:t>not</w:t>
      </w:r>
      <w:r>
        <w:t xml:space="preserve"> rank these loans as high-risk, so their presence</w:t>
      </w:r>
    </w:p>
    <w:p>
      <w:r>
        <w:t xml:space="preserve">in the negative class is </w:t>
      </w:r>
      <w:r>
        <w:rPr>
          <w:b/>
        </w:rPr>
        <w:t>not</w:t>
      </w:r>
      <w:r>
        <w:t xml:space="preserve"> inflating the headline; the drop shows loans that deteriorate after a clean</w:t>
      </w:r>
    </w:p>
    <w:p>
      <w:r>
        <w:t>origination are genuinely hard to predict at application time. One honest sentence closes the point. The contagion-baseline honesty (a negative result) and the cohort-contamination</w:t>
      </w:r>
    </w:p>
    <w:p>
      <w:r>
        <w:t>acknowledgement cost little and read as maturity.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