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jc w:val="center"/>
      </w:pPr>
      <w:r>
        <w:rPr>
          <w:rFonts w:ascii="Times New Roman" w:cs="Times New Roman" w:eastAsia="Times New Roman" w:hAnsi="Times New Roman"/>
          <w:b w:val="false"/>
          <w:bCs w:val="false"/>
          <w:sz w:val="24"/>
          <w:szCs w:val="24"/>
        </w:rPr>
        <w:t xml:space="preserve">[INSERT ALU LOGO]</w:t>
      </w:r>
    </w:p>
    <w:p>
      <w:pPr>
        <w:spacing w:after="1200"/>
      </w:pPr>
    </w:p>
    <w:p>
      <w:pPr>
        <w:spacing w:after="600" w:line="360"/>
        <w:jc w:val="center"/>
      </w:pPr>
      <w:r>
        <w:rPr>
          <w:rFonts w:ascii="Times New Roman" w:cs="Times New Roman" w:eastAsia="Times New Roman" w:hAnsi="Times New Roman"/>
          <w:b/>
          <w:bCs/>
          <w:sz w:val="32"/>
          <w:szCs w:val="32"/>
        </w:rPr>
        <w:t xml:space="preserve">Evaluating Guarantor Network Features for Explainable Loan Write-Off Prediction at Umwalimu SACCO, Rwanda</w:t>
      </w:r>
    </w:p>
    <w:p>
      <w:pPr>
        <w:spacing w:after="480" w:line="360"/>
        <w:jc w:val="center"/>
      </w:pPr>
      <w:r>
        <w:rPr>
          <w:rFonts w:ascii="Times New Roman" w:cs="Times New Roman" w:eastAsia="Times New Roman" w:hAnsi="Times New Roman"/>
          <w:b w:val="false"/>
          <w:bCs w:val="false"/>
          <w:sz w:val="24"/>
          <w:szCs w:val="24"/>
        </w:rPr>
        <w:t xml:space="preserve">BSc. in Software Engineering</w:t>
      </w:r>
    </w:p>
    <w:p>
      <w:pPr>
        <w:spacing w:after="480" w:line="360"/>
        <w:jc w:val="center"/>
      </w:pPr>
      <w:r>
        <w:rPr>
          <w:rFonts w:ascii="Times New Roman" w:cs="Times New Roman" w:eastAsia="Times New Roman" w:hAnsi="Times New Roman"/>
          <w:b w:val="false"/>
          <w:bCs w:val="false"/>
          <w:sz w:val="24"/>
          <w:szCs w:val="24"/>
        </w:rPr>
        <w:t xml:space="preserve">Best Verie Iradukunda</w:t>
      </w:r>
    </w:p>
    <w:p>
      <w:pPr>
        <w:spacing w:after="480" w:line="360"/>
        <w:jc w:val="center"/>
      </w:pPr>
      <w:r>
        <w:rPr>
          <w:rFonts w:ascii="Times New Roman" w:cs="Times New Roman" w:eastAsia="Times New Roman" w:hAnsi="Times New Roman"/>
          <w:b w:val="false"/>
          <w:bCs w:val="false"/>
          <w:sz w:val="24"/>
          <w:szCs w:val="24"/>
        </w:rPr>
        <w:t xml:space="preserve">[FILL: course name and code]</w:t>
      </w:r>
    </w:p>
    <w:p>
      <w:pPr>
        <w:spacing w:after="480" w:line="360"/>
        <w:jc w:val="center"/>
      </w:pPr>
      <w:r>
        <w:rPr>
          <w:rFonts w:ascii="Times New Roman" w:cs="Times New Roman" w:eastAsia="Times New Roman" w:hAnsi="Times New Roman"/>
          <w:b/>
          <w:bCs/>
          <w:sz w:val="24"/>
          <w:szCs w:val="24"/>
        </w:rPr>
        <w:t xml:space="preserve">Supervisor: Bernard Odartei Lamptey</w:t>
      </w:r>
    </w:p>
    <w:p>
      <w:pPr>
        <w:spacing w:after="240" w:line="360"/>
        <w:jc w:val="center"/>
      </w:pPr>
      <w:r>
        <w:rPr>
          <w:rFonts w:ascii="Times New Roman" w:cs="Times New Roman" w:eastAsia="Times New Roman" w:hAnsi="Times New Roman"/>
          <w:b w:val="false"/>
          <w:bCs w:val="false"/>
          <w:sz w:val="24"/>
          <w:szCs w:val="24"/>
        </w:rPr>
        <w:t xml:space="preserve">2026</w:t>
      </w:r>
    </w:p>
    <w:p>
      <w:pPr>
        <w:pageBreakBefore/>
        <w:spacing w:after="240" w:line="360"/>
        <w:jc w:val="center"/>
      </w:pPr>
      <w:r>
        <w:rPr>
          <w:rFonts w:ascii="Times New Roman" w:cs="Times New Roman" w:eastAsia="Times New Roman" w:hAnsi="Times New Roman"/>
          <w:b/>
          <w:bCs/>
          <w:sz w:val="28"/>
          <w:szCs w:val="28"/>
        </w:rPr>
        <w:t xml:space="preserve">DECLARATION</w:t>
      </w:r>
    </w:p>
    <w:p>
      <w:pPr>
        <w:spacing w:after="120" w:line="360"/>
        <w:jc w:val="both"/>
      </w:pPr>
      <w:r>
        <w:rPr>
          <w:rFonts w:ascii="Times New Roman" w:cs="Times New Roman" w:eastAsia="Times New Roman" w:hAnsi="Times New Roman"/>
          <w:sz w:val="24"/>
          <w:szCs w:val="24"/>
        </w:rPr>
        <w:t xml:space="preserve">This Project Report is my original work, unless stated, and all external sources have been referenced or cited in my document. This work has not been presented for the award of a degree or for any similar purpose in any other university.</w:t>
      </w:r>
    </w:p>
    <w:p>
      <w:pPr>
        <w:spacing w:after="120" w:line="360"/>
        <w:jc w:val="both"/>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sz w:val="24"/>
          <w:szCs w:val="24"/>
        </w:rPr>
        <w:t xml:space="preserve">Signature.............................. Date................................</w:t>
      </w:r>
    </w:p>
    <w:p>
      <w:pPr>
        <w:spacing w:after="120" w:line="360"/>
        <w:jc w:val="left"/>
      </w:pPr>
      <w:r>
        <w:rPr>
          <w:rFonts w:ascii="Times New Roman" w:cs="Times New Roman" w:eastAsia="Times New Roman" w:hAnsi="Times New Roman"/>
          <w:sz w:val="24"/>
          <w:szCs w:val="24"/>
        </w:rPr>
        <w:t xml:space="preserve">Best Verie Iradukunda</w:t>
      </w:r>
    </w:p>
    <w:p>
      <w:pPr>
        <w:pageBreakBefore/>
        <w:spacing w:after="240" w:line="360"/>
        <w:jc w:val="center"/>
      </w:pPr>
      <w:r>
        <w:rPr>
          <w:rFonts w:ascii="Times New Roman" w:cs="Times New Roman" w:eastAsia="Times New Roman" w:hAnsi="Times New Roman"/>
          <w:b/>
          <w:bCs/>
          <w:sz w:val="28"/>
          <w:szCs w:val="28"/>
        </w:rPr>
        <w:t xml:space="preserve">CERTIFICATION</w:t>
      </w:r>
    </w:p>
    <w:p>
      <w:pPr>
        <w:spacing w:after="120" w:line="360"/>
        <w:jc w:val="both"/>
      </w:pPr>
      <w:r>
        <w:rPr>
          <w:rFonts w:ascii="Times New Roman" w:cs="Times New Roman" w:eastAsia="Times New Roman" w:hAnsi="Times New Roman"/>
          <w:sz w:val="24"/>
          <w:szCs w:val="24"/>
        </w:rPr>
        <w:t xml:space="preserve">The undersigned certifies that he has read and hereby recommends for acceptance by African Leadership University a report entitled "Evaluating Guarantor Network Features for Explainable Loan Write-Off Prediction at Umwalimu SACCO, Rwanda".</w:t>
      </w:r>
    </w:p>
    <w:p>
      <w:pPr>
        <w:spacing w:after="120" w:line="360"/>
        <w:jc w:val="both"/>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sz w:val="24"/>
          <w:szCs w:val="24"/>
        </w:rPr>
        <w:t xml:space="preserve">Signature........................... Date...............................</w:t>
      </w:r>
    </w:p>
    <w:p>
      <w:pPr>
        <w:spacing w:after="120" w:line="360"/>
        <w:jc w:val="left"/>
      </w:pPr>
      <w:r>
        <w:rPr>
          <w:rFonts w:ascii="Times New Roman" w:cs="Times New Roman" w:eastAsia="Times New Roman" w:hAnsi="Times New Roman"/>
          <w:sz w:val="24"/>
          <w:szCs w:val="24"/>
        </w:rPr>
        <w:t xml:space="preserve">Mr. Bernard Odartei Lamptey</w:t>
      </w:r>
    </w:p>
    <w:p>
      <w:pPr>
        <w:spacing w:after="120" w:line="360"/>
        <w:jc w:val="left"/>
      </w:pPr>
      <w:r>
        <w:rPr>
          <w:rFonts w:ascii="Times New Roman" w:cs="Times New Roman" w:eastAsia="Times New Roman" w:hAnsi="Times New Roman"/>
          <w:sz w:val="24"/>
          <w:szCs w:val="24"/>
        </w:rPr>
        <w:t xml:space="preserve">Faculty, Bachelor of Software Engineering, ALU</w:t>
      </w:r>
    </w:p>
    <w:p>
      <w:pPr>
        <w:pageBreakBefore/>
        <w:spacing w:after="240" w:line="360"/>
        <w:jc w:val="center"/>
      </w:pPr>
      <w:r>
        <w:rPr>
          <w:rFonts w:ascii="Times New Roman" w:cs="Times New Roman" w:eastAsia="Times New Roman" w:hAnsi="Times New Roman"/>
          <w:b/>
          <w:bCs/>
          <w:sz w:val="28"/>
          <w:szCs w:val="28"/>
        </w:rPr>
        <w:t xml:space="preserve">DEDICATION AND ACKNOWLEDGEMENT</w:t>
      </w:r>
    </w:p>
    <w:p>
      <w:pPr>
        <w:spacing w:after="120" w:line="360"/>
        <w:jc w:val="both"/>
      </w:pPr>
      <w:r>
        <w:rPr>
          <w:rFonts w:ascii="Times New Roman" w:cs="Times New Roman" w:eastAsia="Times New Roman" w:hAnsi="Times New Roman"/>
          <w:sz w:val="24"/>
          <w:szCs w:val="24"/>
        </w:rPr>
        <w:t xml:space="preserve">To Umwalimu SACCO, for trusting an undergraduate with its real records; this work exists because you opened the door.</w:t>
      </w:r>
    </w:p>
    <w:p>
      <w:pPr>
        <w:spacing w:after="120" w:line="360"/>
        <w:jc w:val="both"/>
      </w:pPr>
      <w:r>
        <w:rPr>
          <w:rFonts w:ascii="Times New Roman" w:cs="Times New Roman" w:eastAsia="Times New Roman" w:hAnsi="Times New Roman"/>
          <w:sz w:val="24"/>
          <w:szCs w:val="24"/>
        </w:rPr>
        <w:t xml:space="preserve">To the Mastercard Foundation, whose scholarship carried me to and through this degree.</w:t>
      </w:r>
    </w:p>
    <w:p>
      <w:pPr>
        <w:spacing w:after="120" w:line="360"/>
        <w:jc w:val="both"/>
      </w:pPr>
      <w:r>
        <w:rPr>
          <w:rFonts w:ascii="Times New Roman" w:cs="Times New Roman" w:eastAsia="Times New Roman" w:hAnsi="Times New Roman"/>
          <w:sz w:val="24"/>
          <w:szCs w:val="24"/>
        </w:rPr>
        <w:t xml:space="preserve">And to my grandmother, resting in heaven, who believed in me first.</w:t>
      </w:r>
    </w:p>
    <w:p>
      <w:pPr>
        <w:spacing w:after="120" w:line="360"/>
        <w:jc w:val="both"/>
      </w:pPr>
      <w:r>
        <w:rPr>
          <w:rFonts w:ascii="Times New Roman" w:cs="Times New Roman" w:eastAsia="Times New Roman" w:hAnsi="Times New Roman"/>
          <w:b/>
          <w:bCs/>
          <w:sz w:val="24"/>
          <w:szCs w:val="24"/>
          <w:highlight w:val="yellow"/>
          <w:highlightCs w:val="yellow"/>
        </w:rPr>
        <w:t xml:space="preserve">[FILL: add any further acknowledgements you wish, e.g. supervisor, family, friends]</w:t>
      </w:r>
    </w:p>
    <w:p>
      <w:pPr>
        <w:pageBreakBefore/>
        <w:spacing w:after="240" w:line="360"/>
        <w:jc w:val="center"/>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Savings and Credit Cooperatives (SACCOs) are central to Rwanda's financial inclusion, yet problem loans remain persistently higher in the SACCO sub-sector than in the banking sector, whose non-performing-loan ratio stood at 2.5% in December 2025 (National Bank of Rwanda, 2026) against SACCO-sector estimates of about 12.5% (Nsengiyumva &amp; Harelimana, 2020). Umwalimu SACCO collateralises its Emergency on Savings loans with member guarantees and savings, but each loan is assessed individually and the structure of the guarantor network is never analysed. This study modelled the guarantor relationships of Umwalimu SACCO as a directed network over 11,015 closed loans from 11 branches (2022-2023), of which 226 (2.1%) were written off, engineered 11 borrower and 7 guarantor-network features strictly as of each loan's disbursement date, and compared borrower-only against network-augmented XGBoost models under borrower-grouped cross-validation. The deployed, isotonic-calibrated, monotone-constrained model ranked write-off risk at ROC-AUC 0.924 (PR-AUC 0.519) and caught about 80% of write-offs at a recall-first operating threshold. Network features were predictive on their own (PR-AUC 0.218 against a 0.021 base rate), but their incremental lift over borrower features was within noise, consistent with homophily. The deliverable is GuarantorLens, a deployed, explainable decision-support tool that presents each score with SHAP-derived plain-language reasons and guarantor-network warnings, within a human-in-the-loop workflow in which the officer proposes and the credit manager decides.</w:t>
      </w:r>
    </w:p>
    <w:p>
      <w:pPr>
        <w:pageBreakBefore/>
        <w:spacing w:after="240" w:line="36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line="360"/>
        <w:jc w:val="left"/>
      </w:pPr>
      <w:r>
        <w:rPr>
          <w:rFonts w:ascii="Times New Roman" w:cs="Times New Roman" w:eastAsia="Times New Roman" w:hAnsi="Times New Roman"/>
          <w:b/>
          <w:bCs/>
          <w:sz w:val="24"/>
          <w:szCs w:val="24"/>
          <w:highlight w:val="yellow"/>
          <w:highlightCs w:val="yellow"/>
        </w:rPr>
        <w:t xml:space="preserve">[In Word: right-click the table and choose "Update Field" to populate it.]</w:t>
      </w:r>
    </w:p>
    <w:p>
      <w:pPr>
        <w:pageBreakBefore/>
        <w:spacing w:after="240" w:line="360"/>
        <w:jc w:val="center"/>
      </w:pPr>
      <w:r>
        <w:rPr>
          <w:rFonts w:ascii="Times New Roman" w:cs="Times New Roman" w:eastAsia="Times New Roman" w:hAnsi="Times New Roman"/>
          <w:b/>
          <w:bCs/>
          <w:sz w:val="28"/>
          <w:szCs w:val="28"/>
        </w:rPr>
        <w:t xml:space="preserve">LIST OF TABLES</w:t>
      </w:r>
    </w:p>
    <w:p>
      <w:pPr>
        <w:spacing w:after="60" w:line="360"/>
        <w:jc w:val="left"/>
      </w:pPr>
      <w:r>
        <w:rPr>
          <w:rFonts w:ascii="Times New Roman" w:cs="Times New Roman" w:eastAsia="Times New Roman" w:hAnsi="Times New Roman"/>
          <w:sz w:val="24"/>
          <w:szCs w:val="24"/>
        </w:rPr>
        <w:t xml:space="preserve">Table 1.1: Research Budget</w:t>
      </w:r>
    </w:p>
    <w:p>
      <w:pPr>
        <w:spacing w:after="60" w:line="360"/>
        <w:jc w:val="left"/>
      </w:pPr>
      <w:r>
        <w:rPr>
          <w:rFonts w:ascii="Times New Roman" w:cs="Times New Roman" w:eastAsia="Times New Roman" w:hAnsi="Times New Roman"/>
          <w:sz w:val="24"/>
          <w:szCs w:val="24"/>
        </w:rPr>
        <w:t xml:space="preserve">Table 2.1: Summary of Reviewed Literature</w:t>
      </w:r>
    </w:p>
    <w:p>
      <w:pPr>
        <w:spacing w:after="60" w:line="360"/>
        <w:jc w:val="left"/>
      </w:pPr>
      <w:r>
        <w:rPr>
          <w:rFonts w:ascii="Times New Roman" w:cs="Times New Roman" w:eastAsia="Times New Roman" w:hAnsi="Times New Roman"/>
          <w:sz w:val="24"/>
          <w:szCs w:val="24"/>
        </w:rPr>
        <w:t xml:space="preserve">Table 2.2: Strengths and Weaknesses of Existing Systems versus the Proposed System</w:t>
      </w:r>
    </w:p>
    <w:p>
      <w:pPr>
        <w:spacing w:after="60" w:line="360"/>
        <w:jc w:val="left"/>
      </w:pPr>
      <w:r>
        <w:rPr>
          <w:rFonts w:ascii="Times New Roman" w:cs="Times New Roman" w:eastAsia="Times New Roman" w:hAnsi="Times New Roman"/>
          <w:sz w:val="24"/>
          <w:szCs w:val="24"/>
        </w:rPr>
        <w:t xml:space="preserve">Table 3.1: Dataset description</w:t>
      </w:r>
    </w:p>
    <w:p>
      <w:pPr>
        <w:spacing w:after="60" w:line="360"/>
        <w:jc w:val="left"/>
      </w:pPr>
      <w:r>
        <w:rPr>
          <w:rFonts w:ascii="Times New Roman" w:cs="Times New Roman" w:eastAsia="Times New Roman" w:hAnsi="Times New Roman"/>
          <w:sz w:val="24"/>
          <w:szCs w:val="24"/>
        </w:rPr>
        <w:t xml:space="preserve">Table 3.2: Feature set (18 features)</w:t>
      </w:r>
    </w:p>
    <w:p>
      <w:pPr>
        <w:spacing w:after="60" w:line="360"/>
        <w:jc w:val="left"/>
      </w:pPr>
      <w:r>
        <w:rPr>
          <w:rFonts w:ascii="Times New Roman" w:cs="Times New Roman" w:eastAsia="Times New Roman" w:hAnsi="Times New Roman"/>
          <w:sz w:val="24"/>
          <w:szCs w:val="24"/>
        </w:rPr>
        <w:t xml:space="preserve">Table 3.3: Guarantor-network feature definitions</w:t>
      </w:r>
    </w:p>
    <w:p>
      <w:pPr>
        <w:spacing w:after="60" w:line="360"/>
        <w:jc w:val="left"/>
      </w:pPr>
      <w:r>
        <w:rPr>
          <w:rFonts w:ascii="Times New Roman" w:cs="Times New Roman" w:eastAsia="Times New Roman" w:hAnsi="Times New Roman"/>
          <w:sz w:val="24"/>
          <w:szCs w:val="24"/>
        </w:rPr>
        <w:t xml:space="preserve">Table 3.4: Leakage screen: blocked fields versus the admitted feature set</w:t>
      </w:r>
    </w:p>
    <w:p>
      <w:pPr>
        <w:spacing w:after="60" w:line="360"/>
        <w:jc w:val="left"/>
      </w:pPr>
      <w:r>
        <w:rPr>
          <w:rFonts w:ascii="Times New Roman" w:cs="Times New Roman" w:eastAsia="Times New Roman" w:hAnsi="Times New Roman"/>
          <w:sz w:val="24"/>
          <w:szCs w:val="24"/>
        </w:rPr>
        <w:t xml:space="preserve">Table 3.5: Functional requirements</w:t>
      </w:r>
    </w:p>
    <w:p>
      <w:pPr>
        <w:spacing w:after="60" w:line="360"/>
        <w:jc w:val="left"/>
      </w:pPr>
      <w:r>
        <w:rPr>
          <w:rFonts w:ascii="Times New Roman" w:cs="Times New Roman" w:eastAsia="Times New Roman" w:hAnsi="Times New Roman"/>
          <w:sz w:val="24"/>
          <w:szCs w:val="24"/>
        </w:rPr>
        <w:t xml:space="preserve">Table 3.6: Non-functional requirements</w:t>
      </w:r>
    </w:p>
    <w:p>
      <w:pPr>
        <w:spacing w:after="60" w:line="360"/>
        <w:jc w:val="left"/>
      </w:pPr>
      <w:r>
        <w:rPr>
          <w:rFonts w:ascii="Times New Roman" w:cs="Times New Roman" w:eastAsia="Times New Roman" w:hAnsi="Times New Roman"/>
          <w:sz w:val="24"/>
          <w:szCs w:val="24"/>
        </w:rPr>
        <w:t xml:space="preserve">Table 3.7: Key concepts in plain terms</w:t>
      </w:r>
    </w:p>
    <w:p>
      <w:pPr>
        <w:spacing w:after="60" w:line="360"/>
        <w:jc w:val="left"/>
      </w:pPr>
      <w:r>
        <w:rPr>
          <w:rFonts w:ascii="Times New Roman" w:cs="Times New Roman" w:eastAsia="Times New Roman" w:hAnsi="Times New Roman"/>
          <w:sz w:val="24"/>
          <w:szCs w:val="24"/>
        </w:rPr>
        <w:t xml:space="preserve">Table 3.8: Development tools</w:t>
      </w:r>
    </w:p>
    <w:p>
      <w:pPr>
        <w:spacing w:after="60" w:line="360"/>
        <w:jc w:val="left"/>
      </w:pPr>
      <w:r>
        <w:rPr>
          <w:rFonts w:ascii="Times New Roman" w:cs="Times New Roman" w:eastAsia="Times New Roman" w:hAnsi="Times New Roman"/>
          <w:sz w:val="24"/>
          <w:szCs w:val="24"/>
        </w:rPr>
        <w:t xml:space="preserve">Table 4.1: Functional test scenarios and asserted outcomes</w:t>
      </w:r>
    </w:p>
    <w:p>
      <w:pPr>
        <w:spacing w:after="60" w:line="360"/>
        <w:jc w:val="left"/>
      </w:pPr>
      <w:r>
        <w:rPr>
          <w:rFonts w:ascii="Times New Roman" w:cs="Times New Roman" w:eastAsia="Times New Roman" w:hAnsi="Times New Roman"/>
          <w:sz w:val="24"/>
          <w:szCs w:val="24"/>
        </w:rPr>
        <w:t xml:space="preserve">Table 4.2: Automated test summary</w:t>
      </w:r>
    </w:p>
    <w:p>
      <w:pPr>
        <w:spacing w:after="60" w:line="360"/>
        <w:jc w:val="left"/>
      </w:pPr>
      <w:r>
        <w:rPr>
          <w:rFonts w:ascii="Times New Roman" w:cs="Times New Roman" w:eastAsia="Times New Roman" w:hAnsi="Times New Roman"/>
          <w:sz w:val="24"/>
          <w:szCs w:val="24"/>
        </w:rPr>
        <w:t xml:space="preserve">Table 5.1: Feature-set comparison (out-of-fold)</w:t>
      </w:r>
    </w:p>
    <w:p>
      <w:pPr>
        <w:spacing w:after="60" w:line="360"/>
        <w:jc w:val="left"/>
      </w:pPr>
      <w:r>
        <w:rPr>
          <w:rFonts w:ascii="Times New Roman" w:cs="Times New Roman" w:eastAsia="Times New Roman" w:hAnsi="Times New Roman"/>
          <w:sz w:val="24"/>
          <w:szCs w:val="24"/>
        </w:rPr>
        <w:t xml:space="preserve">Table 5.2: Best configuration per model family (CV PR-AUC)</w:t>
      </w:r>
    </w:p>
    <w:p>
      <w:pPr>
        <w:spacing w:after="60" w:line="360"/>
        <w:jc w:val="left"/>
      </w:pPr>
      <w:r>
        <w:rPr>
          <w:rFonts w:ascii="Times New Roman" w:cs="Times New Roman" w:eastAsia="Times New Roman" w:hAnsi="Times New Roman"/>
          <w:sz w:val="24"/>
          <w:szCs w:val="24"/>
        </w:rPr>
        <w:t xml:space="preserve">Table 5.3: Imbalance-handling strategies (PR-AUC)</w:t>
      </w:r>
    </w:p>
    <w:p>
      <w:pPr>
        <w:spacing w:after="60" w:line="360"/>
        <w:jc w:val="left"/>
      </w:pPr>
      <w:r>
        <w:rPr>
          <w:rFonts w:ascii="Times New Roman" w:cs="Times New Roman" w:eastAsia="Times New Roman" w:hAnsi="Times New Roman"/>
          <w:sz w:val="24"/>
          <w:szCs w:val="24"/>
        </w:rPr>
        <w:t xml:space="preserve">Table 5.4: Confusion matrix at the operating threshold</w:t>
      </w:r>
    </w:p>
    <w:p>
      <w:pPr>
        <w:spacing w:after="60" w:line="360"/>
        <w:jc w:val="left"/>
      </w:pPr>
      <w:r>
        <w:rPr>
          <w:rFonts w:ascii="Times New Roman" w:cs="Times New Roman" w:eastAsia="Times New Roman" w:hAnsi="Times New Roman"/>
          <w:sz w:val="24"/>
          <w:szCs w:val="24"/>
        </w:rPr>
        <w:t xml:space="preserve">Table 6.1: Objectives and evidence</w:t>
      </w:r>
    </w:p>
    <w:p>
      <w:pPr>
        <w:pageBreakBefore/>
        <w:spacing w:after="240" w:line="360"/>
        <w:jc w:val="center"/>
      </w:pPr>
      <w:r>
        <w:rPr>
          <w:rFonts w:ascii="Times New Roman" w:cs="Times New Roman" w:eastAsia="Times New Roman" w:hAnsi="Times New Roman"/>
          <w:b/>
          <w:bCs/>
          <w:sz w:val="28"/>
          <w:szCs w:val="28"/>
        </w:rPr>
        <w:t xml:space="preserve">LIST OF FIGURES</w:t>
      </w:r>
    </w:p>
    <w:p>
      <w:pPr>
        <w:spacing w:after="60" w:line="360"/>
        <w:jc w:val="left"/>
      </w:pPr>
      <w:r>
        <w:rPr>
          <w:rFonts w:ascii="Times New Roman" w:cs="Times New Roman" w:eastAsia="Times New Roman" w:hAnsi="Times New Roman"/>
          <w:sz w:val="24"/>
          <w:szCs w:val="24"/>
        </w:rPr>
        <w:t xml:space="preserve">Figure 1.1: Research timeline (Gantt chart)</w:t>
      </w:r>
    </w:p>
    <w:p>
      <w:pPr>
        <w:spacing w:after="60" w:line="360"/>
        <w:jc w:val="left"/>
      </w:pPr>
      <w:r>
        <w:rPr>
          <w:rFonts w:ascii="Times New Roman" w:cs="Times New Roman" w:eastAsia="Times New Roman" w:hAnsi="Times New Roman"/>
          <w:sz w:val="24"/>
          <w:szCs w:val="24"/>
        </w:rPr>
        <w:t xml:space="preserve">Figure 3.1: Cohort size, class balance, and distributions</w:t>
      </w:r>
    </w:p>
    <w:p>
      <w:pPr>
        <w:spacing w:after="60" w:line="360"/>
        <w:jc w:val="left"/>
      </w:pPr>
      <w:r>
        <w:rPr>
          <w:rFonts w:ascii="Times New Roman" w:cs="Times New Roman" w:eastAsia="Times New Roman" w:hAnsi="Times New Roman"/>
          <w:sz w:val="24"/>
          <w:szCs w:val="24"/>
        </w:rPr>
        <w:t xml:space="preserve">Figure 3.2: Leakage evidence (blocked post-outcome features)</w:t>
      </w:r>
    </w:p>
    <w:p>
      <w:pPr>
        <w:spacing w:after="60" w:line="360"/>
        <w:jc w:val="left"/>
      </w:pPr>
      <w:r>
        <w:rPr>
          <w:rFonts w:ascii="Times New Roman" w:cs="Times New Roman" w:eastAsia="Times New Roman" w:hAnsi="Times New Roman"/>
          <w:sz w:val="24"/>
          <w:szCs w:val="24"/>
        </w:rPr>
        <w:t xml:space="preserve">Figure 3.3: Machine-learning pipeline</w:t>
      </w:r>
    </w:p>
    <w:p>
      <w:pPr>
        <w:spacing w:after="60" w:line="360"/>
        <w:jc w:val="left"/>
      </w:pPr>
      <w:r>
        <w:rPr>
          <w:rFonts w:ascii="Times New Roman" w:cs="Times New Roman" w:eastAsia="Times New Roman" w:hAnsi="Times New Roman"/>
          <w:sz w:val="24"/>
          <w:szCs w:val="24"/>
        </w:rPr>
        <w:t xml:space="preserve">Figure 3.4: System architecture</w:t>
      </w:r>
    </w:p>
    <w:p>
      <w:pPr>
        <w:spacing w:after="60" w:line="360"/>
        <w:jc w:val="left"/>
      </w:pPr>
      <w:r>
        <w:rPr>
          <w:rFonts w:ascii="Times New Roman" w:cs="Times New Roman" w:eastAsia="Times New Roman" w:hAnsi="Times New Roman"/>
          <w:sz w:val="24"/>
          <w:szCs w:val="24"/>
        </w:rPr>
        <w:t xml:space="preserve">Figure 3.5: Use-case diagram</w:t>
      </w:r>
    </w:p>
    <w:p>
      <w:pPr>
        <w:spacing w:after="60" w:line="360"/>
        <w:jc w:val="left"/>
      </w:pPr>
      <w:r>
        <w:rPr>
          <w:rFonts w:ascii="Times New Roman" w:cs="Times New Roman" w:eastAsia="Times New Roman" w:hAnsi="Times New Roman"/>
          <w:sz w:val="24"/>
          <w:szCs w:val="24"/>
        </w:rPr>
        <w:t xml:space="preserve">Figure 3.6: Class diagram (backend domain and services)</w:t>
      </w:r>
    </w:p>
    <w:p>
      <w:pPr>
        <w:spacing w:after="60" w:line="360"/>
        <w:jc w:val="left"/>
      </w:pPr>
      <w:r>
        <w:rPr>
          <w:rFonts w:ascii="Times New Roman" w:cs="Times New Roman" w:eastAsia="Times New Roman" w:hAnsi="Times New Roman"/>
          <w:sz w:val="24"/>
          <w:szCs w:val="24"/>
        </w:rPr>
        <w:t xml:space="preserve">Figure 3.7: Entity-relationship diagram</w:t>
      </w:r>
    </w:p>
    <w:p>
      <w:pPr>
        <w:spacing w:after="60" w:line="360"/>
        <w:jc w:val="left"/>
      </w:pPr>
      <w:r>
        <w:rPr>
          <w:rFonts w:ascii="Times New Roman" w:cs="Times New Roman" w:eastAsia="Times New Roman" w:hAnsi="Times New Roman"/>
          <w:sz w:val="24"/>
          <w:szCs w:val="24"/>
        </w:rPr>
        <w:t xml:space="preserve">Figure 3.8: Data-flow diagram (level 1)</w:t>
      </w:r>
    </w:p>
    <w:p>
      <w:pPr>
        <w:spacing w:after="60" w:line="360"/>
        <w:jc w:val="left"/>
      </w:pPr>
      <w:r>
        <w:rPr>
          <w:rFonts w:ascii="Times New Roman" w:cs="Times New Roman" w:eastAsia="Times New Roman" w:hAnsi="Times New Roman"/>
          <w:sz w:val="24"/>
          <w:szCs w:val="24"/>
        </w:rPr>
        <w:t xml:space="preserve">Figure 3.9: Sequence diagram (assess a loan)</w:t>
      </w:r>
    </w:p>
    <w:p>
      <w:pPr>
        <w:spacing w:after="60" w:line="360"/>
        <w:jc w:val="left"/>
      </w:pPr>
      <w:r>
        <w:rPr>
          <w:rFonts w:ascii="Times New Roman" w:cs="Times New Roman" w:eastAsia="Times New Roman" w:hAnsi="Times New Roman"/>
          <w:sz w:val="24"/>
          <w:szCs w:val="24"/>
        </w:rPr>
        <w:t xml:space="preserve">Figure 5.1: ROC and precision-recall curves</w:t>
      </w:r>
    </w:p>
    <w:p>
      <w:pPr>
        <w:spacing w:after="60" w:line="360"/>
        <w:jc w:val="left"/>
      </w:pPr>
      <w:r>
        <w:rPr>
          <w:rFonts w:ascii="Times New Roman" w:cs="Times New Roman" w:eastAsia="Times New Roman" w:hAnsi="Times New Roman"/>
          <w:sz w:val="24"/>
          <w:szCs w:val="24"/>
        </w:rPr>
        <w:t xml:space="preserve">Figure 5.2: PR-AUC by model family and feature set</w:t>
      </w:r>
    </w:p>
    <w:p>
      <w:pPr>
        <w:spacing w:after="60" w:line="360"/>
        <w:jc w:val="left"/>
      </w:pPr>
      <w:r>
        <w:rPr>
          <w:rFonts w:ascii="Times New Roman" w:cs="Times New Roman" w:eastAsia="Times New Roman" w:hAnsi="Times New Roman"/>
          <w:sz w:val="24"/>
          <w:szCs w:val="24"/>
        </w:rPr>
        <w:t xml:space="preserve">Figure 5.3: Class weighting vs SMOTE variants</w:t>
      </w:r>
    </w:p>
    <w:p>
      <w:pPr>
        <w:spacing w:after="60" w:line="360"/>
        <w:jc w:val="left"/>
      </w:pPr>
      <w:r>
        <w:rPr>
          <w:rFonts w:ascii="Times New Roman" w:cs="Times New Roman" w:eastAsia="Times New Roman" w:hAnsi="Times New Roman"/>
          <w:sz w:val="24"/>
          <w:szCs w:val="24"/>
        </w:rPr>
        <w:t xml:space="preserve">Figure 5.4: Confusion matrix, deployed model at the 80% recall point</w:t>
      </w:r>
    </w:p>
    <w:p>
      <w:pPr>
        <w:spacing w:after="60" w:line="360"/>
        <w:jc w:val="left"/>
      </w:pPr>
      <w:r>
        <w:rPr>
          <w:rFonts w:ascii="Times New Roman" w:cs="Times New Roman" w:eastAsia="Times New Roman" w:hAnsi="Times New Roman"/>
          <w:sz w:val="24"/>
          <w:szCs w:val="24"/>
        </w:rPr>
        <w:t xml:space="preserve">Figure 5.5: Confusion matrix, selected model before the realism constraint</w:t>
      </w:r>
    </w:p>
    <w:p>
      <w:pPr>
        <w:spacing w:after="60" w:line="360"/>
        <w:jc w:val="left"/>
      </w:pPr>
      <w:r>
        <w:rPr>
          <w:rFonts w:ascii="Times New Roman" w:cs="Times New Roman" w:eastAsia="Times New Roman" w:hAnsi="Times New Roman"/>
          <w:sz w:val="24"/>
          <w:szCs w:val="24"/>
        </w:rPr>
        <w:t xml:space="preserve">Figure 5.6: SHAP feature importance and direction</w:t>
      </w:r>
    </w:p>
    <w:p>
      <w:pPr>
        <w:spacing w:after="60" w:line="360"/>
        <w:jc w:val="left"/>
      </w:pPr>
      <w:r>
        <w:rPr>
          <w:rFonts w:ascii="Times New Roman" w:cs="Times New Roman" w:eastAsia="Times New Roman" w:hAnsi="Times New Roman"/>
          <w:sz w:val="24"/>
          <w:szCs w:val="24"/>
        </w:rPr>
        <w:t xml:space="preserve">Figure 5.7: Predicted vs observed write-off rate (calibration)</w:t>
      </w:r>
    </w:p>
    <w:p>
      <w:pPr>
        <w:spacing w:after="60" w:line="360"/>
        <w:jc w:val="left"/>
      </w:pPr>
      <w:r>
        <w:rPr>
          <w:rFonts w:ascii="Times New Roman" w:cs="Times New Roman" w:eastAsia="Times New Roman" w:hAnsi="Times New Roman"/>
          <w:sz w:val="24"/>
          <w:szCs w:val="24"/>
        </w:rPr>
        <w:t xml:space="preserve">Figure 5.8: Anomaly detectors vs the supervised model</w:t>
      </w:r>
    </w:p>
    <w:p>
      <w:pPr>
        <w:pageBreakBefore/>
        <w:spacing w:after="240" w:line="360"/>
        <w:jc w:val="center"/>
      </w:pPr>
      <w:r>
        <w:rPr>
          <w:rFonts w:ascii="Times New Roman" w:cs="Times New Roman" w:eastAsia="Times New Roman" w:hAnsi="Times New Roman"/>
          <w:b/>
          <w:bCs/>
          <w:sz w:val="28"/>
          <w:szCs w:val="28"/>
        </w:rPr>
        <w:t xml:space="preserve">LIST OF ACRONYMS/ABBREVIATIONS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Acronym</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Meaning</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API</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Application Programming Interface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AUC</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Area Under the Curve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CRISP-DM</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Cross-Industry Standard Process for Data Mining</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CV</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Cross-Validation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DFD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Data-Flow Diagram</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ERD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Entity-Relationship Diagram</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 / NFR</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Functional / Non-Functional Requirement</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JWT</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JSON Web Token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ML</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Machine Learning</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MLP</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Multi-Layer Perceptron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NPL</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Non-Performing Loan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PR-AUC</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Area Under the Precision-Recall Curve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ROC-AUC</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Area Under the Receiver Operating Characteristic Curve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SACCO</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Savings and Credit Cooperative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SHAP</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SHapley Additive exPlanations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SMOTE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Synthetic Minority Over-sampling Technique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SQL</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Structured Query Language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UML</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Unified Modeling Language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XGBoost</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Extreme Gradient Boosting</w:t>
            </w:r>
          </w:p>
        </w:tc>
      </w:tr>
    </w:tbl>
    <w:p>
      <w:pPr>
        <w:pStyle w:val="Heading1"/>
        <w:pageBreakBefore/>
        <w:spacing w:after="180" w:before="0" w:line="360"/>
      </w:pPr>
      <w:r>
        <w:rPr>
          <w:rFonts w:ascii="Times New Roman" w:cs="Times New Roman" w:eastAsia="Times New Roman" w:hAnsi="Times New Roman"/>
          <w:b/>
          <w:bCs/>
          <w:sz w:val="32"/>
          <w:szCs w:val="32"/>
        </w:rPr>
        <w:t xml:space="preserve">CHAPTER ONE: INTRODUCTION</w:t>
      </w:r>
    </w:p>
    <w:p>
      <w:pPr>
        <w:pStyle w:val="Heading2"/>
        <w:spacing w:after="180" w:before="240" w:line="360"/>
      </w:pPr>
      <w:r>
        <w:rPr>
          <w:rFonts w:ascii="Times New Roman" w:cs="Times New Roman" w:eastAsia="Times New Roman" w:hAnsi="Times New Roman"/>
          <w:b/>
          <w:bCs/>
          <w:sz w:val="28"/>
          <w:szCs w:val="28"/>
        </w:rPr>
        <w:t xml:space="preserve">1.1 Introduction and Background</w:t>
      </w:r>
    </w:p>
    <w:p>
      <w:pPr>
        <w:spacing w:after="120" w:line="360"/>
        <w:jc w:val="both"/>
      </w:pPr>
      <w:r>
        <w:rPr>
          <w:rFonts w:ascii="Times New Roman" w:cs="Times New Roman" w:eastAsia="Times New Roman" w:hAnsi="Times New Roman"/>
          <w:sz w:val="24"/>
          <w:szCs w:val="24"/>
        </w:rPr>
        <w:t xml:space="preserve">Rwanda's financial inclusion rose from 93% in 2020 to 96% in 2024, about 7.8 million adults (MINECOFIN, 2024), with digital financial services growing from 30% to 73% of adults over the same period (Access to Finance Rwanda, 2024). A large share of this inclusion is delivered through cooperatives, notably the Umurenge SACCO programme created under Vision 2020 to reach citizens underserved by banks (Rwanda Cooperative Agency, n.d.).</w:t>
      </w:r>
    </w:p>
    <w:p>
      <w:pPr>
        <w:spacing w:after="120" w:line="360"/>
        <w:jc w:val="both"/>
      </w:pPr>
      <w:r>
        <w:rPr>
          <w:rFonts w:ascii="Times New Roman" w:cs="Times New Roman" w:eastAsia="Times New Roman" w:hAnsi="Times New Roman"/>
          <w:sz w:val="24"/>
          <w:szCs w:val="24"/>
        </w:rPr>
        <w:t xml:space="preserve">This study was conducted at Umwalimu SACCO, the national teachers' cooperative, created in June 2006 and licensed by the National Bank of Rwanda in February 2008 (Umwalimu SACCO, n.d.-a). Members save five percent of their net monthly salary through a check-off system and access a portfolio of loan products, typically at 11% per annum for public teachers and 14% for private teachers (Kawera, 2021; Umwalimu SACCO, n.d.-b); by 2014 the cooperative already ran thirty branches across the country's districts with about 70,000 members (AllAfrica, 2014) </w:t>
      </w:r>
      <w:r>
        <w:rPr>
          <w:rFonts w:ascii="Times New Roman" w:cs="Times New Roman" w:eastAsia="Times New Roman" w:hAnsi="Times New Roman"/>
          <w:b/>
          <w:bCs/>
          <w:sz w:val="24"/>
          <w:szCs w:val="24"/>
          <w:highlight w:val="yellow"/>
          <w:highlightCs w:val="yellow"/>
        </w:rPr>
        <w:t xml:space="preserve">[VERIFY: open the article and confirm the branch and membership figures appear in it]</w:t>
      </w:r>
      <w:r>
        <w:rPr>
          <w:rFonts w:ascii="Times New Roman" w:cs="Times New Roman" w:eastAsia="Times New Roman" w:hAnsi="Times New Roman"/>
          <w:sz w:val="24"/>
          <w:szCs w:val="24"/>
        </w:rPr>
        <w:t xml:space="preserve">. The product this study examined, the Emergency on Savings loan, carries a two-year repayment period and is collateralised by the borrower's guarantors and savings rather than by physical assets, which other products require; guarantors become liable if the borrower fails to repay, subject to eligibility rules that include a cap of eight active guarantees per member (from an informal discussion with a member of the SACCO's IT operations staff, May 2026).</w:t>
      </w:r>
    </w:p>
    <w:p>
      <w:pPr>
        <w:spacing w:after="120" w:line="360"/>
        <w:jc w:val="both"/>
      </w:pPr>
      <w:r>
        <w:rPr>
          <w:rFonts w:ascii="Times New Roman" w:cs="Times New Roman" w:eastAsia="Times New Roman" w:hAnsi="Times New Roman"/>
          <w:sz w:val="24"/>
          <w:szCs w:val="24"/>
        </w:rPr>
        <w:t xml:space="preserve">This report distinguishes three related terms. A loan is in </w:t>
      </w:r>
      <w:r>
        <w:rPr>
          <w:rFonts w:ascii="Times New Roman" w:cs="Times New Roman" w:eastAsia="Times New Roman" w:hAnsi="Times New Roman"/>
          <w:i/>
          <w:iCs/>
          <w:sz w:val="24"/>
          <w:szCs w:val="24"/>
        </w:rPr>
        <w:t xml:space="preserve">default</w:t>
      </w:r>
      <w:r>
        <w:rPr>
          <w:rFonts w:ascii="Times New Roman" w:cs="Times New Roman" w:eastAsia="Times New Roman" w:hAnsi="Times New Roman"/>
          <w:sz w:val="24"/>
          <w:szCs w:val="24"/>
        </w:rPr>
        <w:t xml:space="preserve"> when payments are missed; a </w:t>
      </w:r>
      <w:r>
        <w:rPr>
          <w:rFonts w:ascii="Times New Roman" w:cs="Times New Roman" w:eastAsia="Times New Roman" w:hAnsi="Times New Roman"/>
          <w:i/>
          <w:iCs/>
          <w:sz w:val="24"/>
          <w:szCs w:val="24"/>
        </w:rPr>
        <w:t xml:space="preserve">non-performing loan</w:t>
      </w:r>
      <w:r>
        <w:rPr>
          <w:rFonts w:ascii="Times New Roman" w:cs="Times New Roman" w:eastAsia="Times New Roman" w:hAnsi="Times New Roman"/>
          <w:sz w:val="24"/>
          <w:szCs w:val="24"/>
        </w:rPr>
        <w:t xml:space="preserve"> (NPL) is 90+ days past due and may still recover or be restructured; a </w:t>
      </w:r>
      <w:r>
        <w:rPr>
          <w:rFonts w:ascii="Times New Roman" w:cs="Times New Roman" w:eastAsia="Times New Roman" w:hAnsi="Times New Roman"/>
          <w:i/>
          <w:iCs/>
          <w:sz w:val="24"/>
          <w:szCs w:val="24"/>
        </w:rPr>
        <w:t xml:space="preserve">write-off</w:t>
      </w:r>
      <w:r>
        <w:rPr>
          <w:rFonts w:ascii="Times New Roman" w:cs="Times New Roman" w:eastAsia="Times New Roman" w:hAnsi="Times New Roman"/>
          <w:sz w:val="24"/>
          <w:szCs w:val="24"/>
        </w:rPr>
        <w:t xml:space="preserve"> is the later institutional act of removing a failed loan from the books. The prediction target here was write-off, the most severe and unambiguous outcome. Throughout this report and the tool's interface, each term keeps its own meaning: "written-off" is the historical label (and "prior write-off" a member's past severe loss), "non-performing" describes a loan currently 90+ days in arrears and monitored separately, and "default risk" names the model's forward-looking prediction of write-off; "default" alone appears only when describing prior literature.</w:t>
      </w:r>
    </w:p>
    <w:p>
      <w:pPr>
        <w:spacing w:after="120" w:line="360"/>
        <w:jc w:val="both"/>
      </w:pPr>
      <w:r>
        <w:rPr>
          <w:rFonts w:ascii="Times New Roman" w:cs="Times New Roman" w:eastAsia="Times New Roman" w:hAnsi="Times New Roman"/>
          <w:sz w:val="24"/>
          <w:szCs w:val="24"/>
        </w:rPr>
        <w:t xml:space="preserve">Loan assessment in Rwandan SACCOs has remained manual and individual (Karekezi, 2018; Nsengiyumva &amp; Harelimana, 2020). Machine learning is widely used for credit scoring (Lessmann, Baesens, Seow, &amp; Thomas, 2015), but existing approaches either score borrowers individually or analyse guarantee networks only for corporate lending (Cheng, Niu, &amp; Zhang, 2020); the structure of a SACCO's guarantor network remained unexploited for risk analysis in the settings reviewed.</w:t>
      </w:r>
    </w:p>
    <w:p>
      <w:pPr>
        <w:pStyle w:val="Heading2"/>
        <w:spacing w:after="18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First, non-performing loans were a persistent, documented concern for Rwandan SACCOs (Musengamana, 2019; Nikuze, Wen, Gakuru, &amp; Seydou, 2024): the sub-sector's NPL ratio rose to about 12.5% in 2015-2016, up from 8.2% the year before (Nsengiyumva &amp; Harelimana, 2020), while the banking sector stood at about 2.6% in late 2025 (National Bank of Rwanda, 2025). Because an NPL may still recover, the institution's ultimate loss is concentrated in loans that end in write-off, the outcome this study addressed.</w:t>
      </w:r>
    </w:p>
    <w:p>
      <w:pPr>
        <w:spacing w:after="120" w:line="360"/>
        <w:jc w:val="both"/>
      </w:pPr>
      <w:r>
        <w:rPr>
          <w:rFonts w:ascii="Times New Roman" w:cs="Times New Roman" w:eastAsia="Times New Roman" w:hAnsi="Times New Roman"/>
          <w:sz w:val="24"/>
          <w:szCs w:val="24"/>
        </w:rPr>
        <w:t xml:space="preserve">Second, although guarantors and savings are this product's collateral, loans were assessed one borrower at a time and the guarantor network was never analysed. A borrower who looks acceptable individually may be backed by financially strained guarantors, and a member carrying many guarantees holds contingent liabilities that recovery from their savings and salary can trigger, which may be associated with their own later write-off (association, not causation, given observational data). The SACCO's eligibility rules are applied to one guarantor at a time, and officers had no way to inspect a member's aggregate guarantor exposure at the point of decision (from an informal discussion with the SACCO's IT operations staff, May 2026).</w:t>
      </w:r>
    </w:p>
    <w:p>
      <w:pPr>
        <w:spacing w:after="120" w:line="360"/>
        <w:jc w:val="both"/>
      </w:pPr>
      <w:r>
        <w:rPr>
          <w:rFonts w:ascii="Times New Roman" w:cs="Times New Roman" w:eastAsia="Times New Roman" w:hAnsi="Times New Roman"/>
          <w:sz w:val="24"/>
          <w:szCs w:val="24"/>
        </w:rPr>
        <w:t xml:space="preserve">These failures have identifiable stakeholders. The primary ones are the borrowers whose applications are judged with incomplete information, and the loan officers and credit managers who must make and defend those judgements. The secondary ones are the guarantors, about 2.5 per loan on average in the records studied, whose savings and salaries are recovered against when a backed loan fails, and the wider membership, since every write-off is a loss to the pooled savings of a cooperative that already served some 70,000 teachers a decade ago (AllAfrica, 2014). In the sampled branches alone, 226 of 11,015 loans (2.1%) ended in write-off, each typically triggering recovery against two or three fellow teachers.</w:t>
      </w:r>
    </w:p>
    <w:p>
      <w:pPr>
        <w:spacing w:after="120" w:line="360"/>
        <w:jc w:val="both"/>
      </w:pPr>
      <w:r>
        <w:rPr>
          <w:rFonts w:ascii="Times New Roman" w:cs="Times New Roman" w:eastAsia="Times New Roman" w:hAnsi="Times New Roman"/>
          <w:sz w:val="24"/>
          <w:szCs w:val="24"/>
        </w:rPr>
        <w:t xml:space="preserve">Third, existing software did not close the gap: SACCO systems treat guarantors as static collateral records, digital lenders score individuals from phone data, and guarantee-network research targets corporate lending abroad (Cheng, Niu, Tu, &amp; Zhang, 2018; Cheng, Niu, &amp; Zhang, 2020). This project therefore developed a graph-based machine learning solution that modelled Umwalimu SACCO's guarantor relationships as a directed network, tested whether network features improve write-off prediction beyond individual features on real repayment outcomes, and delivered an explainable, network-aware decision-support tool for loan officers.</w:t>
      </w:r>
    </w:p>
    <w:p>
      <w:pPr>
        <w:pStyle w:val="Heading2"/>
        <w:spacing w:after="180" w:before="240" w:line="360"/>
      </w:pPr>
      <w:r>
        <w:rPr>
          <w:rFonts w:ascii="Times New Roman" w:cs="Times New Roman" w:eastAsia="Times New Roman" w:hAnsi="Times New Roman"/>
          <w:b/>
          <w:bCs/>
          <w:sz w:val="28"/>
          <w:szCs w:val="28"/>
        </w:rPr>
        <w:t xml:space="preserve">1.3 Project's Main Objective</w:t>
      </w:r>
    </w:p>
    <w:p>
      <w:pPr>
        <w:spacing w:after="120" w:line="360"/>
        <w:jc w:val="both"/>
      </w:pPr>
      <w:r>
        <w:rPr>
          <w:rFonts w:ascii="Times New Roman" w:cs="Times New Roman" w:eastAsia="Times New Roman" w:hAnsi="Times New Roman"/>
          <w:sz w:val="24"/>
          <w:szCs w:val="24"/>
        </w:rPr>
        <w:t xml:space="preserve">To develop and evaluate an explainable, graph-based machine learning solution that models the guarantor network of Umwalimu SACCO and tests whether guarantor-network features improve loan write-off prediction beyond traditional individual features, delivered as a decision-support tool for loan officers.</w:t>
      </w:r>
    </w:p>
    <w:p>
      <w:pPr>
        <w:pStyle w:val="Heading3"/>
        <w:spacing w:after="180" w:before="240" w:line="360"/>
      </w:pPr>
      <w:r>
        <w:rPr>
          <w:rFonts w:ascii="Times New Roman" w:cs="Times New Roman" w:eastAsia="Times New Roman" w:hAnsi="Times New Roman"/>
          <w:b/>
          <w:bCs/>
          <w:sz w:val="24"/>
          <w:szCs w:val="24"/>
        </w:rPr>
        <w:t xml:space="preserve">1.3.1 List of the Specific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collect, quality-validate, and pseudonymise the SACCO's loan and guarantor records under institutional authorisation, and construct a directed guarantor network with engineered individual and network features (weeks 3-7).</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develop and compare supervised models for write-off prediction, baseline (individual features) versus network-augmented, under a borrower-grouped cross-validation design (by week 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evaluate both models on PR-AUC, ROC-AUC, recall, and precision, assess improvement uncertainty with bootstrap confidence intervals, and verify calibration (by week 10).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design, implement, and deploy a decision-support dashboard presenting each score with a SHAP explanation and a guarantor-network view, as guidance rather than automated approval (by week 12).</w:t>
      </w:r>
    </w:p>
    <w:p>
      <w:pPr>
        <w:spacing w:after="120" w:line="360"/>
        <w:jc w:val="both"/>
      </w:pPr>
      <w:r>
        <w:rPr>
          <w:rFonts w:ascii="Times New Roman" w:cs="Times New Roman" w:eastAsia="Times New Roman" w:hAnsi="Times New Roman"/>
          <w:sz w:val="24"/>
          <w:szCs w:val="24"/>
        </w:rPr>
        <w:t xml:space="preserve">Together, these four objectives deliver the main objective: the first two produce the network-aware model and its fair comparison, the third establishes whether and how much it helps, and the fourth turns the answer into a tool an officer can actually use.</w:t>
      </w:r>
    </w:p>
    <w:p>
      <w:pPr>
        <w:pStyle w:val="Heading2"/>
        <w:spacing w:after="180" w:before="240" w:line="360"/>
      </w:pPr>
      <w:r>
        <w:rPr>
          <w:rFonts w:ascii="Times New Roman" w:cs="Times New Roman" w:eastAsia="Times New Roman" w:hAnsi="Times New Roman"/>
          <w:b/>
          <w:bCs/>
          <w:sz w:val="28"/>
          <w:szCs w:val="28"/>
        </w:rPr>
        <w:t xml:space="preserve">1.4 Research Questions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What was the structure of the guarantor network built from the SACCO's records, and how were written-off loans distributed across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Were guarantor-network features associated with write-off, and did they improve prediction over individual features alone?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How did network features rank in importance relative to individual features?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Could the risk assessment be presented explainably, fairly, and in a way operationally acceptable to loan officers?</w:t>
      </w:r>
    </w:p>
    <w:p>
      <w:pPr>
        <w:spacing w:after="120" w:line="360"/>
        <w:jc w:val="both"/>
      </w:pPr>
      <w:r>
        <w:rPr>
          <w:rFonts w:ascii="Times New Roman" w:cs="Times New Roman" w:eastAsia="Times New Roman" w:hAnsi="Times New Roman"/>
          <w:sz w:val="24"/>
          <w:szCs w:val="24"/>
        </w:rPr>
        <w:t xml:space="preserve">Hypotheses (association and predictive contribution, not causation): H0, network features are not associated with write-off and do not improve prediction; H1, they are and do (H1a: greater guarantor exposure, higher write-off; H1b: connection to prior write-offs, higher write-off). Support for H1 required the augmented model to beat the borrower-only baseline on PR-AUC and ROC-AUC out-of-fold, with bootstrap confidence intervals on the difference.</w:t>
      </w:r>
    </w:p>
    <w:p>
      <w:pPr>
        <w:pStyle w:val="Heading2"/>
        <w:spacing w:after="180" w:before="240" w:line="360"/>
      </w:pPr>
      <w:r>
        <w:rPr>
          <w:rFonts w:ascii="Times New Roman" w:cs="Times New Roman" w:eastAsia="Times New Roman" w:hAnsi="Times New Roman"/>
          <w:b/>
          <w:bCs/>
          <w:sz w:val="28"/>
          <w:szCs w:val="28"/>
        </w:rPr>
        <w:t xml:space="preserve">1.5 Project Scope</w:t>
      </w:r>
    </w:p>
    <w:p>
      <w:pPr>
        <w:spacing w:after="120" w:line="360"/>
        <w:jc w:val="both"/>
      </w:pPr>
      <w:r>
        <w:rPr>
          <w:rFonts w:ascii="Times New Roman" w:cs="Times New Roman" w:eastAsia="Times New Roman" w:hAnsi="Times New Roman"/>
          <w:b/>
          <w:bCs/>
          <w:sz w:val="24"/>
          <w:szCs w:val="24"/>
        </w:rPr>
        <w:t xml:space="preserve">Content:</w:t>
      </w:r>
      <w:r>
        <w:rPr>
          <w:rFonts w:ascii="Times New Roman" w:cs="Times New Roman" w:eastAsia="Times New Roman" w:hAnsi="Times New Roman"/>
          <w:sz w:val="24"/>
          <w:szCs w:val="24"/>
        </w:rPr>
        <w:t xml:space="preserve"> a case study on Umwalimu SACCO's internal records of closed Emergency on Savings loans, using only information available at each loan's disbursement date, on pseudonymised data; predictive association, not causal effect or operational impact. </w:t>
      </w:r>
      <w:r>
        <w:rPr>
          <w:rFonts w:ascii="Times New Roman" w:cs="Times New Roman" w:eastAsia="Times New Roman" w:hAnsi="Times New Roman"/>
          <w:b/>
          <w:bCs/>
          <w:sz w:val="24"/>
          <w:szCs w:val="24"/>
        </w:rPr>
        <w:t xml:space="preserve">Geographical:</w:t>
      </w:r>
      <w:r>
        <w:rPr>
          <w:rFonts w:ascii="Times New Roman" w:cs="Times New Roman" w:eastAsia="Times New Roman" w:hAnsi="Times New Roman"/>
          <w:sz w:val="24"/>
          <w:szCs w:val="24"/>
        </w:rPr>
        <w:t xml:space="preserve"> 11 of the SACCO's approximately 30 branches (AllAfrica, 2014): Rusizi, Nyagatare, Gasabo, Rubavu, Nyamagabe, Nyanza, Ngororero, Kicukiro, Rutsiro, Nyarugenge, and headquarters, sampled whole to keep guarantor relationships intact. </w:t>
      </w: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loans disbursed 2022-2023 (a matured cohort given the two-year term); research conducted over fourteen weeks, </w:t>
      </w:r>
      <w:r>
        <w:rPr>
          <w:rFonts w:ascii="Times New Roman" w:cs="Times New Roman" w:eastAsia="Times New Roman" w:hAnsi="Times New Roman"/>
          <w:b/>
          <w:bCs/>
          <w:sz w:val="24"/>
          <w:szCs w:val="24"/>
          <w:highlight w:val="yellow"/>
          <w:highlightCs w:val="yellow"/>
        </w:rPr>
        <w:t xml:space="preserve">[FILL: start date]</w:t>
      </w:r>
      <w:r>
        <w:rPr>
          <w:rFonts w:ascii="Times New Roman" w:cs="Times New Roman" w:eastAsia="Times New Roman" w:hAnsi="Times New Roman"/>
          <w:sz w:val="24"/>
          <w:szCs w:val="24"/>
        </w:rPr>
        <w:t xml:space="preserve"> to </w:t>
      </w:r>
      <w:r>
        <w:rPr>
          <w:rFonts w:ascii="Times New Roman" w:cs="Times New Roman" w:eastAsia="Times New Roman" w:hAnsi="Times New Roman"/>
          <w:b/>
          <w:bCs/>
          <w:sz w:val="24"/>
          <w:szCs w:val="24"/>
          <w:highlight w:val="yellow"/>
          <w:highlightCs w:val="yellow"/>
        </w:rPr>
        <w:t xml:space="preserve">[FILL: end date]</w:t>
      </w:r>
      <w:r>
        <w:rPr>
          <w:rFonts w:ascii="Times New Roman" w:cs="Times New Roman" w:eastAsia="Times New Roman" w:hAnsi="Times New Roman"/>
          <w:sz w:val="24"/>
          <w:szCs w:val="24"/>
        </w:rPr>
        <w:t xml:space="preserve"> 2026. </w:t>
      </w:r>
      <w:r>
        <w:rPr>
          <w:rFonts w:ascii="Times New Roman" w:cs="Times New Roman" w:eastAsia="Times New Roman" w:hAnsi="Times New Roman"/>
          <w:b/>
          <w:bCs/>
          <w:sz w:val="24"/>
          <w:szCs w:val="24"/>
        </w:rPr>
        <w:t xml:space="preserve">Product:</w:t>
      </w:r>
      <w:r>
        <w:rPr>
          <w:rFonts w:ascii="Times New Roman" w:cs="Times New Roman" w:eastAsia="Times New Roman" w:hAnsi="Times New Roman"/>
          <w:sz w:val="24"/>
          <w:szCs w:val="24"/>
        </w:rPr>
        <w:t xml:space="preserve"> GuarantorLens, a prototype React + FastAPI + PostgreSQL decision-support tool showing a calibrated risk score, SHAP explanation, network warnings, what-if simulation, and a network view; it made no live lending decisions, and its public demo ran on synthetic data only. </w:t>
      </w: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real institutional records, not simulated or synthetic; synthetic data was used only to seed the public demonstration. </w:t>
      </w:r>
      <w:r>
        <w:rPr>
          <w:rFonts w:ascii="Times New Roman" w:cs="Times New Roman" w:eastAsia="Times New Roman" w:hAnsi="Times New Roman"/>
          <w:b/>
          <w:bCs/>
          <w:sz w:val="24"/>
          <w:szCs w:val="24"/>
        </w:rPr>
        <w:t xml:space="preserve">Out of scope:</w:t>
      </w:r>
      <w:r>
        <w:rPr>
          <w:rFonts w:ascii="Times New Roman" w:cs="Times New Roman" w:eastAsia="Times New Roman" w:hAnsi="Times New Roman"/>
          <w:sz w:val="24"/>
          <w:szCs w:val="24"/>
        </w:rPr>
        <w:t xml:space="preserve"> live lending decisions, prospective measurement of write-off reduction, fairness auditing, and data beyond the sampled branches and product.</w:t>
      </w:r>
    </w:p>
    <w:p>
      <w:pPr>
        <w:pStyle w:val="Heading2"/>
        <w:spacing w:after="180" w:before="240" w:line="360"/>
      </w:pPr>
      <w:r>
        <w:rPr>
          <w:rFonts w:ascii="Times New Roman" w:cs="Times New Roman" w:eastAsia="Times New Roman" w:hAnsi="Times New Roman"/>
          <w:b/>
          <w:bCs/>
          <w:sz w:val="28"/>
          <w:szCs w:val="28"/>
        </w:rPr>
        <w:t xml:space="preserve">1.6 Significance and Justification</w:t>
      </w:r>
    </w:p>
    <w:p>
      <w:pPr>
        <w:spacing w:after="120" w:line="360"/>
        <w:jc w:val="both"/>
      </w:pPr>
      <w:r>
        <w:rPr>
          <w:rFonts w:ascii="Times New Roman" w:cs="Times New Roman" w:eastAsia="Times New Roman" w:hAnsi="Times New Roman"/>
          <w:sz w:val="24"/>
          <w:szCs w:val="24"/>
        </w:rPr>
        <w:t xml:space="preserve">For Umwalimu SACCO, the project quantified a dimension of risk that individual appraisal cannot capture, using data already stored; demonstrating an actual reduction in non-performing loans and write-offs would require prospective deployment beyond this study's scope. Every prediction ships with an explanation, supporting trust and adoption in a regulated setting. Academically, to the researcher's knowledge, the reviewed literature did not identify a prior application of guarantor-network analysis to a Rwandan SACCO (Cheng, Niu, &amp; Zhang, 2020), so the setting and its labelled dataset are themselves contributions.</w:t>
      </w:r>
    </w:p>
    <w:p>
      <w:pPr>
        <w:pStyle w:val="Heading2"/>
        <w:spacing w:after="180" w:before="240" w:line="360"/>
      </w:pPr>
      <w:r>
        <w:rPr>
          <w:rFonts w:ascii="Times New Roman" w:cs="Times New Roman" w:eastAsia="Times New Roman" w:hAnsi="Times New Roman"/>
          <w:b/>
          <w:bCs/>
          <w:sz w:val="28"/>
          <w:szCs w:val="28"/>
        </w:rPr>
        <w:t xml:space="preserve">1.7 Research Budget</w:t>
      </w:r>
    </w:p>
    <w:p>
      <w:pPr>
        <w:spacing w:after="120" w:line="360"/>
        <w:jc w:val="both"/>
      </w:pPr>
      <w:r>
        <w:rPr>
          <w:rFonts w:ascii="Times New Roman" w:cs="Times New Roman" w:eastAsia="Times New Roman" w:hAnsi="Times New Roman"/>
          <w:sz w:val="24"/>
          <w:szCs w:val="24"/>
        </w:rPr>
        <w:t xml:space="preserve">All core tools were open-source; training ran on Google Colab and a standard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Item</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Description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Cost (RWF)</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Cloud GPU compute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GPU sessions for the neural-network comparison model</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50,000</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Software and libraries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Python, React, PostgreSQL, open-source libraries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Total</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50,000</w:t>
            </w:r>
          </w:p>
        </w:tc>
      </w:tr>
    </w:tbl>
    <w:p>
      <w:pPr>
        <w:spacing w:after="60"/>
      </w:pPr>
    </w:p>
    <w:p>
      <w:pPr>
        <w:spacing w:after="180"/>
        <w:jc w:val="center"/>
      </w:pPr>
      <w:r>
        <w:rPr>
          <w:rFonts w:ascii="Times New Roman" w:cs="Times New Roman" w:eastAsia="Times New Roman" w:hAnsi="Times New Roman"/>
          <w:i/>
          <w:iCs/>
          <w:sz w:val="22"/>
          <w:szCs w:val="22"/>
        </w:rPr>
        <w:t xml:space="preserve">Table 1.1: Research Budget</w:t>
      </w:r>
    </w:p>
    <w:p>
      <w:pPr>
        <w:pStyle w:val="Heading2"/>
        <w:spacing w:after="180" w:before="240" w:line="360"/>
      </w:pPr>
      <w:r>
        <w:rPr>
          <w:rFonts w:ascii="Times New Roman" w:cs="Times New Roman" w:eastAsia="Times New Roman" w:hAnsi="Times New Roman"/>
          <w:b/>
          <w:bCs/>
          <w:sz w:val="28"/>
          <w:szCs w:val="28"/>
        </w:rPr>
        <w:t xml:space="preserve">1.8 Research Timeline</w:t>
      </w:r>
    </w:p>
    <w:p>
      <w:pPr>
        <w:spacing w:after="120" w:line="360"/>
        <w:jc w:val="both"/>
      </w:pPr>
      <w:r>
        <w:rPr>
          <w:rFonts w:ascii="Times New Roman" w:cs="Times New Roman" w:eastAsia="Times New Roman" w:hAnsi="Times New Roman"/>
          <w:sz w:val="24"/>
          <w:szCs w:val="24"/>
        </w:rPr>
        <w:t xml:space="preserve">The fourteen-week execution, from literature review and data access through modelling, evaluation, development, and reporting, is mapped in Figure 1.1.</w:t>
      </w:r>
    </w:p>
    <w:p>
      <w:pPr>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71462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1.1: Research timeline (Gantt chart)</w:t>
      </w:r>
    </w:p>
    <w:p>
      <w:pPr>
        <w:pStyle w:val="Heading1"/>
        <w:pageBreakBefore/>
        <w:spacing w:after="180" w:before="0" w:line="360"/>
      </w:pPr>
      <w:r>
        <w:rPr>
          <w:rFonts w:ascii="Times New Roman" w:cs="Times New Roman" w:eastAsia="Times New Roman" w:hAnsi="Times New Roman"/>
          <w:b/>
          <w:bCs/>
          <w:sz w:val="32"/>
          <w:szCs w:val="32"/>
        </w:rPr>
        <w:t xml:space="preserve">CHAPTER TWO: LITERATURE REVIEW</w:t>
      </w:r>
    </w:p>
    <w:p>
      <w:pPr>
        <w:pStyle w:val="Heading2"/>
        <w:spacing w:after="180" w:before="240" w:line="360"/>
      </w:pPr>
      <w:r>
        <w:rPr>
          <w:rFonts w:ascii="Times New Roman" w:cs="Times New Roman" w:eastAsia="Times New Roman" w:hAnsi="Times New Roman"/>
          <w:b/>
          <w:bCs/>
          <w:sz w:val="28"/>
          <w:szCs w:val="28"/>
        </w:rPr>
        <w:t xml:space="preserve">2.1 Introduction</w:t>
      </w:r>
    </w:p>
    <w:p>
      <w:pPr>
        <w:spacing w:after="120" w:line="360"/>
        <w:jc w:val="both"/>
      </w:pPr>
      <w:r>
        <w:rPr>
          <w:rFonts w:ascii="Times New Roman" w:cs="Times New Roman" w:eastAsia="Times New Roman" w:hAnsi="Times New Roman"/>
          <w:sz w:val="24"/>
          <w:szCs w:val="24"/>
        </w:rPr>
        <w:t xml:space="preserve">This chapter reviews literature directly related to the software problem: systems and machine-learning methods for predicting loan default and write-off, with a focus on those that use guarantor or borrower networks. Sources were gathered from IEEE Xplore, the ACM Digital Library, ScienceDirect, SpringerLink, PLOS, MDPI, arXiv, IJCAI and KDD proceedings, and Google Scholar, using terms combining loan default prediction, credit scoring, guarantee network, graph neural network, SACCO credit risk, class imbalance, calibration, and explainable machine learning. Deployed software products and published studies are different kinds of evidence, so existing systems are reviewed separately (Section 2.3) from the academic literature (Section 2.4). Purposive sampling favoured peer-reviewed, recent (2018 onward), and closely related work; from roughly forty to fifty initial results, about twenty-five sources were reviewed in depth, prioritising open-access versions.</w:t>
      </w:r>
    </w:p>
    <w:p>
      <w:pPr>
        <w:pStyle w:val="Heading2"/>
        <w:spacing w:after="180" w:before="240" w:line="360"/>
      </w:pPr>
      <w:r>
        <w:rPr>
          <w:rFonts w:ascii="Times New Roman" w:cs="Times New Roman" w:eastAsia="Times New Roman" w:hAnsi="Times New Roman"/>
          <w:b/>
          <w:bCs/>
          <w:sz w:val="28"/>
          <w:szCs w:val="28"/>
        </w:rPr>
        <w:t xml:space="preserve">2.2 Historical Background of the Research Topic</w:t>
      </w:r>
    </w:p>
    <w:p>
      <w:pPr>
        <w:spacing w:after="120" w:line="360"/>
        <w:jc w:val="both"/>
      </w:pPr>
      <w:r>
        <w:rPr>
          <w:rFonts w:ascii="Times New Roman" w:cs="Times New Roman" w:eastAsia="Times New Roman" w:hAnsi="Times New Roman"/>
          <w:sz w:val="24"/>
          <w:szCs w:val="24"/>
        </w:rPr>
        <w:t xml:space="preserve">Credit assessment in cooperative finance has historically been judgmental, resting on the "5Cs" framework that Rwandan SACCO appraisal still uses (Karekezi, 2018). Rwanda's cooperative channel is a deliberate policy instrument: Umurenge SACCOs were created under Vision 2020 to reach the underserved (Rwanda Cooperative Agency, n.d.), with Umwalimu SACCO established in 2006 as the teachers' cooperative (Umwalimu SACCO, n.d.-a). Industry credit scoring meanwhile moved from judgmental methods to statistical models and then machine learning, with ensembles overtaking logistic regression (Lessmann, Baesens, Seow, &amp; Thomas, 2015). The newest thread, from about 2018, models loan-guarantee relationships as networks and shows that network position predicts default (Cheng, Niu, Tu, &amp; Zhang, 2018). This study brought that thread, so far applied to corporate lending abroad, to a Rwandan teachers' cooperative.</w:t>
      </w:r>
    </w:p>
    <w:p>
      <w:pPr>
        <w:pStyle w:val="Heading2"/>
        <w:spacing w:after="180" w:before="240" w:line="360"/>
      </w:pPr>
      <w:r>
        <w:rPr>
          <w:rFonts w:ascii="Times New Roman" w:cs="Times New Roman" w:eastAsia="Times New Roman" w:hAnsi="Times New Roman"/>
          <w:b/>
          <w:bCs/>
          <w:sz w:val="28"/>
          <w:szCs w:val="28"/>
        </w:rPr>
        <w:t xml:space="preserve">2.3 Overview of Existing System</w:t>
      </w:r>
    </w:p>
    <w:p>
      <w:pPr>
        <w:spacing w:after="120" w:line="360"/>
        <w:jc w:val="both"/>
      </w:pPr>
      <w:r>
        <w:rPr>
          <w:rFonts w:ascii="Times New Roman" w:cs="Times New Roman" w:eastAsia="Times New Roman" w:hAnsi="Times New Roman"/>
          <w:sz w:val="24"/>
          <w:szCs w:val="24"/>
        </w:rPr>
        <w:t xml:space="preserve">Three categories of existing software surround the problem. First, operational SACCO and microfinance management platforms such as Mifos X / Apache Fineract manage members, savings, loans, and guarantors end to end (Mifos Initiative, n.d.; Apache Software Foundation, n.d.), but treat a guarantor transactionally, as recorded security to pursue after default; they neither model the guarantee network nor predict outcomes. Second, machine-learning digital lenders such as M-Shwari in Kenya score applicants automatically from mobile-money and phone data (Suri, Bharadwaj, &amp; Jack, 2021); their scoring is individual and behavioural and does not fit a SACCO's socially secured, member-guarantees-member lending. Third, academic guarantee-network systems: a visual-analytics framework for networked-guarantee loans (Niu, Cheng, Yan, &amp; Zhang, 2018), the iConViz contagion-exploration tool (Niu, Li, Wu, Cheng, &amp; Zhang, 2020), and the iConReg deep graph system (Cheng, Niu, &amp; Zhang, 2022) prove that guarantee structure carries default signal, but they target corporate/SME lending and regulators, and rely on deep models a loan officer cannot interpret. To the researcher's knowledge, the reviewed literature did not identify a system applying interpretable, network-aware prediction to a community SACCO's member-guarantees-member structure, the gap this study addressed.</w:t>
      </w:r>
    </w:p>
    <w:p>
      <w:pPr>
        <w:pStyle w:val="Heading2"/>
        <w:spacing w:after="180" w:before="240" w:line="360"/>
      </w:pPr>
      <w:r>
        <w:rPr>
          <w:rFonts w:ascii="Times New Roman" w:cs="Times New Roman" w:eastAsia="Times New Roman" w:hAnsi="Times New Roman"/>
          <w:b/>
          <w:bCs/>
          <w:sz w:val="28"/>
          <w:szCs w:val="28"/>
        </w:rPr>
        <w:t xml:space="preserve">2.4 Review of Related Work</w:t>
      </w:r>
    </w:p>
    <w:p>
      <w:pPr>
        <w:spacing w:after="120" w:line="360"/>
        <w:jc w:val="both"/>
      </w:pPr>
      <w:r>
        <w:rPr>
          <w:rFonts w:ascii="Times New Roman" w:cs="Times New Roman" w:eastAsia="Times New Roman" w:hAnsi="Times New Roman"/>
          <w:sz w:val="24"/>
          <w:szCs w:val="24"/>
        </w:rPr>
        <w:t xml:space="preserve">This section reviews six streams: credit risk in Rwandan SACCOs; machine learning for credit scoring; graph and network-based approaches; network-feature engineering; methodological work on leakage, validation, imbalance, calibration, and thresholds; and explainability.</w:t>
      </w:r>
    </w:p>
    <w:p>
      <w:pPr>
        <w:pStyle w:val="Heading3"/>
        <w:spacing w:after="180" w:before="240" w:line="360"/>
      </w:pPr>
      <w:r>
        <w:rPr>
          <w:rFonts w:ascii="Times New Roman" w:cs="Times New Roman" w:eastAsia="Times New Roman" w:hAnsi="Times New Roman"/>
          <w:b/>
          <w:bCs/>
          <w:sz w:val="24"/>
          <w:szCs w:val="24"/>
        </w:rPr>
        <w:t xml:space="preserve">2.4.1 Credit Risk and Non-Performing Loans in Rwandan SACCOs</w:t>
      </w:r>
    </w:p>
    <w:p>
      <w:pPr>
        <w:spacing w:after="120" w:line="360"/>
        <w:jc w:val="both"/>
      </w:pPr>
      <w:r>
        <w:rPr>
          <w:rFonts w:ascii="Times New Roman" w:cs="Times New Roman" w:eastAsia="Times New Roman" w:hAnsi="Times New Roman"/>
          <w:sz w:val="24"/>
          <w:szCs w:val="24"/>
        </w:rPr>
        <w:t xml:space="preserve">Nsengiyumva and Harelimana (2020) surveyed 78 repeat borrowers of Umurenge SACCOs and found credit risk control the strongest influence on financial performance; Karekezi (2018) censused 35 Kigali SACCOs and documented 5Cs-based appraisal with the guarantor treated as collateral; Musengamana (2019) showed NPLs undermining microfinance performance in a Umurenge SACCO case study. More recently, Nikuze, Wen, Gakuru, and Seydou (2024) provided fresh econometric evidence on the factors driving non-performing-loan growth in Rwanda, which shows the problem is current rather than historical. Together these confirm the problem and the prevailing one-borrower-at-a-time method, but all are descriptive: none predicts outcomes at the loan level or examines the guarantor network.</w:t>
      </w:r>
    </w:p>
    <w:p>
      <w:pPr>
        <w:pStyle w:val="Heading3"/>
        <w:spacing w:after="180" w:before="240" w:line="360"/>
      </w:pPr>
      <w:r>
        <w:rPr>
          <w:rFonts w:ascii="Times New Roman" w:cs="Times New Roman" w:eastAsia="Times New Roman" w:hAnsi="Times New Roman"/>
          <w:b/>
          <w:bCs/>
          <w:sz w:val="24"/>
          <w:szCs w:val="24"/>
        </w:rPr>
        <w:t xml:space="preserve">2.4.2 Machine Learning for Credit Scoring and Default Prediction</w:t>
      </w:r>
    </w:p>
    <w:p>
      <w:pPr>
        <w:spacing w:after="120" w:line="360"/>
        <w:jc w:val="both"/>
      </w:pPr>
      <w:r>
        <w:rPr>
          <w:rFonts w:ascii="Times New Roman" w:cs="Times New Roman" w:eastAsia="Times New Roman" w:hAnsi="Times New Roman"/>
          <w:sz w:val="24"/>
          <w:szCs w:val="24"/>
        </w:rPr>
        <w:t xml:space="preserve">Lessmann et al. (2015) benchmarked credit-scoring classifiers across real datasets and found ensembles consistently beating single classifiers and logistic regression, setting the multi-metric comparison style this study followed. Chen and Guestrin (2016) introduced XGBoost, whose strength on sparse, imbalanced tabular data made it this study's primary model, with network structure supplied as engineered columns. Addo, Guegan, and Hassani (2018) found tree-based models more stable and interpretable than the neural networks they tested, supporting interpretable trees for a tool used by loan officers. The stream's shared limitation is that every model scores each applicant alone, ignoring relationships between borrowers.</w:t>
      </w:r>
    </w:p>
    <w:p>
      <w:pPr>
        <w:pStyle w:val="Heading3"/>
        <w:spacing w:after="180" w:before="240" w:line="360"/>
      </w:pPr>
      <w:r>
        <w:rPr>
          <w:rFonts w:ascii="Times New Roman" w:cs="Times New Roman" w:eastAsia="Times New Roman" w:hAnsi="Times New Roman"/>
          <w:b/>
          <w:bCs/>
          <w:sz w:val="24"/>
          <w:szCs w:val="24"/>
        </w:rPr>
        <w:t xml:space="preserve">2.4.3 Graph and Network-Based Approaches to Credit Risk</w:t>
      </w:r>
    </w:p>
    <w:p>
      <w:pPr>
        <w:spacing w:after="120" w:line="360"/>
        <w:jc w:val="both"/>
      </w:pPr>
      <w:r>
        <w:rPr>
          <w:rFonts w:ascii="Times New Roman" w:cs="Times New Roman" w:eastAsia="Times New Roman" w:hAnsi="Times New Roman"/>
          <w:sz w:val="24"/>
          <w:szCs w:val="24"/>
        </w:rPr>
        <w:t xml:space="preserve">Cheng, Niu, Tu, and Zhang (2018) first predicted defaults on networked-guarantee loans, showing that network-diffusion information improves prediction over conventional baselines, direct evidence for this study's hypothesis, though for enterprises and without officer-level interpretability. Cheng, Wang, Zhang, and Zhang (2020) added a dynamic graph attention network capturing how the guarantee network evolves, and the same group's iConReg confirmed the approach at national scale (Cheng, Niu, &amp; Zhang, 2022), all corporate and opaque. Óskarsdóttir, Bravo, Sarraute, Vanthienen, and Baesens (2019) propagated default influence through phone-call networks and significantly improved AUC over traditional data, demonstrating with real data that connections to known defaulters carry signal, the intuition this study transferred to guarantor networks. Zandi, Korangi, Óskarsdóttir, Mues, and Bravo (2025) made the same argument for consumer credit with a dynamic multilayer graph neural network on US mortgages. One social-science finding frames how such results should be read: homophily, the well-documented tendency of similar people to be connected (McPherson, Smith-Lovin, &amp; Cook, 2001), implies strained borrowers tend to be backed by similarly strained guarantors, so part of any network signal overlaps with individual features; this study used homophily as its interpretive lens. Across the stream, the network approach is proven but corporate or large-consumer, data-hungry, and uninterpretable at the point of decision.</w:t>
      </w:r>
    </w:p>
    <w:p>
      <w:pPr>
        <w:pStyle w:val="Heading3"/>
        <w:spacing w:after="180" w:before="240" w:line="360"/>
      </w:pPr>
      <w:r>
        <w:rPr>
          <w:rFonts w:ascii="Times New Roman" w:cs="Times New Roman" w:eastAsia="Times New Roman" w:hAnsi="Times New Roman"/>
          <w:b/>
          <w:bCs/>
          <w:sz w:val="24"/>
          <w:szCs w:val="24"/>
        </w:rPr>
        <w:t xml:space="preserve">2.4.4 Network-Feature Engineering for Credit Risk</w:t>
      </w:r>
    </w:p>
    <w:p>
      <w:pPr>
        <w:spacing w:after="120" w:line="360"/>
        <w:jc w:val="both"/>
      </w:pPr>
      <w:r>
        <w:rPr>
          <w:rFonts w:ascii="Times New Roman" w:cs="Times New Roman" w:eastAsia="Times New Roman" w:hAnsi="Times New Roman"/>
          <w:sz w:val="24"/>
          <w:szCs w:val="24"/>
        </w:rPr>
        <w:t xml:space="preserve">Between purely individual models and end-to-end graph neural networks lies the middle path this study took: engineering explicit network features for a standard tabular learner, as Óskarsdóttir et al. (2019) did with propagated influence scores and Cheng et al. (2018) with diffusion variables. The alternatives sit at two extremes. Learned embeddings such as node2vec (Grover &amp; Leskovec, 2016) capture structural position automatically, but their dimensions carry no meaning an officer can inspect. End-to-end GNNs (Cheng, Wang, Zhang, &amp; Zhang, 2020; Zandi et al., 2025) lead benchmarks but demand large data and are opaque. For a small, heavily imbalanced SACCO dataset with an explainability requirement, hand-crafted features (guarantor counts and means, neighbour prior-default rates, community default rates) are nameable, auditable, and SHAP-attributable, which is why this study adopted them.</w:t>
      </w:r>
    </w:p>
    <w:p>
      <w:pPr>
        <w:pStyle w:val="Heading3"/>
        <w:spacing w:after="180" w:before="240" w:line="360"/>
      </w:pPr>
      <w:r>
        <w:rPr>
          <w:rFonts w:ascii="Times New Roman" w:cs="Times New Roman" w:eastAsia="Times New Roman" w:hAnsi="Times New Roman"/>
          <w:b/>
          <w:bCs/>
          <w:sz w:val="24"/>
          <w:szCs w:val="24"/>
        </w:rPr>
        <w:t xml:space="preserve">2.4.5 Temporal Leakage and Time-Aware Validation</w:t>
      </w:r>
    </w:p>
    <w:p>
      <w:pPr>
        <w:spacing w:after="120" w:line="360"/>
        <w:jc w:val="both"/>
      </w:pPr>
      <w:r>
        <w:rPr>
          <w:rFonts w:ascii="Times New Roman" w:cs="Times New Roman" w:eastAsia="Times New Roman" w:hAnsi="Times New Roman"/>
          <w:sz w:val="24"/>
          <w:szCs w:val="24"/>
        </w:rPr>
        <w:t xml:space="preserve">Leakage, using information at training time that would not exist at decision time, produces models that excel in evaluation and fail in production (Kaufman et al. (2012) </w:t>
      </w:r>
      <w:r>
        <w:rPr>
          <w:rFonts w:ascii="Times New Roman" w:cs="Times New Roman" w:eastAsia="Times New Roman" w:hAnsi="Times New Roman"/>
          <w:b/>
          <w:bCs/>
          <w:sz w:val="24"/>
          <w:szCs w:val="24"/>
          <w:highlight w:val="yellow"/>
          <w:highlightCs w:val="yellow"/>
        </w:rPr>
        <w:t xml:space="preserve">[VERIFY reference fits before submission]</w:t>
      </w:r>
      <w:r>
        <w:rPr>
          <w:rFonts w:ascii="Times New Roman" w:cs="Times New Roman" w:eastAsia="Times New Roman" w:hAnsi="Times New Roman"/>
          <w:sz w:val="24"/>
          <w:szCs w:val="24"/>
        </w:rPr>
        <w:t xml:space="preserve">. This study adopted both disciplines: all features were computed as of disbursement and folds were grouped by borrower. This answers the temporal-leakage concern raised at the proposal stage.</w:t>
      </w:r>
    </w:p>
    <w:p>
      <w:pPr>
        <w:pStyle w:val="Heading3"/>
        <w:spacing w:after="180" w:before="240" w:line="360"/>
      </w:pPr>
      <w:r>
        <w:rPr>
          <w:rFonts w:ascii="Times New Roman" w:cs="Times New Roman" w:eastAsia="Times New Roman" w:hAnsi="Times New Roman"/>
          <w:b/>
          <w:bCs/>
          <w:sz w:val="24"/>
          <w:szCs w:val="24"/>
        </w:rPr>
        <w:t xml:space="preserve">2.4.6 Imbalance, Calibration, and Decision Thresholds</w:t>
      </w:r>
    </w:p>
    <w:p>
      <w:pPr>
        <w:spacing w:after="120" w:line="360"/>
        <w:jc w:val="both"/>
      </w:pPr>
      <w:r>
        <w:rPr>
          <w:rFonts w:ascii="Times New Roman" w:cs="Times New Roman" w:eastAsia="Times New Roman" w:hAnsi="Times New Roman"/>
          <w:sz w:val="24"/>
          <w:szCs w:val="24"/>
        </w:rPr>
        <w:t xml:space="preserve">On metrics, Saito and Rehmsmeier (2015) showed precision-recall analysis more informative than ROC on imbalanced data, since ROC flatters models when positives are rare; with a 2.1% write-off rate, PR-AUC was this study's headline metric. On imbalance, SMOTE oversampling (Chawla, Bowyer, Hall, &amp; Kegelmeyer, 2002) has long been the default, but recent evidence shows it often adds little over class weighting for strong classifiers (Elor &amp; Averbuch-Elor, 2022), matching this study's own comparison. On probabilities and thresholds, boosted trees produce distorted probability estimates correctable post hoc with isotonic regression (Niculescu-Mizil &amp; Caruana, 2005), and cost-sensitive theory shows unequal error costs shift the optimal threshold toward flagging more of the expensive class (Elkan, 2001); since a missed write-off costs a SACCO far more than a reviewed false alarm, this motivates a recall-first threshold on calibrated probabilities. Finally, unsupervised anomaly detection offers a label-free alternative to all of the above: Isolation Forest isolates unusual records through random partitioning (Liu, Ting, &amp; Zhou, 2008), and Local Outlier Factor scores density-based deviation from a record's neighbours (Breunig, Kriegel, Ng, &amp; Sander, 2000). This study evaluated both before committing to supervised learning, as a check on whether the write-off labels were actually necessary; their underperformance (Chapter Five) is what justified the supervised path.</w:t>
      </w:r>
    </w:p>
    <w:p>
      <w:pPr>
        <w:pStyle w:val="Heading3"/>
        <w:spacing w:after="180" w:before="240" w:line="360"/>
      </w:pPr>
      <w:r>
        <w:rPr>
          <w:rFonts w:ascii="Times New Roman" w:cs="Times New Roman" w:eastAsia="Times New Roman" w:hAnsi="Times New Roman"/>
          <w:b/>
          <w:bCs/>
          <w:sz w:val="24"/>
          <w:szCs w:val="24"/>
        </w:rPr>
        <w:t xml:space="preserve">2.4.7 Explainability in Credit-Risk Models</w:t>
      </w:r>
    </w:p>
    <w:p>
      <w:pPr>
        <w:spacing w:after="120" w:line="360"/>
        <w:jc w:val="both"/>
      </w:pPr>
      <w:r>
        <w:rPr>
          <w:rFonts w:ascii="Times New Roman" w:cs="Times New Roman" w:eastAsia="Times New Roman" w:hAnsi="Times New Roman"/>
          <w:sz w:val="24"/>
          <w:szCs w:val="24"/>
        </w:rPr>
        <w:t xml:space="preserve">Lundberg and Lee (2017) introduced SHAP, a model-agnostic, game-theoretic framework attributing predictions to features, supporting both local explanations and global importance; this study adopted it to explain each score and to rank network against individual features, noting SHAP explains association rather than causation. Bussmann, Giudici, Marinelli, and Papenbrock (2021) combined XGBoost with SHAP for credit risk across 15,000 SMEs, motivated by the unsuitability of black-box AI in regulated finance, the same ingredients as this work, though their network arises from explanation similarity rather than real guarantor relationships.</w:t>
      </w:r>
    </w:p>
    <w:p>
      <w:pPr>
        <w:pStyle w:val="Heading3"/>
        <w:spacing w:after="180" w:before="240" w:line="360"/>
      </w:pPr>
      <w:r>
        <w:rPr>
          <w:rFonts w:ascii="Times New Roman" w:cs="Times New Roman" w:eastAsia="Times New Roman" w:hAnsi="Times New Roman"/>
          <w:b/>
          <w:bCs/>
          <w:sz w:val="24"/>
          <w:szCs w:val="24"/>
        </w:rPr>
        <w:t xml:space="preserve">2.4.8 Summary of Reviewed Literature</w:t>
      </w:r>
    </w:p>
    <w:p>
      <w:pPr>
        <w:spacing w:after="120" w:line="360"/>
        <w:jc w:val="both"/>
      </w:pPr>
      <w:r>
        <w:rPr>
          <w:rFonts w:ascii="Times New Roman" w:cs="Times New Roman" w:eastAsia="Times New Roman" w:hAnsi="Times New Roman"/>
          <w:sz w:val="24"/>
          <w:szCs w:val="24"/>
        </w:rPr>
        <w:t xml:space="preserve">The literature falls into six themes. Rwandan SACCO studies confirm the problem but are descriptive; individual-level machine learning is effective but relationship-blind; network approaches prove relational signal but are corporate, deep, and opaque, with homophily implying overlap with individual features; feature-engineering work shows hand-crafted graph features trade some power for the interpretability this setting requires; methodological work establishes leakage as a first-order threat (as-of features, grouped validation), PR-AUC for rare positives, class weighting as a strong baseline, calibration for usable probabilities, and cost-based thresholds; and explainability tooling is mature. No reviewed study combines a guarantor network, real SACCO outcomes, and an interpretable, calibrated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Author (Year)</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Focus / Method</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Key Finding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Relevance / Gap for This Study</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Nsengiyumva &amp; Harelimana (2020)</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Survey of loan management in Rwandan SACCOs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Credit risk control most affects performance</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Confirms problem; individual appraisal, no network</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Karekezi (2018)</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Census of 35 SACCOs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5Cs appraisal; guarantor as collateral</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Documents the method this study augments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Musengamana (2019)</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Case study of NPLs in a Rwandan SACCO</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NPLs undermine performance</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Real problem; no prediction</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Lessmann et al. (2015)</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Benchmark of credit-scoring classifiers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Ensembles beat single models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Justifies RF/XGBoost vs logistic baseline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Chen &amp; Guestrin (2016)</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XGBoost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Scalable, strong on tabular data</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Primary model; needs engineered network features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Addo et al. (2018)</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ML vs deep learning for default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Trees more stable than neural nets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Supports interpretable trees; no network</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Cheng et al. (2018)</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Network risk diffusion, guarantee loans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Network position improves prediction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Foundational; corporate, not interpretable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Cheng et al. (2020)</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Dynamic graph attention network</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Temporal + structural signal helps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Confirms network value; deep, opaque, corporate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Zandi et al. (2025)</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Multilayer GNN+RNN, consumer default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Connections propagate default risk</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Same argument; not guarantor/SACCO</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Óskarsdóttir et al. (2019)</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Social network analytics for scoring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Defaulter influence improves AUC</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Connections carry signal; call networks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McPherson et al. (2001)</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Homophily in social networks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Similar individuals connect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Lens for incremental network value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Grover &amp; Leskovec (2016)</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node2vec embeddings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Learns node positions automatically</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Alternative representation; not inspectable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Kaufman et al. (2012)</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Leakage in data mining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Leaked features inflate evaluation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Frames the as-of feature discipline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Elkan (2001)</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Cost-sensitive learning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Unequal costs shift optimal threshold</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Justifies recall-first threshold</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Liu et al. (2008)</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Isolation Forest anomaly detection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Isolates outliers via random partitioning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Label-free baseline; underperformed here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Breunig et al. (2000)</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Local Outlier Factor</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Density-based outlier scoring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Label-free baseline; underperformed here</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Saito &amp; Rehmsmeier (2015)</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Metrics for imbalanced data</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 more informative than ROC</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Justifies PR-AUC headline metric</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Chawla et al. (2002)</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SMOTE oversampling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Synthetic minority oversampling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Benchmarked; beaten by class weighting</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Elor &amp; Averbuch-Elor (2022)</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SMOTE vs class weighting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Oversampling adds little for strong models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Matches this study's result</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Niculescu-Mizil &amp; Caruana (2005)</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Probability calibration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Boosted trees need calibration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Justifies isotonic calibration</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Lundberg &amp; Lee (2017)</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SHAP</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Model-agnostic attribution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Explainability method adopted</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Bussmann et al. (2021)</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XGBoost + SHAP for credit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Black-box AI unsuitable in finance</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Same combination; corporate setting</w:t>
            </w:r>
          </w:p>
        </w:tc>
      </w:tr>
    </w:tbl>
    <w:p>
      <w:pPr>
        <w:spacing w:after="60"/>
      </w:pPr>
    </w:p>
    <w:p>
      <w:pPr>
        <w:spacing w:after="180"/>
        <w:jc w:val="center"/>
      </w:pPr>
      <w:r>
        <w:rPr>
          <w:rFonts w:ascii="Times New Roman" w:cs="Times New Roman" w:eastAsia="Times New Roman" w:hAnsi="Times New Roman"/>
          <w:i/>
          <w:iCs/>
          <w:sz w:val="22"/>
          <w:szCs w:val="22"/>
        </w:rPr>
        <w:t xml:space="preserve">Table 2.1: Summary of Reviewed Literature</w:t>
      </w:r>
    </w:p>
    <w:p>
      <w:pPr>
        <w:pStyle w:val="Heading2"/>
        <w:spacing w:after="180" w:before="240" w:line="360"/>
      </w:pPr>
      <w:r>
        <w:rPr>
          <w:rFonts w:ascii="Times New Roman" w:cs="Times New Roman" w:eastAsia="Times New Roman" w:hAnsi="Times New Roman"/>
          <w:b/>
          <w:bCs/>
          <w:sz w:val="28"/>
          <w:szCs w:val="28"/>
        </w:rPr>
        <w:t xml:space="preserve">2.5 Strengths and Weaknesses of the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System / Approach</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Strengths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Weaknesses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How This Study Differed</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SACCO management software (Mifos X / Fineract)</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Manages members, savings, loans, guarantors end to end</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Guarantor is a static record; no network analysis or prediction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Turned the guarantor network into a predictive risk signal</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Digital lenders (M-Shwari)</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ML scoring of thin-file borrowers at scale</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Individual phone-data scoring; no guarantor relationships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Used the SACCO's member-to-member guarantees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Graph research systems (DGANN, iConViz, iConReg)</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Model guarantee networks; high performance</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Corporate/SME; deep, opaque; not for officers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Interpretable, feature-based model for SACCO members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Traditional manual appraisal</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Simple, transparent, trusted</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One borrower at a time; blind to network risk</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Added network-aware, learnable risk with explanations</w:t>
            </w:r>
          </w:p>
        </w:tc>
      </w:tr>
      <w:tr>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This study (GuarantorLens)</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Interpretable, calibrated, individual + network features, SHAP</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11-branch sample; association not causation</w:t>
            </w:r>
          </w:p>
        </w:tc>
        <w:tc>
          <w:tcPr>
            <w:tcW w:type="dxa" w:w="234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Filled the gap for a SACCO</w:t>
            </w:r>
          </w:p>
        </w:tc>
      </w:tr>
    </w:tbl>
    <w:p>
      <w:pPr>
        <w:spacing w:after="60"/>
      </w:pPr>
    </w:p>
    <w:p>
      <w:pPr>
        <w:spacing w:after="180"/>
        <w:jc w:val="center"/>
      </w:pPr>
      <w:r>
        <w:rPr>
          <w:rFonts w:ascii="Times New Roman" w:cs="Times New Roman" w:eastAsia="Times New Roman" w:hAnsi="Times New Roman"/>
          <w:i/>
          <w:iCs/>
          <w:sz w:val="22"/>
          <w:szCs w:val="22"/>
        </w:rPr>
        <w:t xml:space="preserve">Table 2.2: Strengths and Weaknesses of Existing Systems versus the Proposed System</w:t>
      </w:r>
    </w:p>
    <w:p>
      <w:pPr>
        <w:spacing w:after="120" w:line="360"/>
        <w:jc w:val="both"/>
      </w:pPr>
      <w:r>
        <w:rPr>
          <w:rFonts w:ascii="Times New Roman" w:cs="Times New Roman" w:eastAsia="Times New Roman" w:hAnsi="Times New Roman"/>
          <w:sz w:val="24"/>
          <w:szCs w:val="24"/>
        </w:rPr>
        <w:t xml:space="preserve">Each category is strong at its purpose, record-keeping, scale scoring, or systemic-risk analysis, yet none turns a SACCO's own guarantor network into an interpretable, calibrated risk signal at the point of decision, which is what this study provided.</w:t>
      </w:r>
    </w:p>
    <w:p>
      <w:pPr>
        <w:pStyle w:val="Heading2"/>
        <w:spacing w:after="180" w:before="240" w:line="360"/>
      </w:pPr>
      <w:r>
        <w:rPr>
          <w:rFonts w:ascii="Times New Roman" w:cs="Times New Roman" w:eastAsia="Times New Roman" w:hAnsi="Times New Roman"/>
          <w:b/>
          <w:bCs/>
          <w:sz w:val="28"/>
          <w:szCs w:val="28"/>
        </w:rPr>
        <w:t xml:space="preserve">2.6 General Comments and Conclusion</w:t>
      </w:r>
    </w:p>
    <w:p>
      <w:pPr>
        <w:spacing w:after="120" w:line="360"/>
        <w:jc w:val="both"/>
      </w:pPr>
      <w:r>
        <w:rPr>
          <w:rFonts w:ascii="Times New Roman" w:cs="Times New Roman" w:eastAsia="Times New Roman" w:hAnsi="Times New Roman"/>
          <w:sz w:val="24"/>
          <w:szCs w:val="24"/>
        </w:rPr>
        <w:t xml:space="preserve">Taken together, the literature shows that write-offs are a real problem in Rwandan SACCOs, that machine learning predicts default well but at the individual level, and that network-based risk analysis works but has been corporate, deep, and opaque. The methodological literature prescribes how such a model must be evaluated to be believed: leakage-safe as-of features, grouped validation, PR-AUC on rare positives, a strong imbalance baseline, calibrated probabilities, and a cost-based threshold. The practical side of the gap was also corroborated at the study site: an IT Operations Officer who works with the SACCO's loan systems confirmed that the studied product is collateralised by guarantors and savings, that eligibility rules including the guarantee cap are applied one guarantor at a time, and that the systems in use offer no aggregate view of a member's guarantor exposure (informal discussion, May 2026). To the researcher's knowledge, the reviewed literature did not identify a study or system applying interpretable guarantor-network analysis to a Rwandan SACCO under a leakage-controlled design; this study addressed that gap.</w:t>
      </w:r>
    </w:p>
    <w:p>
      <w:pPr>
        <w:pStyle w:val="Heading1"/>
        <w:pageBreakBefore/>
        <w:spacing w:after="180" w:before="0" w:line="360"/>
      </w:pPr>
      <w:r>
        <w:rPr>
          <w:rFonts w:ascii="Times New Roman" w:cs="Times New Roman" w:eastAsia="Times New Roman" w:hAnsi="Times New Roman"/>
          <w:b/>
          <w:bCs/>
          <w:sz w:val="32"/>
          <w:szCs w:val="32"/>
        </w:rPr>
        <w:t xml:space="preserve">CHAPTER THREE: SYSTEM ANALYSIS AND DESIGN</w:t>
      </w:r>
    </w:p>
    <w:p>
      <w:pPr>
        <w:pStyle w:val="Heading2"/>
        <w:spacing w:after="180" w:before="240" w:line="360"/>
      </w:pPr>
      <w:r>
        <w:rPr>
          <w:rFonts w:ascii="Times New Roman" w:cs="Times New Roman" w:eastAsia="Times New Roman" w:hAnsi="Times New Roman"/>
          <w:b/>
          <w:bCs/>
          <w:sz w:val="28"/>
          <w:szCs w:val="28"/>
        </w:rPr>
        <w:t xml:space="preserve">3.1 Introduction</w:t>
      </w:r>
    </w:p>
    <w:p>
      <w:pPr>
        <w:spacing w:after="120" w:line="360"/>
        <w:jc w:val="both"/>
      </w:pPr>
      <w:r>
        <w:rPr>
          <w:rFonts w:ascii="Times New Roman" w:cs="Times New Roman" w:eastAsia="Times New Roman" w:hAnsi="Times New Roman"/>
          <w:sz w:val="24"/>
          <w:szCs w:val="24"/>
        </w:rPr>
        <w:t xml:space="preserve">This chapter presents the research design and development model, the dataset and its labelling, the requirements that scoped GuarantorLens, the model pipeline, the system architecture and design diagrams, the ethical safeguards, and the development tools. Implementation and testing follow in Chapter Four; results in Chapter Five.</w:t>
      </w:r>
    </w:p>
    <w:p>
      <w:pPr>
        <w:pStyle w:val="Heading2"/>
        <w:spacing w:after="180" w:before="240" w:line="360"/>
      </w:pPr>
      <w:r>
        <w:rPr>
          <w:rFonts w:ascii="Times New Roman" w:cs="Times New Roman" w:eastAsia="Times New Roman" w:hAnsi="Times New Roman"/>
          <w:b/>
          <w:bCs/>
          <w:sz w:val="28"/>
          <w:szCs w:val="28"/>
        </w:rPr>
        <w:t xml:space="preserve">3.2 Research Design (including the development model used)</w:t>
      </w:r>
    </w:p>
    <w:p>
      <w:pPr>
        <w:spacing w:after="120" w:line="360"/>
        <w:jc w:val="both"/>
      </w:pPr>
      <w:r>
        <w:rPr>
          <w:rFonts w:ascii="Times New Roman" w:cs="Times New Roman" w:eastAsia="Times New Roman" w:hAnsi="Times New Roman"/>
          <w:sz w:val="24"/>
          <w:szCs w:val="24"/>
        </w:rPr>
        <w:t xml:space="preserve">The design was comparative and quantitative: a borrower-only baseline model versus models adding guarantor-network features, evaluated on the same real outcomes so that any difference is attributable to the network features.</w:t>
      </w:r>
    </w:p>
    <w:p>
      <w:pPr>
        <w:spacing w:after="120" w:line="360"/>
        <w:jc w:val="both"/>
      </w:pPr>
      <w:r>
        <w:rPr>
          <w:rFonts w:ascii="Times New Roman" w:cs="Times New Roman" w:eastAsia="Times New Roman" w:hAnsi="Times New Roman"/>
          <w:sz w:val="24"/>
          <w:szCs w:val="24"/>
        </w:rPr>
        <w:t xml:space="preserve">This was framed as a machine learning problem, not a rules problem, for a specific reason. The SACCO already applies rules to guarantors, but those rules are fixed, checked one guarantor at a time, and cannot learn from outcomes or weigh eighteen interacting signals at once. The task was therefore cast as supervised learning: given the 18 features knowable on the disbursement date (the inputs), predict the probability that the loan ends in write-off (the target variable), learned from 11,015 labelled historical loans and evaluated against explicit baselines with metrics suited to rare outcomes. A rule cannot be improved by data; this model is retrained as outcomes accumulate. The software followed iterative, incremental development, and the machine-learning work followed CRISP-DM (Wirth &amp; Hipp, 2000). Iteration was necessary because requirements evolved with data understanding: the write-off label's meaning was clarified during data understanding, and the leakage rules were tightened after early modelling exposed post-outcome information in the naive feature set.</w:t>
      </w:r>
    </w:p>
    <w:p>
      <w:pPr>
        <w:pStyle w:val="Heading3"/>
        <w:spacing w:after="180" w:before="240" w:line="360"/>
      </w:pPr>
      <w:r>
        <w:rPr>
          <w:rFonts w:ascii="Times New Roman" w:cs="Times New Roman" w:eastAsia="Times New Roman" w:hAnsi="Times New Roman"/>
          <w:b/>
          <w:bCs/>
          <w:sz w:val="24"/>
          <w:szCs w:val="24"/>
        </w:rPr>
        <w:t xml:space="preserve">3.2.1 Dataset and Dataset Description</w:t>
      </w:r>
    </w:p>
    <w:p>
      <w:pPr>
        <w:spacing w:after="120" w:line="360"/>
        <w:jc w:val="both"/>
      </w:pPr>
      <w:r>
        <w:rPr>
          <w:rFonts w:ascii="Times New Roman" w:cs="Times New Roman" w:eastAsia="Times New Roman" w:hAnsi="Times New Roman"/>
          <w:sz w:val="24"/>
          <w:szCs w:val="24"/>
        </w:rPr>
        <w:t xml:space="preserve">Real (not simulated or synthetic) anonymised member and loan records were provided by Umwalimu SACCO under institutional authorisation under the written authorisation granted by Umwalimu SACCO's Director General, carrying opaque client identifiers only. The sample covered 11 of the SACCO's 30 branches, one in each district of Rwanda (Umwalimu SACCO, n.d.-a): Rusizi, Nyagatare, Gasabo, Rubavu, Nyamagabe, Nyanza, Ngororero, Kicukiro, Rutsiro, Nyarugenge, and headquarters; whole-branch sampling kept guarantor relationships intact.</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3.1: Cohort size, class balance, and distributions</w:t>
      </w:r>
    </w:p>
    <w:p>
      <w:pPr>
        <w:spacing w:after="120" w:line="360"/>
        <w:jc w:val="both"/>
      </w:pPr>
      <w:r>
        <w:rPr>
          <w:rFonts w:ascii="Times New Roman" w:cs="Times New Roman" w:eastAsia="Times New Roman" w:hAnsi="Times New Roman"/>
          <w:sz w:val="24"/>
          <w:szCs w:val="24"/>
        </w:rPr>
        <w:t xml:space="preserve">Data arrived as two workbooks, </w:t>
      </w:r>
      <w:r>
        <w:rPr>
          <w:rFonts w:ascii="Courier New" w:cs="Courier New" w:eastAsia="Courier New" w:hAnsi="Courier New"/>
          <w:sz w:val="20"/>
          <w:szCs w:val="20"/>
        </w:rPr>
        <w:t xml:space="preserve">Normal.xlsx</w:t>
      </w:r>
      <w:r>
        <w:rPr>
          <w:rFonts w:ascii="Times New Roman" w:cs="Times New Roman" w:eastAsia="Times New Roman" w:hAnsi="Times New Roman"/>
          <w:sz w:val="24"/>
          <w:szCs w:val="24"/>
        </w:rPr>
        <w:t xml:space="preserve"> (label 0) and </w:t>
      </w:r>
      <w:r>
        <w:rPr>
          <w:rFonts w:ascii="Courier New" w:cs="Courier New" w:eastAsia="Courier New" w:hAnsi="Courier New"/>
          <w:sz w:val="20"/>
          <w:szCs w:val="20"/>
        </w:rPr>
        <w:t xml:space="preserve">Written Off.xlsx</w:t>
      </w:r>
      <w:r>
        <w:rPr>
          <w:rFonts w:ascii="Times New Roman" w:cs="Times New Roman" w:eastAsia="Times New Roman" w:hAnsi="Times New Roman"/>
          <w:sz w:val="24"/>
          <w:szCs w:val="24"/>
        </w:rPr>
        <w:t xml:space="preserve"> (label 1), merged to one row per loan with written-off records taking precedence. The target variable (the label) was binary write-off: 1 if the SACCO ultimately wrote the loan off, 0 for every other closed loan. The dataset's Repayment Status column records post-write-off recovery and was explicitly not the label, a distinction clarified with the supervisor. The loans in scope were the Emergency on Savings product, two-year term, collateralised by the borrower's guarantors and savings rather than physical assets (from an informal discussion with the SACCO's IT operations staff, May 2026). After cleaning, the cohort held 11,015 loans, 226 written off (2.1%), disbursed 2022-2023; given the two-year term, the cohort had fully matured within the observation window, which limits label delay. The sample contained 22,485 members with about 2.5 guarantors per loan; outcomes were 10,667 repaid (97%), 226 written off (2%), and 122 in arrears 90+ days (1%). With a 2.1% positive rate, accuracy is meaningless and ROC can flatter, so PR-AUC was the headline metric (Saito &amp; Rehmsmeier, 2015).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Property</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Value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Source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Umwalimu SACCO internal records (authorised, anonymised, opaque IDs)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Loan product</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Emergency on Savings: two-year term, collateralised by guarantors and savings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Sampling</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11 of ~30 branches, whole-branch sampling</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Cohort</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11,015 loans disbursed 2022-2023; 22,485 members; ~2.5 guarantors per loan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Positive class</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226 written-off loans (≈2.1%)</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Label</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Ultimately written off by the SACCO; Repayment Status is not the label</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Features</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18: 11 borrower/loan + 7 guarantor-network</w:t>
            </w:r>
          </w:p>
        </w:tc>
      </w:tr>
    </w:tbl>
    <w:p>
      <w:pPr>
        <w:spacing w:after="60"/>
      </w:pPr>
    </w:p>
    <w:p>
      <w:pPr>
        <w:spacing w:after="180"/>
        <w:jc w:val="center"/>
      </w:pPr>
      <w:r>
        <w:rPr>
          <w:rFonts w:ascii="Times New Roman" w:cs="Times New Roman" w:eastAsia="Times New Roman" w:hAnsi="Times New Roman"/>
          <w:i/>
          <w:iCs/>
          <w:sz w:val="22"/>
          <w:szCs w:val="22"/>
        </w:rPr>
        <w:t xml:space="preserve">Table 3.1: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Group</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Features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loan (11)</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log_amount, savings, salary, interest_rate, loan_to_savings, loan_to_salary, account_age, b_prior_loans, b_prior_writeoff, b_prior_arrears_rate, b_recent_loans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Guarantor network (7)</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n_guarantors, g_mean_savings, g_mean_salary, g_prior_default_rate, g_prior_arrears_rate, g_sav_ratio, community_prior_default_rate</w:t>
            </w:r>
          </w:p>
        </w:tc>
      </w:tr>
    </w:tbl>
    <w:p>
      <w:pPr>
        <w:spacing w:after="60"/>
      </w:pPr>
    </w:p>
    <w:p>
      <w:pPr>
        <w:spacing w:after="180"/>
        <w:jc w:val="center"/>
      </w:pPr>
      <w:r>
        <w:rPr>
          <w:rFonts w:ascii="Times New Roman" w:cs="Times New Roman" w:eastAsia="Times New Roman" w:hAnsi="Times New Roman"/>
          <w:i/>
          <w:iCs/>
          <w:sz w:val="22"/>
          <w:szCs w:val="22"/>
        </w:rPr>
        <w:t xml:space="preserve">Table 3.2: Feature set (18 features)</w:t>
      </w:r>
    </w:p>
    <w:p>
      <w:pPr>
        <w:spacing w:after="180"/>
        <w:jc w:val="center"/>
      </w:pPr>
      <w:r>
        <w:rPr>
          <w:rFonts w:ascii="Times New Roman" w:cs="Times New Roman" w:eastAsia="Times New Roman" w:hAnsi="Times New Roman"/>
          <w:i/>
          <w:iCs/>
          <w:sz w:val="22"/>
          <w:szCs w:val="22"/>
        </w:rPr>
        <w:t xml:space="preserve">Table 3.3 defines each guarantor-network feature and the risk logic behind it; all are computed on the guarantee graph as it existed at the loan's disbursement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Network feature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What it measures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Why it signals risk</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n_guarantors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Number of guarantors backing this loan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Fewer backers means thinner security behind the loan</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g_mean_savings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Mean savings balance of the loan's guarantors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Since guarantors' savings are part of the collateral, low balances mean weak recovery capacity</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g_mean_salary</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Mean salary of the loan's guarantors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Low guarantor income limits their ability to absorb the debt if called</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g_prior_default_rate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Share of this loan's guarantors with a write-off in their own history before this loan's disbursement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Being backed by prior defaulters was the study's H1b: distress clusters in the network</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g_prior_arrears_rate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Share of this loan's guarantors with prior 90+ day arrears before disbursement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An earlier-stage distress signal than write-off among the backers</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g_sav_ratio</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Mean of the guarantors' savings divided by the borrower's own savings plus one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Measures whether the borrower is backed by savers financially stronger than themselves; the plus-one keeps the ratio defined when the borrower has no savings</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community_prior_default_rate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As-of write-off rate of the borrower's connected community in the guarantee graph (union-find components)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Captures neighbourhood-level risk beyond direct backers: high-default clusters</w:t>
            </w:r>
          </w:p>
        </w:tc>
      </w:tr>
    </w:tbl>
    <w:p>
      <w:pPr>
        <w:spacing w:after="60"/>
      </w:pPr>
    </w:p>
    <w:p>
      <w:pPr>
        <w:spacing w:after="180"/>
        <w:jc w:val="center"/>
      </w:pPr>
      <w:r>
        <w:rPr>
          <w:rFonts w:ascii="Times New Roman" w:cs="Times New Roman" w:eastAsia="Times New Roman" w:hAnsi="Times New Roman"/>
          <w:i/>
          <w:iCs/>
          <w:sz w:val="22"/>
          <w:szCs w:val="22"/>
        </w:rPr>
        <w:t xml:space="preserve">Table 3.3: Guarantor-network feature definitions</w:t>
      </w:r>
    </w:p>
    <w:p>
      <w:pPr>
        <w:spacing w:after="120" w:line="360"/>
        <w:jc w:val="both"/>
      </w:pPr>
      <w:r>
        <w:rPr>
          <w:rFonts w:ascii="Times New Roman" w:cs="Times New Roman" w:eastAsia="Times New Roman" w:hAnsi="Times New Roman"/>
          <w:sz w:val="24"/>
          <w:szCs w:val="24"/>
        </w:rPr>
        <w:t xml:space="preserve">A leakage screen divided the raw fields into two sets by one test: is the value knowable on the loan's disbursement date? Fields failing the test (leaking) were blocked; the 18 features of Table 3.2 all pass it (non-leaking), with network features computed on the guarantee graph reconstructed as of that date, so a guarantor's later default cannot leak backward. The screen also dropped </w:t>
      </w:r>
      <w:r>
        <w:rPr>
          <w:rFonts w:ascii="Courier New" w:cs="Courier New" w:eastAsia="Courier New" w:hAnsi="Courier New"/>
          <w:sz w:val="20"/>
          <w:szCs w:val="20"/>
        </w:rPr>
        <w:t xml:space="preserve">time_since_last_loan</w:t>
      </w:r>
      <w:r>
        <w:rPr>
          <w:rFonts w:ascii="Times New Roman" w:cs="Times New Roman" w:eastAsia="Times New Roman" w:hAnsi="Times New Roman"/>
          <w:sz w:val="24"/>
          <w:szCs w:val="24"/>
        </w:rPr>
        <w:t xml:space="preserve"> after it was found to encode post-outcome information. </w:t>
      </w:r>
      <w:r>
        <w:rPr>
          <w:rFonts w:ascii="Courier New" w:cs="Courier New" w:eastAsia="Courier New" w:hAnsi="Courier New"/>
          <w:sz w:val="20"/>
          <w:szCs w:val="20"/>
        </w:rPr>
        <w:t xml:space="preserve">community_prior_default_rate</w:t>
      </w:r>
      <w:r>
        <w:rPr>
          <w:rFonts w:ascii="Times New Roman" w:cs="Times New Roman" w:eastAsia="Times New Roman" w:hAnsi="Times New Roman"/>
          <w:sz w:val="24"/>
          <w:szCs w:val="24"/>
        </w:rPr>
        <w:t xml:space="preserve"> used a union-find grouping over borrower-guarantor edges, taking the as-of write-off rate of the borrower's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Blocked (leaking) field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Why it leaks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Days in arrears</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Records repayment behaviour that happens after disbursement; near-proxy for the label</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Repayment status (Repaid/Active)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The post-write-off recovery state, downstream of the outcome itself</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Last payment date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Post-disbursement behaviour, unknown at decision time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Loan closure/outcome fields</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Only exist once the outcome has occurred</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time_since_last_loan</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Dropped by the screen after it was found to encode post-outcome information</w:t>
            </w:r>
          </w:p>
        </w:tc>
      </w:tr>
    </w:tbl>
    <w:p>
      <w:pPr>
        <w:spacing w:after="60"/>
      </w:pPr>
    </w:p>
    <w:p>
      <w:pPr>
        <w:spacing w:after="180"/>
        <w:jc w:val="center"/>
      </w:pPr>
      <w:r>
        <w:rPr>
          <w:rFonts w:ascii="Times New Roman" w:cs="Times New Roman" w:eastAsia="Times New Roman" w:hAnsi="Times New Roman"/>
          <w:i/>
          <w:iCs/>
          <w:sz w:val="22"/>
          <w:szCs w:val="22"/>
        </w:rPr>
        <w:t xml:space="preserve">Table 3.4: Leakage screen (blocked fields versus the admitted feature set) [CONFIRM the blocked list against the screen's output / 01_leakage_evidence.png]</w:t>
      </w:r>
    </w:p>
    <w:p>
      <w:pPr>
        <w:spacing w:after="60" w:before="12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3.2: Blocked post-outcome features</w:t>
      </w:r>
    </w:p>
    <w:p>
      <w:pPr>
        <w:spacing w:after="120" w:line="360"/>
        <w:jc w:val="both"/>
      </w:pPr>
      <w:r>
        <w:rPr>
          <w:rFonts w:ascii="Times New Roman" w:cs="Times New Roman" w:eastAsia="Times New Roman" w:hAnsi="Times New Roman"/>
          <w:sz w:val="24"/>
          <w:szCs w:val="24"/>
        </w:rPr>
        <w:t xml:space="preserve">Borrower savings and salary were complete for all 11,015 loans (0% missing); missingness sat on the guarantor side, where members who only ever backed loans have no financial record (51% of members), so guarantor-mean features averaged over available guarantors, with remaining gaps median-imputed (</w:t>
      </w:r>
      <w:r>
        <w:rPr>
          <w:rFonts w:ascii="Courier New" w:cs="Courier New" w:eastAsia="Courier New" w:hAnsi="Courier New"/>
          <w:sz w:val="20"/>
          <w:szCs w:val="20"/>
        </w:rPr>
        <w:t xml:space="preserve">SimpleImputer</w:t>
      </w:r>
      <w:r>
        <w:rPr>
          <w:rFonts w:ascii="Times New Roman" w:cs="Times New Roman" w:eastAsia="Times New Roman" w:hAnsi="Times New Roman"/>
          <w:sz w:val="24"/>
          <w:szCs w:val="24"/>
        </w:rPr>
        <w:t xml:space="preserve">) and ratio denominators falling back to training medians. Evaluation used five-fold borrower-grouped cross-validation, all of a borrower's loans in one fold, with metrics reported on out-of-fold predictions across all 11,015 loans; grouped validation prevents the optimistic bias that arises when the same entity appears on both sides of a split (Kaufman et al., 2012). This specifies the validation design the proposal left open.</w:t>
      </w:r>
    </w:p>
    <w:p>
      <w:pPr>
        <w:pStyle w:val="Heading2"/>
        <w:spacing w:after="180" w:before="240" w:line="360"/>
      </w:pPr>
      <w:r>
        <w:rPr>
          <w:rFonts w:ascii="Times New Roman" w:cs="Times New Roman" w:eastAsia="Times New Roman" w:hAnsi="Times New Roman"/>
          <w:b/>
          <w:bCs/>
          <w:sz w:val="28"/>
          <w:szCs w:val="28"/>
        </w:rPr>
        <w:t xml:space="preserve">3.3 Functional and Non-Functional Requirements</w:t>
      </w:r>
    </w:p>
    <w:p>
      <w:pPr>
        <w:spacing w:after="120" w:line="360"/>
        <w:jc w:val="both"/>
      </w:pPr>
      <w:r>
        <w:rPr>
          <w:rFonts w:ascii="Times New Roman" w:cs="Times New Roman" w:eastAsia="Times New Roman" w:hAnsi="Times New Roman"/>
          <w:sz w:val="24"/>
          <w:szCs w:val="24"/>
        </w:rPr>
        <w:t xml:space="preserve">GuarantorLens scores a proposed loan using the borrower and their guarantor network, explains the score, and flags network risks; it supports the officer's decision and never approves or declines.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ID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Requirement</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FR1</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Score a proposed loan's default risk (0-100 plus a Low/Medium/High band)</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FR2</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Explain each score: top drivers (SHAP) plus plain-language reasons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FR3</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Flag guarantor-network red flags (over-committed backer; defaulter backers)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FR4</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What-if simulation (change amount, savings, guarantors) and re-score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FR5</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Fix-it advisor: suggest stronger same-branch guarantors with the new score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FR6</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Member profile, guarantor network graph, and contagion view</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FR7</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Portfolio insights (overview, weak links, monitoring/early warning)</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FR8</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Applications workflow: create → escalate → recommend</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FR9</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Role-based access (loan officer / credit manager / admin)</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FR10</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Export a printable PDF report of an assessment</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FR11</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Admin: hot-swap the model and re-seed the reference dataset (delete old data and re-seed, with a seed timestamp and row counts shown as proof)</w:t>
            </w:r>
          </w:p>
        </w:tc>
      </w:tr>
    </w:tbl>
    <w:p>
      <w:pPr>
        <w:spacing w:after="60"/>
      </w:pPr>
    </w:p>
    <w:p>
      <w:pPr>
        <w:spacing w:after="180"/>
        <w:jc w:val="center"/>
      </w:pPr>
      <w:r>
        <w:rPr>
          <w:rFonts w:ascii="Times New Roman" w:cs="Times New Roman" w:eastAsia="Times New Roman" w:hAnsi="Times New Roman"/>
          <w:i/>
          <w:iCs/>
          <w:sz w:val="22"/>
          <w:szCs w:val="22"/>
        </w:rPr>
        <w:t xml:space="preserve">Table 3.5: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ID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Requirement</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NFR1</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Explainability: no unexplained "black-box" score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NFR2</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Calibrated probabilities usable at an operating threshold</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NFR3</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Leakage-free: features use only information available at decision time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NFR4</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Security: JWT authentication; anonymised data; no secrets in the repository</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NFR5</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Availability: transparent rule-based fallback if the model cannot load</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NFR6</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Usability/responsiveness: desktop, tablet, and mobile</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NFR7</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Performance: sub-second scoring after cold start</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NFR8</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Maintainability/deployability: CI-friendly, one-command run</w:t>
            </w:r>
          </w:p>
        </w:tc>
      </w:tr>
    </w:tbl>
    <w:p>
      <w:pPr>
        <w:spacing w:after="60"/>
      </w:pPr>
    </w:p>
    <w:p>
      <w:pPr>
        <w:spacing w:after="180"/>
        <w:jc w:val="center"/>
      </w:pPr>
      <w:r>
        <w:rPr>
          <w:rFonts w:ascii="Times New Roman" w:cs="Times New Roman" w:eastAsia="Times New Roman" w:hAnsi="Times New Roman"/>
          <w:i/>
          <w:iCs/>
          <w:sz w:val="22"/>
          <w:szCs w:val="22"/>
        </w:rPr>
        <w:t xml:space="preserve">Table 3.6: Non-functional requirements</w:t>
      </w:r>
    </w:p>
    <w:p>
      <w:pPr>
        <w:spacing w:after="120" w:line="360"/>
        <w:jc w:val="both"/>
      </w:pPr>
      <w:r>
        <w:rPr>
          <w:rFonts w:ascii="Times New Roman" w:cs="Times New Roman" w:eastAsia="Times New Roman" w:hAnsi="Times New Roman"/>
          <w:sz w:val="24"/>
          <w:szCs w:val="24"/>
        </w:rPr>
        <w:t xml:space="preserve">Non-functional requirements cannot be implemented on their own; they were decomposed into implemented functional behaviour. Security (NFR4), for example, became concrete features: JWT-authenticated login, salted password hashing, single-use reset tokens, and role gating on the recommendation endpoint. Explainability (NFR1) became FR2's SHAP-derived reasons, and availability (NFR5) became the rule-based fallback.</w:t>
      </w:r>
    </w:p>
    <w:p>
      <w:pPr>
        <w:pStyle w:val="Heading3"/>
        <w:spacing w:after="180" w:before="240" w:line="360"/>
      </w:pPr>
      <w:r>
        <w:rPr>
          <w:rFonts w:ascii="Times New Roman" w:cs="Times New Roman" w:eastAsia="Times New Roman" w:hAnsi="Times New Roman"/>
          <w:b/>
          <w:bCs/>
          <w:sz w:val="24"/>
          <w:szCs w:val="24"/>
        </w:rPr>
        <w:t xml:space="preserve">3.3.1 Proposed Model Diagram</w:t>
      </w:r>
    </w:p>
    <w:p>
      <w:pPr>
        <w:spacing w:after="120" w:line="360"/>
        <w:jc w:val="both"/>
      </w:pPr>
      <w:r>
        <w:rPr>
          <w:rFonts w:ascii="Times New Roman" w:cs="Times New Roman" w:eastAsia="Times New Roman" w:hAnsi="Times New Roman"/>
          <w:sz w:val="24"/>
          <w:szCs w:val="24"/>
        </w:rPr>
        <w:t xml:space="preserve">The pipeline ran in eight stages. (1) Prepare and label the data and remove leakage; (2) engineer the borrower and guarantor-network features; (3) try unsupervised methods first, anomaly detection with IsolationForest and Local Outlier Factor, which proved too weak without labels (Chapter Five) and so justified the supervised path; (4) train and evaluate five supervised families (Logistic Regression, Decision Tree, Random Forest, XGBoost, and a neural network) under borrower-grouped cross-validation, with imbalance handled by class weighting after benchmarking against SMOTE variants; (5) select the best family from the leaderboard, XGBoost (Chen &amp; Guestrin, 2016); (6) pair the selected model with the guarantor-network features via the feature-set comparison that answers the research question; (7) finalise in five technical steps: monotone constraints on the six constrainable features (savings pushes risk down; loan size, loan-to-savings, loan-to-salary, the guarantors' prior arrears rate, and the community prior default rate push it up), isotonic probability calibration (Niculescu-Mizil &amp; Caruana, 2005), Low/Medium/High risk bands cut at the 70th and 90th score percentiles, SHAP explainability, and export of the serving bundle (</w:t>
      </w:r>
      <w:r>
        <w:rPr>
          <w:rFonts w:ascii="Courier New" w:cs="Courier New" w:eastAsia="Courier New" w:hAnsi="Courier New"/>
          <w:sz w:val="20"/>
          <w:szCs w:val="20"/>
        </w:rPr>
        <w:t xml:space="preserve">guarantorlens_serving.joblib</w:t>
      </w:r>
      <w:r>
        <w:rPr>
          <w:rFonts w:ascii="Times New Roman" w:cs="Times New Roman" w:eastAsia="Times New Roman" w:hAnsi="Times New Roman"/>
          <w:sz w:val="24"/>
          <w:szCs w:val="24"/>
        </w:rPr>
        <w:t xml:space="preserve">: model, feature list, bands, imputation medians, metrics); and (8) deploy behind the FastAPI </w:t>
      </w:r>
      <w:r>
        <w:rPr>
          <w:rFonts w:ascii="Courier New" w:cs="Courier New" w:eastAsia="Courier New" w:hAnsi="Courier New"/>
          <w:sz w:val="20"/>
          <w:szCs w:val="20"/>
        </w:rPr>
        <w:t xml:space="preserve">/assess-risk</w:t>
      </w:r>
      <w:r>
        <w:rPr>
          <w:rFonts w:ascii="Times New Roman" w:cs="Times New Roman" w:eastAsia="Times New Roman" w:hAnsi="Times New Roman"/>
          <w:sz w:val="24"/>
          <w:szCs w:val="24"/>
        </w:rPr>
        <w:t xml:space="preserve"> endpoint, which scores and explains each loan. Calibration matters because the tool exposes probabilities to non-technical users at an operating threshold (NFR2); the constraints encode domain logic that makes scores defensible, at a measured metric cost quantified in Chapter Five.</w:t>
      </w:r>
    </w:p>
    <w:p>
      <w:pPr>
        <w:spacing w:after="60" w:before="12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3.3: Machine-learning pipeline (eight stages)</w:t>
      </w:r>
    </w:p>
    <w:p>
      <w:pPr>
        <w:spacing w:after="120" w:line="360"/>
        <w:jc w:val="both"/>
      </w:pPr>
      <w:r>
        <w:rPr>
          <w:rFonts w:ascii="Times New Roman" w:cs="Times New Roman" w:eastAsia="Times New Roman" w:hAnsi="Times New Roman"/>
          <w:sz w:val="24"/>
          <w:szCs w:val="24"/>
        </w:rPr>
        <w:t xml:space="preserve">Because several of these concepts recur throughout Chapters Three to Five, Table 3.7 states each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Concept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In plain terms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Why it matters here</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Calibrated probabilities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When the model says "10% risk," about 10% of such loans really do end in write-off</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Officers act on the number shown; boosted trees exaggerate probabilities by default, so isotonic calibration corrects them</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Operating threshold (0.218)</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The score cut-off above which a loan is flagged for extra review</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Chosen backwards from the goal: the SACCO wants at least 80% of future write-offs caught, and 0.218 is the deployed model's cut-off that achieves it (181 of 226)</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Recall (0.801)</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Of all loans that truly ended in write-off, the share the tool flagged</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 missed write-off is the SACCO's costly error, so recall was put first when choosing the threshold</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Precision (0.138)</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Of all flagged loans, the share that truly became write-offs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Roughly one flag in seven is a real future write-off; the rest are reviews of safe loans, the price of catching 80% when every flag is reviewed by a human</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PR-AUC vs ROC-AUC</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PR-AUC scores how well the model finds the rare bad loans; ROC-AUC scores its overall ranking of all loans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With rare positives, ROC-AUC flatters a model, so PR-AUC is the headline metric</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Class weighting</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Training penalises a mistake on the rare write-off class more heavily than one on the common repaid class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Simpler than generating synthetic minority examples (SMOTE), and it scored better in this study's comparison</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Borrower-grouped cross-validation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Every loan is scored by a model that never saw that borrower during training; "out-of-fold" metrics come from these unseen predictions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Stops the model from simply remembering a borrower, giving an honest estimate of real performance</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Monotone constraints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Rules baked into the model: more savings can never raise the score, and a bigger loan can never lower it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Keeps behaviour explainable and defensible to credit staff, at a small measured cost in raw metrics</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SHAP</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 method that splits each prediction into the contribution of every feature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Turns a score into the plain-language reasons an officer reads on screen</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Bootstrap confidence interval</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Recomputing a result many times on resampled data to see how much it varies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Showed the network features' PR-AUC lift could plausibly be zero, which kept the claims honest</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Homophily</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Similar people tend to be connected to each other</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Strained borrowers tend to have strained guarantors, so the network partly repeats what borrower finances already show</w:t>
            </w:r>
          </w:p>
        </w:tc>
      </w:tr>
    </w:tbl>
    <w:p>
      <w:pPr>
        <w:spacing w:after="60"/>
      </w:pPr>
    </w:p>
    <w:p>
      <w:pPr>
        <w:spacing w:after="180"/>
        <w:jc w:val="center"/>
      </w:pPr>
      <w:r>
        <w:rPr>
          <w:rFonts w:ascii="Times New Roman" w:cs="Times New Roman" w:eastAsia="Times New Roman" w:hAnsi="Times New Roman"/>
          <w:i/>
          <w:iCs/>
          <w:sz w:val="22"/>
          <w:szCs w:val="22"/>
        </w:rPr>
        <w:t xml:space="preserve">Table 3.7: Key concepts in plain terms</w:t>
      </w:r>
    </w:p>
    <w:p>
      <w:pPr>
        <w:pStyle w:val="Heading2"/>
        <w:spacing w:after="180" w:before="240" w:line="360"/>
      </w:pPr>
      <w:r>
        <w:rPr>
          <w:rFonts w:ascii="Times New Roman" w:cs="Times New Roman" w:eastAsia="Times New Roman" w:hAnsi="Times New Roman"/>
          <w:b/>
          <w:bCs/>
          <w:sz w:val="28"/>
          <w:szCs w:val="28"/>
        </w:rPr>
        <w:t xml:space="preserve">3.4 System Architecture and Design Diagrams</w:t>
      </w:r>
    </w:p>
    <w:p>
      <w:pPr>
        <w:spacing w:after="120" w:line="360"/>
        <w:jc w:val="both"/>
      </w:pPr>
      <w:r>
        <w:rPr>
          <w:rFonts w:ascii="Times New Roman" w:cs="Times New Roman" w:eastAsia="Times New Roman" w:hAnsi="Times New Roman"/>
          <w:sz w:val="24"/>
          <w:szCs w:val="24"/>
        </w:rPr>
        <w:t xml:space="preserve">The system had three layers: a React (Vite, TypeScript, Tailwind) presentation layer on Vercel; a FastAPI application layer on Render with focused modules (</w:t>
      </w:r>
      <w:r>
        <w:rPr>
          <w:rFonts w:ascii="Courier New" w:cs="Courier New" w:eastAsia="Courier New" w:hAnsi="Courier New"/>
          <w:sz w:val="20"/>
          <w:szCs w:val="20"/>
        </w:rPr>
        <w:t xml:space="preserve">auth.py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risk.py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applications.py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members.py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insights.py</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scoring.py</w:t>
      </w:r>
      <w:r>
        <w:rPr>
          <w:rFonts w:ascii="Times New Roman" w:cs="Times New Roman" w:eastAsia="Times New Roman" w:hAnsi="Times New Roman"/>
          <w:sz w:val="24"/>
          <w:szCs w:val="24"/>
        </w:rPr>
        <w:t xml:space="preserve">) behind HTTPS/JWT; and a PostgreSQL data layer accessed through SQLAlchemy that holds all tabular data in six tables: the transactional workflow data (</w:t>
      </w:r>
      <w:r>
        <w:rPr>
          <w:rFonts w:ascii="Courier New" w:cs="Courier New" w:eastAsia="Courier New" w:hAnsi="Courier New"/>
          <w:sz w:val="20"/>
          <w:szCs w:val="20"/>
        </w:rPr>
        <w:t xml:space="preserve">users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applications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recommendations</w:t>
      </w:r>
      <w:r>
        <w:rPr>
          <w:rFonts w:ascii="Times New Roman" w:cs="Times New Roman" w:eastAsia="Times New Roman" w:hAnsi="Times New Roman"/>
          <w:sz w:val="24"/>
          <w:szCs w:val="24"/>
        </w:rPr>
        <w:t xml:space="preserve">) and the anonymised reference data (</w:t>
      </w:r>
      <w:r>
        <w:rPr>
          <w:rFonts w:ascii="Courier New" w:cs="Courier New" w:eastAsia="Courier New" w:hAnsi="Courier New"/>
          <w:sz w:val="20"/>
          <w:szCs w:val="20"/>
        </w:rPr>
        <w:t xml:space="preserve">members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loans</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guarantees</w:t>
      </w:r>
      <w:r>
        <w:rPr>
          <w:rFonts w:ascii="Times New Roman" w:cs="Times New Roman" w:eastAsia="Times New Roman" w:hAnsi="Times New Roman"/>
          <w:sz w:val="24"/>
          <w:szCs w:val="24"/>
        </w:rPr>
        <w:t xml:space="preserve">), seeded once from the anonymised files, which serve only as the seed. At startup the reference tables are loaded read-only into memory, because the network computations (communities, contagion, weak links) traverse the whole graph, and in-memory traversal is far faster than per-row SQL: the database is the source of truth, the in-memory graph is the read path. The trained model loads separately from its versioned bundle file, so a bad training run cannot corrupt operational data, and the API falls back to rule-based scoring (NFR5) if the bundle fails to load. The public deployment is seeded with synthetic data only; real pseudonymised records remain local (NFR4). Keeping immutable artifacts separate from the transactional database means a bad training run cannot corrupt operational data, and the API falls back to rule-based scoring (NFR5) if the bundle fails to load.</w:t>
      </w:r>
    </w:p>
    <w:p>
      <w:pPr>
        <w:spacing w:after="60" w:before="120"/>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3357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3.4: System architecture</w:t>
      </w:r>
    </w:p>
    <w:p>
      <w:pPr>
        <w:spacing w:after="120" w:line="360"/>
        <w:jc w:val="both"/>
      </w:pPr>
      <w:r>
        <w:rPr>
          <w:rFonts w:ascii="Times New Roman" w:cs="Times New Roman" w:eastAsia="Times New Roman" w:hAnsi="Times New Roman"/>
          <w:sz w:val="24"/>
          <w:szCs w:val="24"/>
        </w:rPr>
        <w:t xml:space="preserve">The use case diagram covers the loan officer (assess risk, including explanation and what-if; create and escalate applications; explore members and network; view insights), the credit manager (inherits the officer's cases, reviews the queue, records recommendations), and the admin (manages model and data).</w:t>
      </w:r>
    </w:p>
    <w:p>
      <w:pPr>
        <w:spacing w:after="60" w:before="12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718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3.5: Use-case diagram</w:t>
      </w:r>
    </w:p>
    <w:p>
      <w:pPr>
        <w:spacing w:after="120" w:line="360"/>
        <w:jc w:val="both"/>
      </w:pPr>
      <w:r>
        <w:rPr>
          <w:rFonts w:ascii="Times New Roman" w:cs="Times New Roman" w:eastAsia="Times New Roman" w:hAnsi="Times New Roman"/>
          <w:sz w:val="24"/>
          <w:szCs w:val="24"/>
        </w:rPr>
        <w:t xml:space="preserve">The class diagram, generated from the real code so it matches the implementation, centres on </w:t>
      </w:r>
      <w:r>
        <w:rPr>
          <w:rFonts w:ascii="Courier New" w:cs="Courier New" w:eastAsia="Courier New" w:hAnsi="Courier New"/>
          <w:sz w:val="20"/>
          <w:szCs w:val="20"/>
        </w:rPr>
        <w:t xml:space="preserve">ScoringService</w:t>
      </w:r>
      <w:r>
        <w:rPr>
          <w:rFonts w:ascii="Times New Roman" w:cs="Times New Roman" w:eastAsia="Times New Roman" w:hAnsi="Times New Roman"/>
          <w:sz w:val="24"/>
          <w:szCs w:val="24"/>
        </w:rPr>
        <w:t xml:space="preserve"> (as-of features, calibrated </w:t>
      </w:r>
      <w:r>
        <w:rPr>
          <w:rFonts w:ascii="Courier New" w:cs="Courier New" w:eastAsia="Courier New" w:hAnsi="Courier New"/>
          <w:sz w:val="20"/>
          <w:szCs w:val="20"/>
        </w:rPr>
        <w:t xml:space="preserve">ScoringModel</w:t>
      </w:r>
      <w:r>
        <w:rPr>
          <w:rFonts w:ascii="Times New Roman" w:cs="Times New Roman" w:eastAsia="Times New Roman" w:hAnsi="Times New Roman"/>
          <w:sz w:val="24"/>
          <w:szCs w:val="24"/>
        </w:rPr>
        <w:t xml:space="preserve">, SHAP, band adjustment, guarantor suggestions) with </w:t>
      </w:r>
      <w:r>
        <w:rPr>
          <w:rFonts w:ascii="Courier New" w:cs="Courier New" w:eastAsia="Courier New" w:hAnsi="Courier New"/>
          <w:sz w:val="20"/>
          <w:szCs w:val="20"/>
        </w:rPr>
        <w:t xml:space="preserve">NetworkData</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InsightsService</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AuthService</w:t>
      </w:r>
      <w:r>
        <w:rPr>
          <w:rFonts w:ascii="Times New Roman" w:cs="Times New Roman" w:eastAsia="Times New Roman" w:hAnsi="Times New Roman"/>
          <w:sz w:val="24"/>
          <w:szCs w:val="24"/>
        </w:rPr>
        <w:t xml:space="preserve">, and the domain classes </w:t>
      </w:r>
      <w:r>
        <w:rPr>
          <w:rFonts w:ascii="Courier New" w:cs="Courier New" w:eastAsia="Courier New" w:hAnsi="Courier New"/>
          <w:sz w:val="20"/>
          <w:szCs w:val="20"/>
        </w:rPr>
        <w:t xml:space="preserve">User</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Application</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Recommendation</w:t>
      </w:r>
      <w:r>
        <w:rPr>
          <w:rFonts w:ascii="Times New Roman" w:cs="Times New Roman" w:eastAsia="Times New Roman" w:hAnsi="Times New Roman"/>
          <w:sz w:val="24"/>
          <w:szCs w:val="24"/>
        </w:rPr>
        <w:t xml:space="preserve">, and </w:t>
      </w:r>
      <w:r>
        <w:rPr>
          <w:rFonts w:ascii="Courier New" w:cs="Courier New" w:eastAsia="Courier New" w:hAnsi="Courier New"/>
          <w:sz w:val="20"/>
          <w:szCs w:val="20"/>
        </w:rPr>
        <w:t xml:space="preserve">RiskAssessment</w:t>
      </w:r>
      <w:r>
        <w:rPr>
          <w:rFonts w:ascii="Times New Roman" w:cs="Times New Roman" w:eastAsia="Times New Roman" w:hAnsi="Times New Roman"/>
          <w:sz w:val="24"/>
          <w:szCs w:val="24"/>
        </w:rPr>
        <w:t xml:space="preserve">, including the central domain classes the proposal's diagram omitted.</w:t>
      </w:r>
    </w:p>
    <w:p>
      <w:pPr>
        <w:spacing w:after="60" w:before="120"/>
        <w:jc w:val="center"/>
      </w:pPr>
      <w:r>
        <w:drawing>
          <wp:inline distT="0" distB="0" distL="0" distR="0">
            <wp:extent cx="57150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3872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3.6: Class diagram (backend domain and services)</w:t>
      </w:r>
    </w:p>
    <w:p>
      <w:pPr>
        <w:spacing w:after="120" w:line="360"/>
        <w:jc w:val="both"/>
      </w:pPr>
      <w:r>
        <w:rPr>
          <w:rFonts w:ascii="Times New Roman" w:cs="Times New Roman" w:eastAsia="Times New Roman" w:hAnsi="Times New Roman"/>
          <w:sz w:val="24"/>
          <w:szCs w:val="24"/>
        </w:rPr>
        <w:t xml:space="preserve">The ERD shows the six real database tables: the transactional cluster, USER (1)-(</w:t>
      </w:r>
      <w:r>
        <w:rPr>
          <w:rFonts w:ascii="Times New Roman" w:cs="Times New Roman" w:eastAsia="Times New Roman" w:hAnsi="Times New Roman"/>
          <w:i/>
          <w:iCs/>
          <w:sz w:val="24"/>
          <w:szCs w:val="24"/>
        </w:rPr>
        <w:t xml:space="preserve">) APPLICATION (1)-(</w:t>
      </w:r>
      <w:r>
        <w:rPr>
          <w:rFonts w:ascii="Times New Roman" w:cs="Times New Roman" w:eastAsia="Times New Roman" w:hAnsi="Times New Roman"/>
          <w:sz w:val="24"/>
          <w:szCs w:val="24"/>
        </w:rPr>
        <w:t xml:space="preserve">) RECOMMENDATION, and the reference cluster now persisted in PostgreSQL, MEMBER (1)-(</w:t>
      </w:r>
      <w:r>
        <w:rPr>
          <w:rFonts w:ascii="Times New Roman" w:cs="Times New Roman" w:eastAsia="Times New Roman" w:hAnsi="Times New Roman"/>
          <w:i/>
          <w:iCs/>
          <w:sz w:val="24"/>
          <w:szCs w:val="24"/>
        </w:rPr>
        <w:t xml:space="preserve">) LOAN (1)-(</w:t>
      </w:r>
      <w:r>
        <w:rPr>
          <w:rFonts w:ascii="Times New Roman" w:cs="Times New Roman" w:eastAsia="Times New Roman" w:hAnsi="Times New Roman"/>
          <w:sz w:val="24"/>
          <w:szCs w:val="24"/>
        </w:rPr>
        <w:t xml:space="preserve">) GUARANTEE with GUARANTEE also referencing MEMBER as guarantor, exactly the member-guarantees-member structure analysed. RECOMMENDATION also records its author (a USER), which is what the role-gating requirement checks: only a credit manager's account may author one. The diagram is generated from the ORM models in </w:t>
      </w:r>
      <w:r>
        <w:rPr>
          <w:rFonts w:ascii="Courier New" w:cs="Courier New" w:eastAsia="Courier New" w:hAnsi="Courier New"/>
          <w:sz w:val="20"/>
          <w:szCs w:val="20"/>
        </w:rPr>
        <w:t xml:space="preserve">app/models.py</w:t>
      </w:r>
      <w:r>
        <w:rPr>
          <w:rFonts w:ascii="Times New Roman" w:cs="Times New Roman" w:eastAsia="Times New Roman" w:hAnsi="Times New Roman"/>
          <w:sz w:val="24"/>
          <w:szCs w:val="24"/>
        </w:rPr>
        <w:t xml:space="preserve">, so every field matches the text; this fixes the ERD inconsistency flagged at the proposal stage.</w:t>
      </w:r>
    </w:p>
    <w:p>
      <w:pPr>
        <w:spacing w:after="60" w:before="120"/>
        <w:jc w:val="center"/>
      </w:pPr>
      <w:r>
        <w:drawing>
          <wp:inline distT="0" distB="0" distL="0" distR="0">
            <wp:extent cx="5715000" cy="874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7439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3.7: Entity-relationship diagram (six database tables)</w:t>
      </w:r>
    </w:p>
    <w:p>
      <w:pPr>
        <w:spacing w:after="120" w:line="360"/>
        <w:jc w:val="both"/>
      </w:pPr>
      <w:r>
        <w:rPr>
          <w:rFonts w:ascii="Times New Roman" w:cs="Times New Roman" w:eastAsia="Times New Roman" w:hAnsi="Times New Roman"/>
          <w:sz w:val="24"/>
          <w:szCs w:val="24"/>
        </w:rPr>
        <w:t xml:space="preserve">The level-1 data-flow diagram decomposes the system into three processes and three stores. Process 1.0 (Assess Risk) takes the loan details from the officer, reads features from D2 (member and loan data), exchanges features for a probability with D1 (the trained model), returns the risk score with its explanation to the officer, and saves the assessed application to D3 (application data). Process 2.0 (Manage Applications) records the credit manager's recommendation and stores the decision in D3. Process 3.0 (Serve Insights) reads the network from D2 and the portfolio from D3 to serve the insights and monitoring views.</w:t>
      </w:r>
    </w:p>
    <w:p>
      <w:pPr>
        <w:spacing w:after="60" w:before="120"/>
        <w:jc w:val="center"/>
      </w:pPr>
      <w:r>
        <w:drawing>
          <wp:inline distT="0" distB="0" distL="0" distR="0">
            <wp:extent cx="5715000" cy="935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3535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3.8: Data-flow diagram, level 1</w:t>
      </w:r>
    </w:p>
    <w:p>
      <w:pPr>
        <w:spacing w:after="120" w:line="360"/>
        <w:jc w:val="both"/>
      </w:pPr>
      <w:r>
        <w:rPr>
          <w:rFonts w:ascii="Times New Roman" w:cs="Times New Roman" w:eastAsia="Times New Roman" w:hAnsi="Times New Roman"/>
          <w:sz w:val="24"/>
          <w:szCs w:val="24"/>
        </w:rPr>
        <w:t xml:space="preserve">The sequence of one assessment: officer enters loan and guarantors; frontend POSTs </w:t>
      </w:r>
      <w:r>
        <w:rPr>
          <w:rFonts w:ascii="Courier New" w:cs="Courier New" w:eastAsia="Courier New" w:hAnsi="Courier New"/>
          <w:sz w:val="20"/>
          <w:szCs w:val="20"/>
        </w:rPr>
        <w:t xml:space="preserve">/assess-risk</w:t>
      </w:r>
      <w:r>
        <w:rPr>
          <w:rFonts w:ascii="Times New Roman" w:cs="Times New Roman" w:eastAsia="Times New Roman" w:hAnsi="Times New Roman"/>
          <w:sz w:val="24"/>
          <w:szCs w:val="24"/>
        </w:rPr>
        <w:t xml:space="preserve"> with JWT; the scoring service builds as-of features, runs the model, computes SHAP, adjusts the band; score, band, drivers, and flags return as JSON rendered as a gauge with plain-language reasons; saving posts to </w:t>
      </w:r>
      <w:r>
        <w:rPr>
          <w:rFonts w:ascii="Courier New" w:cs="Courier New" w:eastAsia="Courier New" w:hAnsi="Courier New"/>
          <w:sz w:val="20"/>
          <w:szCs w:val="20"/>
        </w:rPr>
        <w:t xml:space="preserve">/applications</w:t>
      </w:r>
      <w:r>
        <w:rPr>
          <w:rFonts w:ascii="Times New Roman" w:cs="Times New Roman" w:eastAsia="Times New Roman" w:hAnsi="Times New Roman"/>
          <w:sz w:val="24"/>
          <w:szCs w:val="24"/>
        </w:rPr>
        <w:t xml:space="preserve">, and the API inserts the assessed application into the database.</w:t>
      </w:r>
    </w:p>
    <w:p>
      <w:pPr>
        <w:spacing w:after="6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0512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3.9: Sequence diagram: assess a loan</w:t>
      </w:r>
    </w:p>
    <w:p>
      <w:pPr>
        <w:pStyle w:val="Heading2"/>
        <w:spacing w:after="180" w:before="240" w:line="360"/>
      </w:pPr>
      <w:r>
        <w:rPr>
          <w:rFonts w:ascii="Times New Roman" w:cs="Times New Roman" w:eastAsia="Times New Roman" w:hAnsi="Times New Roman"/>
          <w:b/>
          <w:bCs/>
          <w:sz w:val="28"/>
          <w:szCs w:val="28"/>
        </w:rPr>
        <w:t xml:space="preserve">3.5 Ethical Considerations</w:t>
      </w:r>
    </w:p>
    <w:p>
      <w:pPr>
        <w:spacing w:after="120" w:line="360"/>
        <w:jc w:val="both"/>
      </w:pPr>
      <w:r>
        <w:rPr>
          <w:rFonts w:ascii="Times New Roman" w:cs="Times New Roman" w:eastAsia="Times New Roman" w:hAnsi="Times New Roman"/>
          <w:b/>
          <w:bCs/>
          <w:sz w:val="24"/>
          <w:szCs w:val="24"/>
        </w:rPr>
        <w:t xml:space="preserve">Privacy and pseudonymisation.</w:t>
      </w:r>
      <w:r>
        <w:rPr>
          <w:rFonts w:ascii="Times New Roman" w:cs="Times New Roman" w:eastAsia="Times New Roman" w:hAnsi="Times New Roman"/>
          <w:sz w:val="24"/>
          <w:szCs w:val="24"/>
        </w:rPr>
        <w:t xml:space="preserve"> The dataset carried opaque client identifiers only; identifiers were replaced with consistent codes rather than simply hidden (pseudonymisation). Because consistent codes preserve the guarantee network, the data was treated as personal data and given the full protections Rwanda's Law No. 058/2021 requires (Republic of Rwanda, 2021), under Umwalimu SACCO's institutional authorisation. Data access followed the cooperative's own approval chain: an initial request to management, then a formal written request addressed to the Director General for the data, after which the Director General instructed the ICT Director to release the anonymised extract used in this study. </w:t>
      </w:r>
      <w:r>
        <w:rPr>
          <w:rFonts w:ascii="Times New Roman" w:cs="Times New Roman" w:eastAsia="Times New Roman" w:hAnsi="Times New Roman"/>
          <w:b/>
          <w:bCs/>
          <w:sz w:val="24"/>
          <w:szCs w:val="24"/>
        </w:rPr>
        <w:t xml:space="preserve">Sensitive financial data</w:t>
      </w:r>
      <w:r>
        <w:rPr>
          <w:rFonts w:ascii="Times New Roman" w:cs="Times New Roman" w:eastAsia="Times New Roman" w:hAnsi="Times New Roman"/>
          <w:sz w:val="24"/>
          <w:szCs w:val="24"/>
        </w:rPr>
        <w:t xml:space="preserve"> (savings, salary, default history) was stored anonymised, never committed to the repository, and accessed only behind JWT authentication. </w:t>
      </w:r>
      <w:r>
        <w:rPr>
          <w:rFonts w:ascii="Times New Roman" w:cs="Times New Roman" w:eastAsia="Times New Roman" w:hAnsi="Times New Roman"/>
          <w:b/>
          <w:bCs/>
          <w:sz w:val="24"/>
          <w:szCs w:val="24"/>
        </w:rPr>
        <w:t xml:space="preserve">Bias, fairness, and guilt by association:</w:t>
      </w:r>
      <w:r>
        <w:rPr>
          <w:rFonts w:ascii="Times New Roman" w:cs="Times New Roman" w:eastAsia="Times New Roman" w:hAnsi="Times New Roman"/>
          <w:sz w:val="24"/>
          <w:szCs w:val="24"/>
        </w:rPr>
        <w:t xml:space="preserve"> network features can penalise a borrower for who backs them; this risk was disclosed, the model reported association rather than causation, network warnings were shown as explicit inspectable facts, and a branch-parity/fairness audit was recommended as a precondition for operational use (not performed; a stated limitation). </w:t>
      </w:r>
      <w:r>
        <w:rPr>
          <w:rFonts w:ascii="Times New Roman" w:cs="Times New Roman" w:eastAsia="Times New Roman" w:hAnsi="Times New Roman"/>
          <w:b/>
          <w:bCs/>
          <w:sz w:val="24"/>
          <w:szCs w:val="24"/>
        </w:rPr>
        <w:t xml:space="preserve">Misuse and human-in-the-loop:</w:t>
      </w:r>
      <w:r>
        <w:rPr>
          <w:rFonts w:ascii="Times New Roman" w:cs="Times New Roman" w:eastAsia="Times New Roman" w:hAnsi="Times New Roman"/>
          <w:sz w:val="24"/>
          <w:szCs w:val="24"/>
        </w:rPr>
        <w:t xml:space="preserve"> the tool must never auto-approve, auto-decline, or profile members; the implemented workflow has the officer propose and the credit manager decide, with role gating blocking an officer from recommending on their own case, and the prototype made no live lending decisions. </w:t>
      </w:r>
      <w:r>
        <w:rPr>
          <w:rFonts w:ascii="Times New Roman" w:cs="Times New Roman" w:eastAsia="Times New Roman" w:hAnsi="Times New Roman"/>
          <w:b/>
          <w:bCs/>
          <w:sz w:val="24"/>
          <w:szCs w:val="24"/>
        </w:rPr>
        <w:t xml:space="preserve">Retention, access, and breach:</w:t>
      </w:r>
      <w:r>
        <w:rPr>
          <w:rFonts w:ascii="Times New Roman" w:cs="Times New Roman" w:eastAsia="Times New Roman" w:hAnsi="Times New Roman"/>
          <w:sz w:val="24"/>
          <w:szCs w:val="24"/>
        </w:rPr>
        <w:t xml:space="preserve"> the anonymised extract was held only on the researcher's local machine for the duration of the project, never committed to the code repository, and never uploaded to the cloud database; access was limited to the researcher, and the deployed prototype was seeded with synthetic data only, so no real member record is exposed by the live system. The dataset is to be deleted at the close of the project unless the SACCO authorises longer retention. Any suspected exposure would be reported to the cooperative as the data owner. </w:t>
      </w:r>
      <w:r>
        <w:rPr>
          <w:rFonts w:ascii="Times New Roman" w:cs="Times New Roman" w:eastAsia="Times New Roman" w:hAnsi="Times New Roman"/>
          <w:b/>
          <w:bCs/>
          <w:sz w:val="24"/>
          <w:szCs w:val="24"/>
        </w:rPr>
        <w:t xml:space="preserve">Ethical approval:</w:t>
      </w:r>
      <w:r>
        <w:rPr>
          <w:rFonts w:ascii="Times New Roman" w:cs="Times New Roman" w:eastAsia="Times New Roman" w:hAnsi="Times New Roman"/>
          <w:sz w:val="24"/>
          <w:szCs w:val="24"/>
        </w:rPr>
        <w:t xml:space="preserve"> the study was carried out under the data-sharing authorisation granted by Umwalimu SACCO through its Director General, together with the anonymisation, access-control, and human-in-the-loop safeguards described above; the supervisor reviewed and approved the research design. [CONFIRM whether ALU additionally requires a separate ethics-committee clearance for this capstone, and add its reference if so.]</w:t>
      </w:r>
    </w:p>
    <w:p>
      <w:pPr>
        <w:pStyle w:val="Heading2"/>
        <w:spacing w:after="180" w:before="240" w:line="360"/>
      </w:pPr>
      <w:r>
        <w:rPr>
          <w:rFonts w:ascii="Times New Roman" w:cs="Times New Roman" w:eastAsia="Times New Roman" w:hAnsi="Times New Roman"/>
          <w:b/>
          <w:bCs/>
          <w:sz w:val="28"/>
          <w:szCs w:val="28"/>
        </w:rPr>
        <w:t xml:space="preserve">3.6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Layer</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Tools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Modelling</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Python, pandas, scikit-learn 1.6.1, XGBoost 3.2.0, imbalanced-learn 0.14.2, SHAP, NumPy, Matplotlib; Google Colab</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Backend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FastAPI, Uvicorn/Gunicorn, SQLAlchemy, PyJWT, joblib</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Frontend</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React 19, Vite, TypeScript, Tailwind CSS</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Database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PostgreSQL (production), SQLite (local)</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Hosting/CI</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Render (API), Vercel (frontend), GitHub</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Testing</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pytest, httpx</w:t>
            </w:r>
          </w:p>
        </w:tc>
      </w:tr>
    </w:tbl>
    <w:p>
      <w:pPr>
        <w:spacing w:after="60"/>
      </w:pPr>
    </w:p>
    <w:p>
      <w:pPr>
        <w:spacing w:after="180"/>
        <w:jc w:val="center"/>
      </w:pPr>
      <w:r>
        <w:rPr>
          <w:rFonts w:ascii="Times New Roman" w:cs="Times New Roman" w:eastAsia="Times New Roman" w:hAnsi="Times New Roman"/>
          <w:i/>
          <w:iCs/>
          <w:sz w:val="22"/>
          <w:szCs w:val="22"/>
        </w:rPr>
        <w:t xml:space="preserve">Table 3.8: Development tools</w:t>
      </w:r>
    </w:p>
    <w:p>
      <w:pPr>
        <w:spacing w:after="120" w:line="360"/>
        <w:jc w:val="both"/>
      </w:pPr>
      <w:r>
        <w:rPr>
          <w:rFonts w:ascii="Times New Roman" w:cs="Times New Roman" w:eastAsia="Times New Roman" w:hAnsi="Times New Roman"/>
          <w:sz w:val="24"/>
          <w:szCs w:val="24"/>
        </w:rPr>
        <w:t xml:space="preserve">All tools were free and open-source: pandas (McKinney, 2010), scikit-learn (Pedregosa et al., 2011), XGBoost (Chen &amp; Guestrin, 2016), imbalanced-learn (Lemaitre, Nogueira, &amp; Aridas, 2017), SHAP (Lundberg &amp; Lee, 2017), Matplotlib (Hunter, 2007), FastAPI (Ramírez, n.d.).</w:t>
      </w:r>
    </w:p>
    <w:p>
      <w:pPr>
        <w:pStyle w:val="Heading1"/>
        <w:pageBreakBefore/>
        <w:spacing w:after="180" w:before="0" w:line="360"/>
      </w:pPr>
      <w:r>
        <w:rPr>
          <w:rFonts w:ascii="Times New Roman" w:cs="Times New Roman" w:eastAsia="Times New Roman" w:hAnsi="Times New Roman"/>
          <w:b/>
          <w:bCs/>
          <w:sz w:val="32"/>
          <w:szCs w:val="32"/>
        </w:rPr>
        <w:t xml:space="preserve">CHAPTER FOUR: SYSTEM IMPLEMENTATION AND TESTING</w:t>
      </w:r>
    </w:p>
    <w:p>
      <w:pPr>
        <w:pStyle w:val="Heading2"/>
        <w:spacing w:after="180" w:before="240" w:line="360"/>
      </w:pPr>
      <w:r>
        <w:rPr>
          <w:rFonts w:ascii="Times New Roman" w:cs="Times New Roman" w:eastAsia="Times New Roman" w:hAnsi="Times New Roman"/>
          <w:b/>
          <w:bCs/>
          <w:sz w:val="28"/>
          <w:szCs w:val="28"/>
        </w:rPr>
        <w:t xml:space="preserve">4.1 Implementation and Coding</w:t>
      </w:r>
    </w:p>
    <w:p>
      <w:pPr>
        <w:pStyle w:val="Heading3"/>
        <w:spacing w:after="180" w:before="240" w:line="360"/>
      </w:pPr>
      <w:r>
        <w:rPr>
          <w:rFonts w:ascii="Times New Roman" w:cs="Times New Roman" w:eastAsia="Times New Roman" w:hAnsi="Times New Roman"/>
          <w:b/>
          <w:bCs/>
          <w:sz w:val="24"/>
          <w:szCs w:val="24"/>
        </w:rPr>
        <w:t xml:space="preserve">4.1.1 Introduction</w:t>
      </w:r>
    </w:p>
    <w:p>
      <w:pPr>
        <w:spacing w:after="120" w:line="360"/>
        <w:jc w:val="both"/>
      </w:pPr>
      <w:r>
        <w:rPr>
          <w:rFonts w:ascii="Times New Roman" w:cs="Times New Roman" w:eastAsia="Times New Roman" w:hAnsi="Times New Roman"/>
          <w:sz w:val="24"/>
          <w:szCs w:val="24"/>
        </w:rPr>
        <w:t xml:space="preserve">This section covers how the designed system was built: the trained model (Colab notebook, exported as a serving bundle), the FastAPI backend that loads it, and the React frontend officers use. Graphical results follow in 4.2 and testing in 4.3.</w:t>
      </w:r>
    </w:p>
    <w:p>
      <w:pPr>
        <w:pStyle w:val="Heading3"/>
        <w:spacing w:after="180" w:before="240" w:line="360"/>
      </w:pPr>
      <w:r>
        <w:rPr>
          <w:rFonts w:ascii="Times New Roman" w:cs="Times New Roman" w:eastAsia="Times New Roman" w:hAnsi="Times New Roman"/>
          <w:b/>
          <w:bCs/>
          <w:sz w:val="24"/>
          <w:szCs w:val="24"/>
        </w:rPr>
        <w:t xml:space="preserve">4.1.2 Description of Implementation Tools and Technology</w:t>
      </w:r>
    </w:p>
    <w:p>
      <w:pPr>
        <w:spacing w:after="120" w:line="360"/>
        <w:jc w:val="both"/>
      </w:pPr>
      <w:r>
        <w:rPr>
          <w:rFonts w:ascii="Times New Roman" w:cs="Times New Roman" w:eastAsia="Times New Roman" w:hAnsi="Times New Roman"/>
          <w:sz w:val="24"/>
          <w:szCs w:val="24"/>
        </w:rPr>
        <w:t xml:space="preserve">The deployed estimator was XGBoost (Chen &amp; Guestrin, 2016) wrapped in five-fold isotonic calibration so probabilities track observed write-off rates (Niculescu-Mizil &amp; Caruana, 2005), with monotone constraints tying it to domain logic (more savings never raises risk; a larger loan never lowers it). Class weighting handled the 2.1% imbalance after benchmarking against SMOTE variants (Chawla et al., 2002; Elor &amp; Averbuch-Elor, 2022); imbalanced-learn remains a dependency to unpickle the pipeline. SHAP produced per-feature contributions (Lundberg &amp; Lee, 2017) that the backend translates into plain-language reasons. FastAPI provided the REST API with automatic Swagger docs, JWT authentication, and salted password hashes; React with TypeScript and Tailwind implemented the officer interface. Each tier's tool was chosen deliberately: FastAPI because the model is Python, so it serves in-process with no cross-language bridge, and its automatic Swagger documentation doubles as API evidence; React with TypeScript because a typed, componentised frontend keeps the assessment, member, and insights views maintainable; PostgreSQL in production with SQLite locally because SQLAlchemy makes the two interchangeable with no code changes; and Render plus Vercel because both deploy from GitHub on push, so the demo stays live. One operational detail: the bundle was pickled with scikit-learn 1.6.1, and a version mismatch drops the API to its rule-based fallback, so versions were pinned in </w:t>
      </w:r>
      <w:r>
        <w:rPr>
          <w:rFonts w:ascii="Courier New" w:cs="Courier New" w:eastAsia="Courier New" w:hAnsi="Courier New"/>
          <w:sz w:val="20"/>
          <w:szCs w:val="20"/>
        </w:rPr>
        <w:t xml:space="preserve">requirements.txt</w:t>
      </w:r>
      <w:r>
        <w:rPr>
          <w:rFonts w:ascii="Times New Roman" w:cs="Times New Roman" w:eastAsia="Times New Roman" w:hAnsi="Times New Roman"/>
          <w:sz w:val="24"/>
          <w:szCs w:val="24"/>
        </w:rPr>
        <w:t xml:space="preserve">; that turns a silent compatibility failure into controlled, observable behaviour.</w:t>
      </w:r>
    </w:p>
    <w:p>
      <w:pPr>
        <w:pStyle w:val="Heading3"/>
        <w:spacing w:after="180" w:before="240" w:line="360"/>
      </w:pPr>
      <w:r>
        <w:rPr>
          <w:rFonts w:ascii="Times New Roman" w:cs="Times New Roman" w:eastAsia="Times New Roman" w:hAnsi="Times New Roman"/>
          <w:b/>
          <w:bCs/>
          <w:sz w:val="24"/>
          <w:szCs w:val="24"/>
        </w:rPr>
        <w:t xml:space="preserve">4.1.3 Key Implementation Details (code samples)</w:t>
      </w:r>
    </w:p>
    <w:p>
      <w:pPr>
        <w:spacing w:after="120" w:line="360"/>
        <w:jc w:val="both"/>
      </w:pPr>
      <w:r>
        <w:rPr>
          <w:rFonts w:ascii="Times New Roman" w:cs="Times New Roman" w:eastAsia="Times New Roman" w:hAnsi="Times New Roman"/>
          <w:b/>
          <w:bCs/>
          <w:sz w:val="24"/>
          <w:szCs w:val="24"/>
        </w:rPr>
        <w:t xml:space="preserve">Leakage-safe, as-of feature building.</w:t>
      </w:r>
      <w:r>
        <w:rPr>
          <w:rFonts w:ascii="Times New Roman" w:cs="Times New Roman" w:eastAsia="Times New Roman" w:hAnsi="Times New Roman"/>
          <w:sz w:val="24"/>
          <w:szCs w:val="24"/>
        </w:rPr>
        <w:t xml:space="preserve"> Serving-time features are computed exactly as training-time features were, as of the disbursement date, so there is no train/serve skew: </w:t>
      </w:r>
      <w:r>
        <w:rPr>
          <w:rFonts w:ascii="Courier New" w:cs="Courier New" w:eastAsia="Courier New" w:hAnsi="Courier New"/>
          <w:sz w:val="20"/>
          <w:szCs w:val="20"/>
        </w:rPr>
        <w:t xml:space="preserve">_build_features</w:t>
      </w:r>
      <w:r>
        <w:rPr>
          <w:rFonts w:ascii="Times New Roman" w:cs="Times New Roman" w:eastAsia="Times New Roman" w:hAnsi="Times New Roman"/>
          <w:sz w:val="24"/>
          <w:szCs w:val="24"/>
        </w:rPr>
        <w:t xml:space="preserve"> assembles the 18-feature vector and </w:t>
      </w:r>
      <w:r>
        <w:rPr>
          <w:rFonts w:ascii="Courier New" w:cs="Courier New" w:eastAsia="Courier New" w:hAnsi="Courier New"/>
          <w:sz w:val="20"/>
          <w:szCs w:val="20"/>
        </w:rPr>
        <w:t xml:space="preserve">_feat_value</w:t>
      </w:r>
      <w:r>
        <w:rPr>
          <w:rFonts w:ascii="Times New Roman" w:cs="Times New Roman" w:eastAsia="Times New Roman" w:hAnsi="Times New Roman"/>
          <w:sz w:val="24"/>
          <w:szCs w:val="24"/>
        </w:rPr>
        <w:t xml:space="preserve"> resolves each feature with the same imputation fallbacks used in training. ```python</w:t>
      </w:r>
    </w:p>
    <w:p>
      <w:pPr>
        <w:pStyle w:val="Heading1"/>
        <w:pageBreakBefore/>
        <w:spacing w:after="180" w:before="0" w:line="360"/>
      </w:pPr>
      <w:r>
        <w:rPr>
          <w:rFonts w:ascii="Times New Roman" w:cs="Times New Roman" w:eastAsia="Times New Roman" w:hAnsi="Times New Roman"/>
          <w:b/>
          <w:bCs/>
          <w:sz w:val="32"/>
          <w:szCs w:val="32"/>
        </w:rPr>
        <w:t xml:space="preserve">app/scoring.py (excerpt): one serving-time feature, computed exactly as in training</w:t>
      </w:r>
    </w:p>
    <w:p>
      <w:pPr>
        <w:spacing w:after="120" w:line="360"/>
        <w:jc w:val="both"/>
      </w:pPr>
      <w:r>
        <w:rPr>
          <w:rFonts w:ascii="Times New Roman" w:cs="Times New Roman" w:eastAsia="Times New Roman" w:hAnsi="Times New Roman"/>
          <w:sz w:val="24"/>
          <w:szCs w:val="24"/>
        </w:rPr>
        <w:t xml:space="preserve">def _feat_value(name, amount, savings, salary, disb, guarantor_ids, borrower_id, interest_rate=None):</w:t>
      </w:r>
    </w:p>
    <w:p>
      <w:pPr>
        <w:spacing w:after="120" w:line="360"/>
        <w:jc w:val="both"/>
      </w:pPr>
      <w:r>
        <w:rPr>
          <w:rFonts w:ascii="Times New Roman" w:cs="Times New Roman" w:eastAsia="Times New Roman" w:hAnsi="Times New Roman"/>
          <w:sz w:val="24"/>
          <w:szCs w:val="24"/>
        </w:rPr>
        <w:t xml:space="preserve">g = guarantor_ids</w:t>
      </w:r>
    </w:p>
    <w:p>
      <w:pPr>
        <w:spacing w:after="120" w:line="360"/>
        <w:jc w:val="both"/>
      </w:pPr>
      <w:r>
        <w:rPr>
          <w:rFonts w:ascii="Times New Roman" w:cs="Times New Roman" w:eastAsia="Times New Roman" w:hAnsi="Times New Roman"/>
          <w:sz w:val="24"/>
          <w:szCs w:val="24"/>
        </w:rPr>
        <w:t xml:space="preserve">sav = [_member(x)["savings"] for x in g if _member(x).get("savings") is not None]</w:t>
      </w:r>
    </w:p>
    <w:p>
      <w:pPr>
        <w:spacing w:after="120" w:line="360"/>
        <w:jc w:val="both"/>
      </w:pPr>
      <w:r>
        <w:rPr>
          <w:rFonts w:ascii="Times New Roman" w:cs="Times New Roman" w:eastAsia="Times New Roman" w:hAnsi="Times New Roman"/>
          <w:sz w:val="24"/>
          <w:szCs w:val="24"/>
        </w:rPr>
        <w:t xml:space="preserve">if name == "loan_to_savings":</w:t>
      </w:r>
    </w:p>
    <w:p>
      <w:pPr>
        <w:spacing w:after="120" w:line="360"/>
        <w:jc w:val="both"/>
      </w:pPr>
      <w:r>
        <w:rPr>
          <w:rFonts w:ascii="Times New Roman" w:cs="Times New Roman" w:eastAsia="Times New Roman" w:hAnsi="Times New Roman"/>
          <w:sz w:val="24"/>
          <w:szCs w:val="24"/>
        </w:rPr>
        <w:t xml:space="preserve">return amount / (savings + 1) if savings else None   # missing -&gt; median-fill (matches training)</w:t>
      </w:r>
    </w:p>
    <w:p>
      <w:pPr>
        <w:spacing w:after="120" w:line="360"/>
        <w:jc w:val="both"/>
      </w:pPr>
      <w:r>
        <w:rPr>
          <w:rFonts w:ascii="Times New Roman" w:cs="Times New Roman" w:eastAsia="Times New Roman" w:hAnsi="Times New Roman"/>
          <w:sz w:val="24"/>
          <w:szCs w:val="24"/>
        </w:rPr>
        <w:t xml:space="preserve">if name == "g_mean_savings":</w:t>
      </w:r>
    </w:p>
    <w:p>
      <w:pPr>
        <w:spacing w:after="120" w:line="360"/>
        <w:jc w:val="both"/>
      </w:pPr>
      <w:r>
        <w:rPr>
          <w:rFonts w:ascii="Times New Roman" w:cs="Times New Roman" w:eastAsia="Times New Roman" w:hAnsi="Times New Roman"/>
          <w:sz w:val="24"/>
          <w:szCs w:val="24"/>
        </w:rPr>
        <w:t xml:space="preserve">return float(np.mean(sav)) if sav else None</w:t>
      </w:r>
    </w:p>
    <w:p>
      <w:pPr>
        <w:spacing w:after="120" w:line="360"/>
        <w:jc w:val="both"/>
      </w:pPr>
      <w:r>
        <w:rPr>
          <w:rFonts w:ascii="Times New Roman" w:cs="Times New Roman" w:eastAsia="Times New Roman" w:hAnsi="Times New Roman"/>
          <w:sz w:val="24"/>
          <w:szCs w:val="24"/>
        </w:rPr>
        <w:t xml:space="preserve">if name == "g_sav_ratio":</w:t>
      </w:r>
    </w:p>
    <w:p>
      <w:pPr>
        <w:spacing w:after="120" w:line="360"/>
        <w:jc w:val="both"/>
      </w:pPr>
      <w:r>
        <w:rPr>
          <w:rFonts w:ascii="Times New Roman" w:cs="Times New Roman" w:eastAsia="Times New Roman" w:hAnsi="Times New Roman"/>
          <w:sz w:val="24"/>
          <w:szCs w:val="24"/>
        </w:rPr>
        <w:t xml:space="preserve">gms = float(np.mean(sav)) if sav else None</w:t>
      </w:r>
    </w:p>
    <w:p>
      <w:pPr>
        <w:spacing w:after="120" w:line="360"/>
        <w:jc w:val="both"/>
      </w:pPr>
      <w:r>
        <w:rPr>
          <w:rFonts w:ascii="Times New Roman" w:cs="Times New Roman" w:eastAsia="Times New Roman" w:hAnsi="Times New Roman"/>
          <w:sz w:val="24"/>
          <w:szCs w:val="24"/>
        </w:rPr>
        <w:t xml:space="preserve">return None if gms is None else gms / ((savings or 0.0) + 1)</w:t>
      </w:r>
    </w:p>
    <w:p>
      <w:pPr>
        <w:spacing w:after="120" w:line="360"/>
        <w:jc w:val="both"/>
      </w:pPr>
      <w:r>
        <w:rPr>
          <w:rFonts w:ascii="Times New Roman" w:cs="Times New Roman" w:eastAsia="Times New Roman" w:hAnsi="Times New Roman"/>
          <w:sz w:val="24"/>
          <w:szCs w:val="24"/>
        </w:rPr>
        <w:t xml:space="preserve">if name == "community_prior_default_rate":</w:t>
      </w:r>
    </w:p>
    <w:p>
      <w:pPr>
        <w:spacing w:after="120" w:line="360"/>
        <w:jc w:val="both"/>
      </w:pPr>
      <w:r>
        <w:rPr>
          <w:rFonts w:ascii="Times New Roman" w:cs="Times New Roman" w:eastAsia="Times New Roman" w:hAnsi="Times New Roman"/>
          <w:sz w:val="24"/>
          <w:szCs w:val="24"/>
        </w:rPr>
        <w:t xml:space="preserve">return _community_rate(borrower_id, guarantor_ids)</w:t>
      </w:r>
    </w:p>
    <w:p>
      <w:pPr>
        <w:spacing w:after="120" w:line="360"/>
        <w:jc w:val="both"/>
      </w:pP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def _build_features(amount, savings, salary, disb, guarantor_ids, borrower_id=None, interest_rate=None):</w:t>
      </w:r>
    </w:p>
    <w:p>
      <w:pPr>
        <w:spacing w:after="120" w:line="360"/>
        <w:jc w:val="both"/>
      </w:pPr>
      <w:r>
        <w:rPr>
          <w:rFonts w:ascii="Times New Roman" w:cs="Times New Roman" w:eastAsia="Times New Roman" w:hAnsi="Times New Roman"/>
          <w:sz w:val="24"/>
          <w:szCs w:val="24"/>
        </w:rPr>
        <w:t xml:space="preserve">"""Build the bundle's feature vector for one loan, imputing gaps from medians."""</w:t>
      </w:r>
    </w:p>
    <w:p>
      <w:pPr>
        <w:spacing w:after="120" w:line="360"/>
        <w:jc w:val="both"/>
      </w:pPr>
      <w:r>
        <w:rPr>
          <w:rFonts w:ascii="Times New Roman" w:cs="Times New Roman" w:eastAsia="Times New Roman" w:hAnsi="Times New Roman"/>
          <w:sz w:val="24"/>
          <w:szCs w:val="24"/>
        </w:rPr>
        <w:t xml:space="preserve">out = {}</w:t>
      </w:r>
    </w:p>
    <w:p>
      <w:pPr>
        <w:spacing w:after="120" w:line="360"/>
        <w:jc w:val="both"/>
      </w:pPr>
      <w:r>
        <w:rPr>
          <w:rFonts w:ascii="Times New Roman" w:cs="Times New Roman" w:eastAsia="Times New Roman" w:hAnsi="Times New Roman"/>
          <w:sz w:val="24"/>
          <w:szCs w:val="24"/>
        </w:rPr>
        <w:t xml:space="preserve">for f in FEATURES:</w:t>
      </w:r>
    </w:p>
    <w:p>
      <w:pPr>
        <w:spacing w:after="120" w:line="360"/>
        <w:jc w:val="both"/>
      </w:pPr>
      <w:r>
        <w:rPr>
          <w:rFonts w:ascii="Times New Roman" w:cs="Times New Roman" w:eastAsia="Times New Roman" w:hAnsi="Times New Roman"/>
          <w:sz w:val="24"/>
          <w:szCs w:val="24"/>
        </w:rPr>
        <w:t xml:space="preserve">v = _feat_value(f, amount, savings, salary, disb, guarantor_ids, borrower_id, interest_rate)</w:t>
      </w:r>
    </w:p>
    <w:p>
      <w:pPr>
        <w:spacing w:after="120" w:line="360"/>
        <w:jc w:val="both"/>
      </w:pPr>
      <w:r>
        <w:rPr>
          <w:rFonts w:ascii="Times New Roman" w:cs="Times New Roman" w:eastAsia="Times New Roman" w:hAnsi="Times New Roman"/>
          <w:sz w:val="24"/>
          <w:szCs w:val="24"/>
        </w:rPr>
        <w:t xml:space="preserve">if v is None or (isinstance(v, float) and v != v):  # None or NaN</w:t>
      </w:r>
    </w:p>
    <w:p>
      <w:pPr>
        <w:spacing w:after="120" w:line="360"/>
        <w:jc w:val="both"/>
      </w:pPr>
      <w:r>
        <w:rPr>
          <w:rFonts w:ascii="Times New Roman" w:cs="Times New Roman" w:eastAsia="Times New Roman" w:hAnsi="Times New Roman"/>
          <w:sz w:val="24"/>
          <w:szCs w:val="24"/>
        </w:rPr>
        <w:t xml:space="preserve">v = float(MEDIANS.get(f, 0.0))</w:t>
      </w:r>
    </w:p>
    <w:p>
      <w:pPr>
        <w:spacing w:after="120" w:line="360"/>
        <w:jc w:val="both"/>
      </w:pPr>
      <w:r>
        <w:rPr>
          <w:rFonts w:ascii="Times New Roman" w:cs="Times New Roman" w:eastAsia="Times New Roman" w:hAnsi="Times New Roman"/>
          <w:sz w:val="24"/>
          <w:szCs w:val="24"/>
        </w:rPr>
        <w:t xml:space="preserve">out[f] = v</w:t>
      </w:r>
    </w:p>
    <w:p>
      <w:pPr>
        <w:spacing w:after="120" w:line="360"/>
        <w:jc w:val="both"/>
      </w:pPr>
      <w:r>
        <w:rPr>
          <w:rFonts w:ascii="Times New Roman" w:cs="Times New Roman" w:eastAsia="Times New Roman" w:hAnsi="Times New Roman"/>
          <w:sz w:val="24"/>
          <w:szCs w:val="24"/>
        </w:rPr>
        <w:t xml:space="preserve">return out</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**Union-find community feature.** `_load_communities` groups members into connected components over borrower-guarantor edges and `_community_rate` returns the as-of write-off rate of the borrower's cluster, a neighbourhood-risk signal at O(edges) cost with no graph database or GNN. ```python</w:t>
      </w:r>
    </w:p>
    <w:p>
      <w:pPr>
        <w:spacing w:line="240"/>
        <w:jc w:val="left"/>
      </w:pPr>
      <w:r>
        <w:rPr>
          <w:rFonts w:ascii="Courier New" w:cs="Courier New" w:eastAsia="Courier New" w:hAnsi="Courier New"/>
          <w:sz w:val="20"/>
          <w:szCs w:val="20"/>
        </w:rPr>
        <w:t xml:space="preserve"># app/scoring.py (excerpt): union-find over borrower-guarantor edges -&gt; community default rates</w:t>
      </w:r>
    </w:p>
    <w:p>
      <w:pPr>
        <w:spacing w:line="240"/>
        <w:jc w:val="left"/>
      </w:pPr>
      <w:r>
        <w:rPr>
          <w:rFonts w:ascii="Courier New" w:cs="Courier New" w:eastAsia="Courier New" w:hAnsi="Courier New"/>
          <w:sz w:val="20"/>
          <w:szCs w:val="20"/>
        </w:rPr>
        <w:t xml:space="preserve">def _load_communities():</w:t>
      </w:r>
    </w:p>
    <w:p>
      <w:pPr>
        <w:spacing w:line="240"/>
        <w:jc w:val="left"/>
      </w:pPr>
      <w:r>
        <w:rPr>
          <w:rFonts w:ascii="Courier New" w:cs="Courier New" w:eastAsia="Courier New" w:hAnsi="Courier New"/>
          <w:sz w:val="20"/>
          <w:szCs w:val="20"/>
        </w:rPr>
        <w:t xml:space="preserve">    parent = {}</w:t>
      </w:r>
    </w:p>
    <w:p>
      <w:pPr>
        <w:spacing w:line="240"/>
        <w:jc w:val="left"/>
      </w:pPr>
      <w:r>
        <w:rPr>
          <w:rFonts w:ascii="Courier New" w:cs="Courier New" w:eastAsia="Courier New" w:hAnsi="Courier New"/>
          <w:sz w:val="20"/>
          <w:szCs w:val="20"/>
        </w:rPr>
        <w:t xml:space="preserve">    def find(x):</w:t>
      </w:r>
    </w:p>
    <w:p>
      <w:pPr>
        <w:spacing w:line="240"/>
        <w:jc w:val="left"/>
      </w:pPr>
      <w:r>
        <w:rPr>
          <w:rFonts w:ascii="Courier New" w:cs="Courier New" w:eastAsia="Courier New" w:hAnsi="Courier New"/>
          <w:sz w:val="20"/>
          <w:szCs w:val="20"/>
        </w:rPr>
        <w:t xml:space="preserve">        parent.setdefault(x, x)</w:t>
      </w:r>
    </w:p>
    <w:p>
      <w:pPr>
        <w:spacing w:line="240"/>
        <w:jc w:val="left"/>
      </w:pPr>
      <w:r>
        <w:rPr>
          <w:rFonts w:ascii="Courier New" w:cs="Courier New" w:eastAsia="Courier New" w:hAnsi="Courier New"/>
          <w:sz w:val="20"/>
          <w:szCs w:val="20"/>
        </w:rPr>
        <w:t xml:space="preserve">        while parent[x] != x:</w:t>
      </w:r>
    </w:p>
    <w:p>
      <w:pPr>
        <w:spacing w:line="240"/>
        <w:jc w:val="left"/>
      </w:pPr>
      <w:r>
        <w:rPr>
          <w:rFonts w:ascii="Courier New" w:cs="Courier New" w:eastAsia="Courier New" w:hAnsi="Courier New"/>
          <w:sz w:val="20"/>
          <w:szCs w:val="20"/>
        </w:rPr>
        <w:t xml:space="preserve">            parent[x] = parent[parent[x]]; x = parent[x]</w:t>
      </w:r>
    </w:p>
    <w:p>
      <w:pPr>
        <w:spacing w:line="240"/>
        <w:jc w:val="left"/>
      </w:pPr>
      <w:r>
        <w:rPr>
          <w:rFonts w:ascii="Courier New" w:cs="Courier New" w:eastAsia="Courier New" w:hAnsi="Courier New"/>
          <w:sz w:val="20"/>
          <w:szCs w:val="20"/>
        </w:rPr>
        <w:t xml:space="preserve">        return x</w:t>
      </w:r>
    </w:p>
    <w:p>
      <w:pPr>
        <w:spacing w:line="240"/>
        <w:jc w:val="left"/>
      </w:pPr>
      <w:r>
        <w:rPr>
          <w:rFonts w:ascii="Courier New" w:cs="Courier New" w:eastAsia="Courier New" w:hAnsi="Courier New"/>
          <w:sz w:val="20"/>
          <w:szCs w:val="20"/>
        </w:rPr>
        <w:t xml:space="preserve">    def union(a, b):</w:t>
      </w:r>
    </w:p>
    <w:p>
      <w:pPr>
        <w:spacing w:line="240"/>
        <w:jc w:val="left"/>
      </w:pPr>
      <w:r>
        <w:rPr>
          <w:rFonts w:ascii="Courier New" w:cs="Courier New" w:eastAsia="Courier New" w:hAnsi="Courier New"/>
          <w:sz w:val="20"/>
          <w:szCs w:val="20"/>
        </w:rPr>
        <w:t xml:space="preserve">        ra, rb = find(a), find(b)</w:t>
      </w:r>
    </w:p>
    <w:p>
      <w:pPr>
        <w:spacing w:line="240"/>
        <w:jc w:val="left"/>
      </w:pPr>
      <w:r>
        <w:rPr>
          <w:rFonts w:ascii="Courier New" w:cs="Courier New" w:eastAsia="Courier New" w:hAnsi="Courier New"/>
          <w:sz w:val="20"/>
          <w:szCs w:val="20"/>
        </w:rPr>
        <w:t xml:space="preserve">        if ra != rb:</w:t>
      </w:r>
    </w:p>
    <w:p>
      <w:pPr>
        <w:spacing w:line="240"/>
        <w:jc w:val="left"/>
      </w:pPr>
      <w:r>
        <w:rPr>
          <w:rFonts w:ascii="Courier New" w:cs="Courier New" w:eastAsia="Courier New" w:hAnsi="Courier New"/>
          <w:sz w:val="20"/>
          <w:szCs w:val="20"/>
        </w:rPr>
        <w:t xml:space="preserve">            parent[ra] = rb</w:t>
      </w:r>
    </w:p>
    <w:p>
      <w:pPr>
        <w:spacing w:line="240"/>
        <w:jc w:val="left"/>
      </w:pPr>
      <w:r>
        <w:rPr>
          <w:rFonts w:ascii="Courier New" w:cs="Courier New" w:eastAsia="Courier New" w:hAnsi="Courier New"/>
          <w:sz w:val="20"/>
          <w:szCs w:val="20"/>
        </w:rPr>
        <w:t xml:space="preserve">    loans = data_store.load_loans()</w:t>
      </w:r>
    </w:p>
    <w:p>
      <w:pPr>
        <w:spacing w:line="240"/>
        <w:jc w:val="left"/>
      </w:pPr>
      <w:r>
        <w:rPr>
          <w:rFonts w:ascii="Courier New" w:cs="Courier New" w:eastAsia="Courier New" w:hAnsi="Courier New"/>
          <w:sz w:val="20"/>
          <w:szCs w:val="20"/>
        </w:rPr>
        <w:t xml:space="preserve">    for ln in loans:</w:t>
      </w:r>
    </w:p>
    <w:p>
      <w:pPr>
        <w:spacing w:line="240"/>
        <w:jc w:val="left"/>
      </w:pPr>
      <w:r>
        <w:rPr>
          <w:rFonts w:ascii="Courier New" w:cs="Courier New" w:eastAsia="Courier New" w:hAnsi="Courier New"/>
          <w:sz w:val="20"/>
          <w:szCs w:val="20"/>
        </w:rPr>
        <w:t xml:space="preserve">        b = ln.get("borrower")</w:t>
      </w:r>
    </w:p>
    <w:p>
      <w:pPr>
        <w:spacing w:line="240"/>
        <w:jc w:val="left"/>
      </w:pPr>
      <w:r>
        <w:rPr>
          <w:rFonts w:ascii="Courier New" w:cs="Courier New" w:eastAsia="Courier New" w:hAnsi="Courier New"/>
          <w:sz w:val="20"/>
          <w:szCs w:val="20"/>
        </w:rPr>
        <w:t xml:space="preserve">        for g in (ln.get("guarantors") or []):</w:t>
      </w:r>
    </w:p>
    <w:p>
      <w:pPr>
        <w:spacing w:line="240"/>
        <w:jc w:val="left"/>
      </w:pPr>
      <w:r>
        <w:rPr>
          <w:rFonts w:ascii="Courier New" w:cs="Courier New" w:eastAsia="Courier New" w:hAnsi="Courier New"/>
          <w:sz w:val="20"/>
          <w:szCs w:val="20"/>
        </w:rPr>
        <w:t xml:space="preserve">            union(b, g)</w:t>
      </w:r>
    </w:p>
    <w:p>
      <w:pPr>
        <w:spacing w:line="240"/>
        <w:jc w:val="left"/>
      </w:pPr>
      <w:r>
        <w:rPr>
          <w:rFonts w:ascii="Courier New" w:cs="Courier New" w:eastAsia="Courier New" w:hAnsi="Courier New"/>
          <w:sz w:val="20"/>
          <w:szCs w:val="20"/>
        </w:rPr>
        <w:t xml:space="preserve">    agg = {}   # root -&gt; [n_loans, n_bad]</w:t>
      </w:r>
    </w:p>
    <w:p>
      <w:pPr>
        <w:spacing w:line="240"/>
        <w:jc w:val="left"/>
      </w:pPr>
      <w:r>
        <w:rPr>
          <w:rFonts w:ascii="Courier New" w:cs="Courier New" w:eastAsia="Courier New" w:hAnsi="Courier New"/>
          <w:sz w:val="20"/>
          <w:szCs w:val="20"/>
        </w:rPr>
        <w:t xml:space="preserve">    for ln in loans:</w:t>
      </w:r>
    </w:p>
    <w:p>
      <w:pPr>
        <w:spacing w:line="240"/>
        <w:jc w:val="left"/>
      </w:pPr>
      <w:r>
        <w:rPr>
          <w:rFonts w:ascii="Courier New" w:cs="Courier New" w:eastAsia="Courier New" w:hAnsi="Courier New"/>
          <w:sz w:val="20"/>
          <w:szCs w:val="20"/>
        </w:rPr>
        <w:t xml:space="preserve">        root = find(ln["borrower"])</w:t>
      </w:r>
    </w:p>
    <w:p>
      <w:pPr>
        <w:spacing w:line="240"/>
        <w:jc w:val="left"/>
      </w:pPr>
      <w:r>
        <w:rPr>
          <w:rFonts w:ascii="Courier New" w:cs="Courier New" w:eastAsia="Courier New" w:hAnsi="Courier New"/>
          <w:sz w:val="20"/>
          <w:szCs w:val="20"/>
        </w:rPr>
        <w:t xml:space="preserve">        cell = agg.setdefault(root, [0, 0])</w:t>
      </w:r>
    </w:p>
    <w:p>
      <w:pPr>
        <w:spacing w:line="240"/>
        <w:jc w:val="left"/>
      </w:pPr>
      <w:r>
        <w:rPr>
          <w:rFonts w:ascii="Courier New" w:cs="Courier New" w:eastAsia="Courier New" w:hAnsi="Courier New"/>
          <w:sz w:val="20"/>
          <w:szCs w:val="20"/>
        </w:rPr>
        <w:t xml:space="preserve">        cell[0] += 1</w:t>
      </w:r>
    </w:p>
    <w:p>
      <w:pPr>
        <w:spacing w:line="240"/>
        <w:jc w:val="left"/>
      </w:pPr>
      <w:r>
        <w:rPr>
          <w:rFonts w:ascii="Courier New" w:cs="Courier New" w:eastAsia="Courier New" w:hAnsi="Courier New"/>
          <w:sz w:val="20"/>
          <w:szCs w:val="20"/>
        </w:rPr>
        <w:t xml:space="preserve">        cell[1] += int(ln.get("label", 0) or 0)</w:t>
      </w:r>
    </w:p>
    <w:p>
      <w:pPr>
        <w:spacing w:line="240"/>
        <w:jc w:val="left"/>
      </w:pPr>
      <w:r>
        <w:rPr>
          <w:rFonts w:ascii="Courier New" w:cs="Courier New" w:eastAsia="Courier New" w:hAnsi="Courier New"/>
          <w:sz w:val="20"/>
          <w:szCs w:val="20"/>
        </w:rPr>
        <w:t xml:space="preserve">    comm = {m: find(m) for m in parent}</w:t>
      </w:r>
    </w:p>
    <w:p>
      <w:pPr>
        <w:spacing w:line="240"/>
        <w:jc w:val="left"/>
      </w:pPr>
      <w:r>
        <w:rPr>
          <w:rFonts w:ascii="Courier New" w:cs="Courier New" w:eastAsia="Courier New" w:hAnsi="Courier New"/>
          <w:sz w:val="20"/>
          <w:szCs w:val="20"/>
        </w:rPr>
        <w:t xml:space="preserve">    rate = {root: (bad / n if n else 0.0) for root, (n, bad) in agg.items()}</w:t>
      </w:r>
    </w:p>
    <w:p>
      <w:pPr>
        <w:spacing w:line="240"/>
        <w:jc w:val="left"/>
      </w:pPr>
      <w:r>
        <w:rPr>
          <w:rFonts w:ascii="Courier New" w:cs="Courier New" w:eastAsia="Courier New" w:hAnsi="Courier New"/>
          <w:sz w:val="20"/>
          <w:szCs w:val="20"/>
        </w:rPr>
        <w:t xml:space="preserve">    return comm, rate</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def _community_rate(borrower_id, guarantor_ids):</w:t>
      </w:r>
    </w:p>
    <w:p>
      <w:pPr>
        <w:spacing w:line="240"/>
        <w:jc w:val="left"/>
      </w:pPr>
      <w:r>
        <w:rPr>
          <w:rFonts w:ascii="Courier New" w:cs="Courier New" w:eastAsia="Courier New" w:hAnsi="Courier New"/>
          <w:sz w:val="20"/>
          <w:szCs w:val="20"/>
        </w:rPr>
        <w:t xml:space="preserve">    """Default rate of the cluster this loan connects into (borrower's, else a guarantor's).</w:t>
      </w:r>
    </w:p>
    <w:p>
      <w:pPr>
        <w:spacing w:line="240"/>
        <w:jc w:val="left"/>
      </w:pPr>
      <w:r>
        <w:rPr>
          <w:rFonts w:ascii="Courier New" w:cs="Courier New" w:eastAsia="Courier New" w:hAnsi="Courier New"/>
          <w:sz w:val="20"/>
          <w:szCs w:val="20"/>
        </w:rPr>
        <w:t xml:space="preserve">    None for a brand-new, unconnected member (then filled from the training median)."""</w:t>
      </w:r>
    </w:p>
    <w:p>
      <w:pPr>
        <w:spacing w:line="240"/>
        <w:jc w:val="left"/>
      </w:pPr>
      <w:r>
        <w:rPr>
          <w:rFonts w:ascii="Courier New" w:cs="Courier New" w:eastAsia="Courier New" w:hAnsi="Courier New"/>
          <w:sz w:val="20"/>
          <w:szCs w:val="20"/>
        </w:rPr>
        <w:t xml:space="preserve">    root = _COMMUNITY.get(borrower_id) if borrower_id else None</w:t>
      </w:r>
    </w:p>
    <w:p>
      <w:pPr>
        <w:spacing w:line="240"/>
        <w:jc w:val="left"/>
      </w:pPr>
      <w:r>
        <w:rPr>
          <w:rFonts w:ascii="Courier New" w:cs="Courier New" w:eastAsia="Courier New" w:hAnsi="Courier New"/>
          <w:sz w:val="20"/>
          <w:szCs w:val="20"/>
        </w:rPr>
        <w:t xml:space="preserve">    if root is None:</w:t>
      </w:r>
    </w:p>
    <w:p>
      <w:pPr>
        <w:spacing w:line="240"/>
        <w:jc w:val="left"/>
      </w:pPr>
      <w:r>
        <w:rPr>
          <w:rFonts w:ascii="Courier New" w:cs="Courier New" w:eastAsia="Courier New" w:hAnsi="Courier New"/>
          <w:sz w:val="20"/>
          <w:szCs w:val="20"/>
        </w:rPr>
        <w:t xml:space="preserve">        for g in (guarantor_ids or []):</w:t>
      </w:r>
    </w:p>
    <w:p>
      <w:pPr>
        <w:spacing w:line="240"/>
        <w:jc w:val="left"/>
      </w:pPr>
      <w:r>
        <w:rPr>
          <w:rFonts w:ascii="Courier New" w:cs="Courier New" w:eastAsia="Courier New" w:hAnsi="Courier New"/>
          <w:sz w:val="20"/>
          <w:szCs w:val="20"/>
        </w:rPr>
        <w:t xml:space="preserve">            if g in _COMMUNITY:</w:t>
      </w:r>
    </w:p>
    <w:p>
      <w:pPr>
        <w:spacing w:line="240"/>
        <w:jc w:val="left"/>
      </w:pPr>
      <w:r>
        <w:rPr>
          <w:rFonts w:ascii="Courier New" w:cs="Courier New" w:eastAsia="Courier New" w:hAnsi="Courier New"/>
          <w:sz w:val="20"/>
          <w:szCs w:val="20"/>
        </w:rPr>
        <w:t xml:space="preserve">                root = _COMMUNITY[g]; break</w:t>
      </w:r>
    </w:p>
    <w:p>
      <w:pPr>
        <w:spacing w:line="240"/>
        <w:jc w:val="left"/>
      </w:pPr>
      <w:r>
        <w:rPr>
          <w:rFonts w:ascii="Courier New" w:cs="Courier New" w:eastAsia="Courier New" w:hAnsi="Courier New"/>
          <w:sz w:val="20"/>
          <w:szCs w:val="20"/>
        </w:rPr>
        <w:t xml:space="preserve">    return _COMMUNITY_RATE.get(root) if root is not None else None</w:t>
      </w:r>
    </w:p>
    <w:p>
      <w:pPr>
        <w:spacing w:after="120" w:line="360"/>
        <w:jc w:val="both"/>
      </w:pPr>
      <w:r>
        <w:rPr>
          <w:rFonts w:ascii="Times New Roman" w:cs="Times New Roman" w:eastAsia="Times New Roman" w:hAnsi="Times New Roman"/>
          <w:b/>
          <w:bCs/>
          <w:sz w:val="24"/>
          <w:szCs w:val="24"/>
        </w:rPr>
        <w:t xml:space="preserve">Leak-free band escalation.</w:t>
      </w:r>
      <w:r>
        <w:rPr>
          <w:rFonts w:ascii="Times New Roman" w:cs="Times New Roman" w:eastAsia="Times New Roman" w:hAnsi="Times New Roman"/>
          <w:sz w:val="24"/>
          <w:szCs w:val="24"/>
        </w:rPr>
        <w:t xml:space="preserve"> Independently of the model, </w:t>
      </w:r>
      <w:r>
        <w:rPr>
          <w:rFonts w:ascii="Courier New" w:cs="Courier New" w:eastAsia="Courier New" w:hAnsi="Courier New"/>
          <w:sz w:val="20"/>
          <w:szCs w:val="20"/>
        </w:rPr>
        <w:t xml:space="preserve">adjust_band</w:t>
      </w:r>
      <w:r>
        <w:rPr>
          <w:rFonts w:ascii="Times New Roman" w:cs="Times New Roman" w:eastAsia="Times New Roman" w:hAnsi="Times New Roman"/>
          <w:sz w:val="24"/>
          <w:szCs w:val="24"/>
        </w:rPr>
        <w:t xml:space="preserve"> overlays hard network facts, for example escalating the band when multiple backers have prior write-offs, computed from the same as-of data so the overlay adds caution without leakage. ```python</w:t>
      </w:r>
    </w:p>
    <w:p>
      <w:pPr>
        <w:pStyle w:val="Heading1"/>
        <w:pageBreakBefore/>
        <w:spacing w:after="180" w:before="0" w:line="360"/>
      </w:pPr>
      <w:r>
        <w:rPr>
          <w:rFonts w:ascii="Times New Roman" w:cs="Times New Roman" w:eastAsia="Times New Roman" w:hAnsi="Times New Roman"/>
          <w:b/>
          <w:bCs/>
          <w:sz w:val="32"/>
          <w:szCs w:val="32"/>
        </w:rPr>
        <w:t xml:space="preserve">app/scoring.py (excerpt): leak-free rule overlay on concentrated network red flags</w:t>
      </w:r>
    </w:p>
    <w:p>
      <w:pPr>
        <w:spacing w:after="120" w:line="360"/>
        <w:jc w:val="both"/>
      </w:pPr>
      <w:r>
        <w:rPr>
          <w:rFonts w:ascii="Times New Roman" w:cs="Times New Roman" w:eastAsia="Times New Roman" w:hAnsi="Times New Roman"/>
          <w:sz w:val="24"/>
          <w:szCs w:val="24"/>
        </w:rPr>
        <w:t xml:space="preserve">def adjust_band(base_band, guarantor_ids, borrower_id=None):</w:t>
      </w:r>
    </w:p>
    <w:p>
      <w:pPr>
        <w:spacing w:after="120" w:line="360"/>
        <w:jc w:val="both"/>
      </w:pPr>
      <w:r>
        <w:rPr>
          <w:rFonts w:ascii="Times New Roman" w:cs="Times New Roman" w:eastAsia="Times New Roman" w:hAnsi="Times New Roman"/>
          <w:sz w:val="24"/>
          <w:szCs w:val="24"/>
        </w:rPr>
        <w:t xml:space="preserve">"""Escalate the risk band on concentrated guarantor-network red flags; the model</w:t>
      </w:r>
    </w:p>
    <w:p>
      <w:pPr>
        <w:spacing w:after="120" w:line="360"/>
        <w:jc w:val="both"/>
      </w:pPr>
      <w:r>
        <w:rPr>
          <w:rFonts w:ascii="Times New Roman" w:cs="Times New Roman" w:eastAsia="Times New Roman" w:hAnsi="Times New Roman"/>
          <w:sz w:val="24"/>
          <w:szCs w:val="24"/>
        </w:rPr>
        <w:t xml:space="preserve">probability is unchanged. Concentrated signals only: in a dense guarantor network</w:t>
      </w:r>
    </w:p>
    <w:p>
      <w:pPr>
        <w:spacing w:after="120" w:line="360"/>
        <w:jc w:val="both"/>
      </w:pPr>
      <w:r>
        <w:rPr>
          <w:rFonts w:ascii="Times New Roman" w:cs="Times New Roman" w:eastAsia="Times New Roman" w:hAnsi="Times New Roman"/>
          <w:sz w:val="24"/>
          <w:szCs w:val="24"/>
        </w:rPr>
        <w:t xml:space="preserve">almost every loan touches some over-committed or once-defaulted guarantor, so a</w:t>
      </w:r>
    </w:p>
    <w:p>
      <w:pPr>
        <w:spacing w:after="120" w:line="360"/>
        <w:jc w:val="both"/>
      </w:pPr>
      <w:r>
        <w:rPr>
          <w:rFonts w:ascii="Times New Roman" w:cs="Times New Roman" w:eastAsia="Times New Roman" w:hAnsi="Times New Roman"/>
          <w:sz w:val="24"/>
          <w:szCs w:val="24"/>
        </w:rPr>
        <w:t xml:space="preserve">single-link rule would flag nearly everything and tell the officer nothing.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whole backing group over-committed   -&gt; +1 band (the guarantee itself is weak)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two or more backers defaulted before -&gt; High (a serious cluster of bad backers)"""</w:t>
      </w:r>
    </w:p>
    <w:p>
      <w:pPr>
        <w:spacing w:after="120" w:line="360"/>
        <w:jc w:val="both"/>
      </w:pPr>
      <w:r>
        <w:rPr>
          <w:rFonts w:ascii="Times New Roman" w:cs="Times New Roman" w:eastAsia="Times New Roman" w:hAnsi="Times New Roman"/>
          <w:sz w:val="24"/>
          <w:szCs w:val="24"/>
        </w:rPr>
        <w:t xml:space="preserve">band = base_band</w:t>
      </w:r>
    </w:p>
    <w:p>
      <w:pPr>
        <w:spacing w:after="120" w:line="360"/>
        <w:jc w:val="both"/>
      </w:pPr>
      <w:r>
        <w:rPr>
          <w:rFonts w:ascii="Times New Roman" w:cs="Times New Roman" w:eastAsia="Times New Roman" w:hAnsi="Times New Roman"/>
          <w:sz w:val="24"/>
          <w:szCs w:val="24"/>
        </w:rPr>
        <w:t xml:space="preserve">gs = guarantor_ids or []</w:t>
      </w:r>
    </w:p>
    <w:p>
      <w:pPr>
        <w:spacing w:after="120" w:line="360"/>
        <w:jc w:val="both"/>
      </w:pPr>
      <w:r>
        <w:rPr>
          <w:rFonts w:ascii="Times New Roman" w:cs="Times New Roman" w:eastAsia="Times New Roman" w:hAnsi="Times New Roman"/>
          <w:sz w:val="24"/>
          <w:szCs w:val="24"/>
        </w:rPr>
        <w:t xml:space="preserve">over = [g for g in gs if (_member(g).get("loans_backed") or 0) &gt;= FLAG_TH["over_committed_loads"]]</w:t>
      </w:r>
    </w:p>
    <w:p>
      <w:pPr>
        <w:spacing w:after="120" w:line="360"/>
        <w:jc w:val="both"/>
      </w:pPr>
      <w:r>
        <w:rPr>
          <w:rFonts w:ascii="Times New Roman" w:cs="Times New Roman" w:eastAsia="Times New Roman" w:hAnsi="Times New Roman"/>
          <w:sz w:val="24"/>
          <w:szCs w:val="24"/>
        </w:rPr>
        <w:t xml:space="preserve">defaulters = [g for g in gs if _member(g).get("ever_defaulted") == 1]</w:t>
      </w:r>
    </w:p>
    <w:p>
      <w:pPr>
        <w:spacing w:after="120" w:line="360"/>
        <w:jc w:val="both"/>
      </w:pPr>
      <w:r>
        <w:rPr>
          <w:rFonts w:ascii="Times New Roman" w:cs="Times New Roman" w:eastAsia="Times New Roman" w:hAnsi="Times New Roman"/>
          <w:sz w:val="24"/>
          <w:szCs w:val="24"/>
        </w:rPr>
        <w:t xml:space="preserve">if gs and len(over) == len(gs):</w:t>
      </w:r>
    </w:p>
    <w:p>
      <w:pPr>
        <w:spacing w:after="120" w:line="360"/>
        <w:jc w:val="both"/>
      </w:pPr>
      <w:r>
        <w:rPr>
          <w:rFonts w:ascii="Times New Roman" w:cs="Times New Roman" w:eastAsia="Times New Roman" w:hAnsi="Times New Roman"/>
          <w:sz w:val="24"/>
          <w:szCs w:val="24"/>
        </w:rPr>
        <w:t xml:space="preserve">band = _bump(band, 1)</w:t>
      </w:r>
    </w:p>
    <w:p>
      <w:pPr>
        <w:spacing w:after="120" w:line="360"/>
        <w:jc w:val="both"/>
      </w:pPr>
      <w:r>
        <w:rPr>
          <w:rFonts w:ascii="Times New Roman" w:cs="Times New Roman" w:eastAsia="Times New Roman" w:hAnsi="Times New Roman"/>
          <w:sz w:val="24"/>
          <w:szCs w:val="24"/>
        </w:rPr>
        <w:t xml:space="preserve">if len(defaulters) &gt;= 2:</w:t>
      </w:r>
    </w:p>
    <w:p>
      <w:pPr>
        <w:spacing w:after="120" w:line="360"/>
        <w:jc w:val="both"/>
      </w:pPr>
      <w:r>
        <w:rPr>
          <w:rFonts w:ascii="Times New Roman" w:cs="Times New Roman" w:eastAsia="Times New Roman" w:hAnsi="Times New Roman"/>
          <w:sz w:val="24"/>
          <w:szCs w:val="24"/>
        </w:rPr>
        <w:t xml:space="preserve">band = "High"</w:t>
      </w:r>
    </w:p>
    <w:p>
      <w:pPr>
        <w:spacing w:after="120" w:line="360"/>
        <w:jc w:val="both"/>
      </w:pPr>
      <w:r>
        <w:rPr>
          <w:rFonts w:ascii="Times New Roman" w:cs="Times New Roman" w:eastAsia="Times New Roman" w:hAnsi="Times New Roman"/>
          <w:sz w:val="24"/>
          <w:szCs w:val="24"/>
        </w:rPr>
        <w:t xml:space="preserve">return band</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**Data storage and seeding.** The reference data (`members`, `loans`, `guarantees`) lives in PostgreSQL and is loaded into memory at startup; the anonymised files are only the seed. This split exists because the network computations traverse the whole graph, which is far faster in memory than as per-row SQL, while the database remains the source of truth that survives redeploys. An admin upload deletes and re-seeds the tables and records a timestamped seed row with row counts as proof (FR11). ```python</w:t>
      </w:r>
    </w:p>
    <w:p>
      <w:pPr>
        <w:spacing w:line="240"/>
        <w:jc w:val="left"/>
      </w:pPr>
      <w:r>
        <w:rPr>
          <w:rFonts w:ascii="Courier New" w:cs="Courier New" w:eastAsia="Courier New" w:hAnsi="Courier New"/>
          <w:sz w:val="20"/>
          <w:szCs w:val="20"/>
        </w:rPr>
        <w:t xml:space="preserve"># app/data_store.py (excerpt): delete + re-seed the reference tables, with proof</w:t>
      </w:r>
    </w:p>
    <w:p>
      <w:pPr>
        <w:spacing w:line="240"/>
        <w:jc w:val="left"/>
      </w:pPr>
      <w:r>
        <w:rPr>
          <w:rFonts w:ascii="Courier New" w:cs="Courier New" w:eastAsia="Courier New" w:hAnsi="Courier New"/>
          <w:sz w:val="20"/>
          <w:szCs w:val="20"/>
        </w:rPr>
        <w:t xml:space="preserve">def _seed(db, members_data, loans_data):</w:t>
      </w:r>
    </w:p>
    <w:p>
      <w:pPr>
        <w:spacing w:line="240"/>
        <w:jc w:val="left"/>
      </w:pPr>
      <w:r>
        <w:rPr>
          <w:rFonts w:ascii="Courier New" w:cs="Courier New" w:eastAsia="Courier New" w:hAnsi="Courier New"/>
          <w:sz w:val="20"/>
          <w:szCs w:val="20"/>
        </w:rPr>
        <w:t xml:space="preserve">    """Delete the existing reference data, insert the given records, and record a</w:t>
      </w:r>
    </w:p>
    <w:p>
      <w:pPr>
        <w:spacing w:line="240"/>
        <w:jc w:val="left"/>
      </w:pPr>
      <w:r>
        <w:rPr>
          <w:rFonts w:ascii="Courier New" w:cs="Courier New" w:eastAsia="Courier New" w:hAnsi="Courier New"/>
          <w:sz w:val="20"/>
          <w:szCs w:val="20"/>
        </w:rPr>
        <w:t xml:space="preserve">    DatasetSeed row (timestamp + counts) as proof. Returns the seed record dict."""</w:t>
      </w:r>
    </w:p>
    <w:p>
      <w:pPr>
        <w:spacing w:line="240"/>
        <w:jc w:val="left"/>
      </w:pPr>
      <w:r>
        <w:rPr>
          <w:rFonts w:ascii="Courier New" w:cs="Courier New" w:eastAsia="Courier New" w:hAnsi="Courier New"/>
          <w:sz w:val="20"/>
          <w:szCs w:val="20"/>
        </w:rPr>
        <w:t xml:space="preserve">    deleted = (db.query(Guarantee).delete() + db.query(Loan).delete() + db.query(Member).delete())</w:t>
      </w:r>
    </w:p>
    <w:p>
      <w:pPr>
        <w:spacing w:line="240"/>
        <w:jc w:val="left"/>
      </w:pPr>
      <w:r>
        <w:rPr>
          <w:rFonts w:ascii="Courier New" w:cs="Courier New" w:eastAsia="Courier New" w:hAnsi="Courier New"/>
          <w:sz w:val="20"/>
          <w:szCs w:val="20"/>
        </w:rPr>
        <w:t xml:space="preserve">    db.query(DatasetSeed).delete()</w:t>
      </w:r>
    </w:p>
    <w:p>
      <w:pPr>
        <w:spacing w:line="240"/>
        <w:jc w:val="left"/>
      </w:pPr>
      <w:r>
        <w:rPr>
          <w:rFonts w:ascii="Courier New" w:cs="Courier New" w:eastAsia="Courier New" w:hAnsi="Courier New"/>
          <w:sz w:val="20"/>
          <w:szCs w:val="20"/>
        </w:rPr>
        <w:t xml:space="preserve">    db.commit()</w:t>
      </w:r>
    </w:p>
    <w:p>
      <w:pPr>
        <w:spacing w:line="240"/>
        <w:jc w:val="left"/>
      </w:pPr>
      <w:r>
        <w:rPr>
          <w:rFonts w:ascii="Courier New" w:cs="Courier New" w:eastAsia="Courier New" w:hAnsi="Courier New"/>
          <w:sz w:val="20"/>
          <w:szCs w:val="20"/>
        </w:rPr>
        <w:t xml:space="preserve">    n_m = n_l = n_g = 0</w:t>
      </w:r>
    </w:p>
    <w:p>
      <w:pPr>
        <w:spacing w:line="240"/>
        <w:jc w:val="left"/>
      </w:pPr>
      <w:r>
        <w:rPr>
          <w:rFonts w:ascii="Courier New" w:cs="Courier New" w:eastAsia="Courier New" w:hAnsi="Courier New"/>
          <w:sz w:val="20"/>
          <w:szCs w:val="20"/>
        </w:rPr>
        <w:t xml:space="preserve">    if members_data:</w:t>
      </w:r>
    </w:p>
    <w:p>
      <w:pPr>
        <w:spacing w:line="240"/>
        <w:jc w:val="left"/>
      </w:pPr>
      <w:r>
        <w:rPr>
          <w:rFonts w:ascii="Courier New" w:cs="Courier New" w:eastAsia="Courier New" w:hAnsi="Courier New"/>
          <w:sz w:val="20"/>
          <w:szCs w:val="20"/>
        </w:rPr>
        <w:t xml:space="preserve">        mrows = [_member_row(m) for m in members_data if _mkey(m) is not None]</w:t>
      </w:r>
    </w:p>
    <w:p>
      <w:pPr>
        <w:spacing w:line="240"/>
        <w:jc w:val="left"/>
      </w:pPr>
      <w:r>
        <w:rPr>
          <w:rFonts w:ascii="Courier New" w:cs="Courier New" w:eastAsia="Courier New" w:hAnsi="Courier New"/>
          <w:sz w:val="20"/>
          <w:szCs w:val="20"/>
        </w:rPr>
        <w:t xml:space="preserve">        db.bulk_insert_mappings(Member, mrows); n_m = len(mrows)</w:t>
      </w:r>
    </w:p>
    <w:p>
      <w:pPr>
        <w:spacing w:line="240"/>
        <w:jc w:val="left"/>
      </w:pPr>
      <w:r>
        <w:rPr>
          <w:rFonts w:ascii="Courier New" w:cs="Courier New" w:eastAsia="Courier New" w:hAnsi="Courier New"/>
          <w:sz w:val="20"/>
          <w:szCs w:val="20"/>
        </w:rPr>
        <w:t xml:space="preserve">    if loans_data:</w:t>
      </w:r>
    </w:p>
    <w:p>
      <w:pPr>
        <w:spacing w:line="240"/>
        <w:jc w:val="left"/>
      </w:pPr>
      <w:r>
        <w:rPr>
          <w:rFonts w:ascii="Courier New" w:cs="Courier New" w:eastAsia="Courier New" w:hAnsi="Courier New"/>
          <w:sz w:val="20"/>
          <w:szCs w:val="20"/>
        </w:rPr>
        <w:t xml:space="preserve">        lrows = [_loan_row(ln) for ln in loans_data if ln.get("loan_key")]</w:t>
      </w:r>
    </w:p>
    <w:p>
      <w:pPr>
        <w:spacing w:line="240"/>
        <w:jc w:val="left"/>
      </w:pPr>
      <w:r>
        <w:rPr>
          <w:rFonts w:ascii="Courier New" w:cs="Courier New" w:eastAsia="Courier New" w:hAnsi="Courier New"/>
          <w:sz w:val="20"/>
          <w:szCs w:val="20"/>
        </w:rPr>
        <w:t xml:space="preserve">        db.bulk_insert_mappings(Loan, lrows); n_l = len(lrows)</w:t>
      </w:r>
    </w:p>
    <w:p>
      <w:pPr>
        <w:spacing w:line="240"/>
        <w:jc w:val="left"/>
      </w:pPr>
      <w:r>
        <w:rPr>
          <w:rFonts w:ascii="Courier New" w:cs="Courier New" w:eastAsia="Courier New" w:hAnsi="Courier New"/>
          <w:sz w:val="20"/>
          <w:szCs w:val="20"/>
        </w:rPr>
        <w:t xml:space="preserve">        gts = [{"loan_key": ln["loan_key"], "guarantor": g}</w:t>
      </w:r>
    </w:p>
    <w:p>
      <w:pPr>
        <w:spacing w:line="240"/>
        <w:jc w:val="left"/>
      </w:pPr>
      <w:r>
        <w:rPr>
          <w:rFonts w:ascii="Courier New" w:cs="Courier New" w:eastAsia="Courier New" w:hAnsi="Courier New"/>
          <w:sz w:val="20"/>
          <w:szCs w:val="20"/>
        </w:rPr>
        <w:t xml:space="preserve">               for ln in loans_data if ln.get("loan_key")</w:t>
      </w:r>
    </w:p>
    <w:p>
      <w:pPr>
        <w:spacing w:line="240"/>
        <w:jc w:val="left"/>
      </w:pPr>
      <w:r>
        <w:rPr>
          <w:rFonts w:ascii="Courier New" w:cs="Courier New" w:eastAsia="Courier New" w:hAnsi="Courier New"/>
          <w:sz w:val="20"/>
          <w:szCs w:val="20"/>
        </w:rPr>
        <w:t xml:space="preserve">               for g in (ln.get("guarantors") or [])]</w:t>
      </w:r>
    </w:p>
    <w:p>
      <w:pPr>
        <w:spacing w:line="240"/>
        <w:jc w:val="left"/>
      </w:pPr>
      <w:r>
        <w:rPr>
          <w:rFonts w:ascii="Courier New" w:cs="Courier New" w:eastAsia="Courier New" w:hAnsi="Courier New"/>
          <w:sz w:val="20"/>
          <w:szCs w:val="20"/>
        </w:rPr>
        <w:t xml:space="preserve">        if gts:</w:t>
      </w:r>
    </w:p>
    <w:p>
      <w:pPr>
        <w:spacing w:line="240"/>
        <w:jc w:val="left"/>
      </w:pPr>
      <w:r>
        <w:rPr>
          <w:rFonts w:ascii="Courier New" w:cs="Courier New" w:eastAsia="Courier New" w:hAnsi="Courier New"/>
          <w:sz w:val="20"/>
          <w:szCs w:val="20"/>
        </w:rPr>
        <w:t xml:space="preserve">            db.bulk_insert_mappings(Guarantee, gts); n_g = len(gts)</w:t>
      </w:r>
    </w:p>
    <w:p>
      <w:pPr>
        <w:spacing w:line="240"/>
        <w:jc w:val="left"/>
      </w:pPr>
      <w:r>
        <w:rPr>
          <w:rFonts w:ascii="Courier New" w:cs="Courier New" w:eastAsia="Courier New" w:hAnsi="Courier New"/>
          <w:sz w:val="20"/>
          <w:szCs w:val="20"/>
        </w:rPr>
        <w:t xml:space="preserve">    rec = DatasetSeed(members=n_m, loans=n_l, guarantees=n_g, deleted=deleted)</w:t>
      </w:r>
    </w:p>
    <w:p>
      <w:pPr>
        <w:spacing w:line="240"/>
        <w:jc w:val="left"/>
      </w:pPr>
      <w:r>
        <w:rPr>
          <w:rFonts w:ascii="Courier New" w:cs="Courier New" w:eastAsia="Courier New" w:hAnsi="Courier New"/>
          <w:sz w:val="20"/>
          <w:szCs w:val="20"/>
        </w:rPr>
        <w:t xml:space="preserve">    db.add(rec)</w:t>
      </w:r>
    </w:p>
    <w:p>
      <w:pPr>
        <w:spacing w:line="240"/>
        <w:jc w:val="left"/>
      </w:pPr>
      <w:r>
        <w:rPr>
          <w:rFonts w:ascii="Courier New" w:cs="Courier New" w:eastAsia="Courier New" w:hAnsi="Courier New"/>
          <w:sz w:val="20"/>
          <w:szCs w:val="20"/>
        </w:rPr>
        <w:t xml:space="preserve">    db.commit()</w:t>
      </w:r>
    </w:p>
    <w:p>
      <w:pPr>
        <w:spacing w:line="240"/>
        <w:jc w:val="left"/>
      </w:pPr>
      <w:r>
        <w:rPr>
          <w:rFonts w:ascii="Courier New" w:cs="Courier New" w:eastAsia="Courier New" w:hAnsi="Courier New"/>
          <w:sz w:val="20"/>
          <w:szCs w:val="20"/>
        </w:rPr>
        <w:t xml:space="preserve">    return {"members": n_m, "loans": n_l, "guarantees": n_g, "deleted": deleted}</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def ensure_seeded():</w:t>
      </w:r>
    </w:p>
    <w:p>
      <w:pPr>
        <w:spacing w:line="240"/>
        <w:jc w:val="left"/>
      </w:pPr>
      <w:r>
        <w:rPr>
          <w:rFonts w:ascii="Courier New" w:cs="Courier New" w:eastAsia="Courier New" w:hAnsi="Courier New"/>
          <w:sz w:val="20"/>
          <w:szCs w:val="20"/>
        </w:rPr>
        <w:t xml:space="preserve">    """Create the tables and, if the members table is empty, seed from the JSON artifacts."""</w:t>
      </w:r>
    </w:p>
    <w:p>
      <w:pPr>
        <w:spacing w:line="240"/>
        <w:jc w:val="left"/>
      </w:pPr>
      <w:r>
        <w:rPr>
          <w:rFonts w:ascii="Courier New" w:cs="Courier New" w:eastAsia="Courier New" w:hAnsi="Courier New"/>
          <w:sz w:val="20"/>
          <w:szCs w:val="20"/>
        </w:rPr>
        <w:t xml:space="preserve">    Base.metadata.create_all(bind=engine)</w:t>
      </w:r>
    </w:p>
    <w:p>
      <w:pPr>
        <w:spacing w:line="240"/>
        <w:jc w:val="left"/>
      </w:pPr>
      <w:r>
        <w:rPr>
          <w:rFonts w:ascii="Courier New" w:cs="Courier New" w:eastAsia="Courier New" w:hAnsi="Courier New"/>
          <w:sz w:val="20"/>
          <w:szCs w:val="20"/>
        </w:rPr>
        <w:t xml:space="preserve">    with SessionLocal() as db:</w:t>
      </w:r>
    </w:p>
    <w:p>
      <w:pPr>
        <w:spacing w:line="240"/>
        <w:jc w:val="left"/>
      </w:pPr>
      <w:r>
        <w:rPr>
          <w:rFonts w:ascii="Courier New" w:cs="Courier New" w:eastAsia="Courier New" w:hAnsi="Courier New"/>
          <w:sz w:val="20"/>
          <w:szCs w:val="20"/>
        </w:rPr>
        <w:t xml:space="preserve">        if db.query(Member.member_id).first() is None:</w:t>
      </w:r>
    </w:p>
    <w:p>
      <w:pPr>
        <w:spacing w:line="240"/>
        <w:jc w:val="left"/>
      </w:pPr>
      <w:r>
        <w:rPr>
          <w:rFonts w:ascii="Courier New" w:cs="Courier New" w:eastAsia="Courier New" w:hAnsi="Courier New"/>
          <w:sz w:val="20"/>
          <w:szCs w:val="20"/>
        </w:rPr>
        <w:t xml:space="preserve">            _seed(db, _read_json(MEMBERS_PATH), _read_json(LOANS_PATH))</w:t>
      </w:r>
    </w:p>
    <w:p>
      <w:pPr>
        <w:spacing w:after="120" w:line="360"/>
        <w:jc w:val="both"/>
      </w:pPr>
      <w:r>
        <w:rPr>
          <w:rFonts w:ascii="Times New Roman" w:cs="Times New Roman" w:eastAsia="Times New Roman" w:hAnsi="Times New Roman"/>
          <w:b/>
          <w:bCs/>
          <w:sz w:val="24"/>
          <w:szCs w:val="24"/>
        </w:rPr>
        <w:t xml:space="preserve">Band-consistent display score.</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_display_for_band</w:t>
      </w:r>
      <w:r>
        <w:rPr>
          <w:rFonts w:ascii="Times New Roman" w:cs="Times New Roman" w:eastAsia="Times New Roman" w:hAnsi="Times New Roman"/>
          <w:sz w:val="24"/>
          <w:szCs w:val="24"/>
        </w:rPr>
        <w:t xml:space="preserve"> maps the calibrated probability to the 0-100 score monotonically and so it can never contradict the band shown beside it. ```python</w:t>
      </w:r>
    </w:p>
    <w:p>
      <w:pPr>
        <w:pStyle w:val="Heading1"/>
        <w:pageBreakBefore/>
        <w:spacing w:after="180" w:before="0" w:line="360"/>
      </w:pPr>
      <w:r>
        <w:rPr>
          <w:rFonts w:ascii="Times New Roman" w:cs="Times New Roman" w:eastAsia="Times New Roman" w:hAnsi="Times New Roman"/>
          <w:b/>
          <w:bCs/>
          <w:sz w:val="32"/>
          <w:szCs w:val="32"/>
        </w:rPr>
        <w:t xml:space="preserve">app/scoring.py (excerpt): the displayed score can never contradict the band</w:t>
      </w:r>
    </w:p>
    <w:p>
      <w:pPr>
        <w:spacing w:after="120" w:line="360"/>
        <w:jc w:val="both"/>
      </w:pPr>
      <w:r>
        <w:rPr>
          <w:rFonts w:ascii="Times New Roman" w:cs="Times New Roman" w:eastAsia="Times New Roman" w:hAnsi="Times New Roman"/>
          <w:sz w:val="24"/>
          <w:szCs w:val="24"/>
        </w:rPr>
        <w:t xml:space="preserve">_BAND_FLOOR = {"Low": 0, "Medium": 40, "High": 70}</w:t>
      </w:r>
    </w:p>
    <w:p>
      <w:pPr>
        <w:spacing w:after="120" w:line="360"/>
        <w:jc w:val="both"/>
      </w:pPr>
      <w:r>
        <w:rPr>
          <w:rFonts w:ascii="Times New Roman" w:cs="Times New Roman" w:eastAsia="Times New Roman" w:hAnsi="Times New Roman"/>
          <w:sz w:val="24"/>
          <w:szCs w:val="24"/>
        </w:rPr>
        <w:t xml:space="preserve">def _display_for_band(p: float, band: str) -&gt; int:</w:t>
      </w:r>
    </w:p>
    <w:p>
      <w:pPr>
        <w:spacing w:after="120" w:line="360"/>
        <w:jc w:val="both"/>
      </w:pPr>
      <w:r>
        <w:rPr>
          <w:rFonts w:ascii="Times New Roman" w:cs="Times New Roman" w:eastAsia="Times New Roman" w:hAnsi="Times New Roman"/>
          <w:sz w:val="24"/>
          <w:szCs w:val="24"/>
        </w:rPr>
        <w:t xml:space="preserve">"""adjust_band can raise the band on a leak-free rule without changing the</w:t>
      </w:r>
    </w:p>
    <w:p>
      <w:pPr>
        <w:spacing w:after="120" w:line="360"/>
        <w:jc w:val="both"/>
      </w:pPr>
      <w:r>
        <w:rPr>
          <w:rFonts w:ascii="Times New Roman" w:cs="Times New Roman" w:eastAsia="Times New Roman" w:hAnsi="Times New Roman"/>
          <w:sz w:val="24"/>
          <w:szCs w:val="24"/>
        </w:rPr>
        <w:t xml:space="preserve">probability. Without this, a flagged loan reads e.g. 'High 46/100'. Since</w:t>
      </w:r>
    </w:p>
    <w:p>
      <w:pPr>
        <w:spacing w:after="120" w:line="360"/>
        <w:jc w:val="both"/>
      </w:pPr>
      <w:r>
        <w:rPr>
          <w:rFonts w:ascii="Times New Roman" w:cs="Times New Roman" w:eastAsia="Times New Roman" w:hAnsi="Times New Roman"/>
          <w:sz w:val="24"/>
          <w:szCs w:val="24"/>
        </w:rPr>
        <w:t xml:space="preserve">adjust_band only ever raises the band, lift the score to that band's floor,</w:t>
      </w:r>
    </w:p>
    <w:p>
      <w:pPr>
        <w:spacing w:after="120" w:line="360"/>
        <w:jc w:val="both"/>
      </w:pPr>
      <w:r>
        <w:rPr>
          <w:rFonts w:ascii="Times New Roman" w:cs="Times New Roman" w:eastAsia="Times New Roman" w:hAnsi="Times New Roman"/>
          <w:sz w:val="24"/>
          <w:szCs w:val="24"/>
        </w:rPr>
        <w:t xml:space="preserve">so a flag-escalated loan reads High 70+, and the what-if delta moves the</w:t>
      </w:r>
    </w:p>
    <w:p>
      <w:pPr>
        <w:spacing w:after="120" w:line="360"/>
        <w:jc w:val="both"/>
      </w:pPr>
      <w:r>
        <w:rPr>
          <w:rFonts w:ascii="Times New Roman" w:cs="Times New Roman" w:eastAsia="Times New Roman" w:hAnsi="Times New Roman"/>
          <w:sz w:val="24"/>
          <w:szCs w:val="24"/>
        </w:rPr>
        <w:t xml:space="preserve">right way."""</w:t>
      </w:r>
    </w:p>
    <w:p>
      <w:pPr>
        <w:spacing w:after="120" w:line="360"/>
        <w:jc w:val="both"/>
      </w:pPr>
      <w:r>
        <w:rPr>
          <w:rFonts w:ascii="Times New Roman" w:cs="Times New Roman" w:eastAsia="Times New Roman" w:hAnsi="Times New Roman"/>
          <w:sz w:val="24"/>
          <w:szCs w:val="24"/>
        </w:rPr>
        <w:t xml:space="preserve">return max(_display_score(p), _BAND_FLOOR.get(band, 0))</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4.2 Graphical View of the Project</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4.2.1 System Navigation</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The system tells one story in a fixed flow: an officer signs in and lands on the dashboard; starts an assessment by entering the borrower, amount, and guarantors; receives the score, band, plain-language reasons, and any network flags; can click a guarantor to open the member view (savings, loans, who backs them, whom they back) or the network graph; saves the assessment as an application and, if concerned, escalates it; the credit manager then opens the queue, reviews, and records a recommendation; either can export the assessment as a printable report. The screenshots below follow that navigation order.</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4.2.2 Screenshots with Description</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[INSERT screenshots from the captioned deck; each maps to a functional requirement:]</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[Screenshot: empty assessment form]: entering borrower, amount, and up to eight guarantors (FR1).</w:t>
      </w:r>
    </w:p>
    <w:p>
      <w:pPr>
        <w:spacing w:line="240"/>
        <w:jc w:val="left"/>
      </w:pPr>
      <w:r>
        <w:rPr>
          <w:rFonts w:ascii="Courier New" w:cs="Courier New" w:eastAsia="Courier New" w:hAnsi="Courier New"/>
          <w:sz w:val="20"/>
          <w:szCs w:val="20"/>
        </w:rPr>
        <w:t xml:space="preserve">- [Screenshot: Low-risk result]: gauge, band, calibrated probability (FR1, NFR2).</w:t>
      </w:r>
    </w:p>
    <w:p>
      <w:pPr>
        <w:spacing w:line="240"/>
        <w:jc w:val="left"/>
      </w:pPr>
      <w:r>
        <w:rPr>
          <w:rFonts w:ascii="Courier New" w:cs="Courier New" w:eastAsia="Courier New" w:hAnsi="Courier New"/>
          <w:sz w:val="20"/>
          <w:szCs w:val="20"/>
        </w:rPr>
        <w:t xml:space="preserve">- [Screenshot: High-risk result with network flags]: defaulter-backer and over-committed warnings (FR3).</w:t>
      </w:r>
    </w:p>
    <w:p>
      <w:pPr>
        <w:spacing w:line="240"/>
        <w:jc w:val="left"/>
      </w:pPr>
      <w:r>
        <w:rPr>
          <w:rFonts w:ascii="Courier New" w:cs="Courier New" w:eastAsia="Courier New" w:hAnsi="Courier New"/>
          <w:sz w:val="20"/>
          <w:szCs w:val="20"/>
        </w:rPr>
        <w:t xml:space="preserve">- [Screenshot: plain-language drivers]: SHAP-derived reasons, network vs individual (FR2, NFR1).</w:t>
      </w:r>
    </w:p>
    <w:p>
      <w:pPr>
        <w:spacing w:line="240"/>
        <w:jc w:val="left"/>
      </w:pPr>
      <w:r>
        <w:rPr>
          <w:rFonts w:ascii="Courier New" w:cs="Courier New" w:eastAsia="Courier New" w:hAnsi="Courier New"/>
          <w:sz w:val="20"/>
          <w:szCs w:val="20"/>
        </w:rPr>
        <w:t xml:space="preserve">- [Screenshot: fix-it advisor / what-if]: swapping a guarantor and re-scoring (FR4, FR5).</w:t>
      </w:r>
    </w:p>
    <w:p>
      <w:pPr>
        <w:spacing w:line="240"/>
        <w:jc w:val="left"/>
      </w:pPr>
      <w:r>
        <w:rPr>
          <w:rFonts w:ascii="Courier New" w:cs="Courier New" w:eastAsia="Courier New" w:hAnsi="Courier New"/>
          <w:sz w:val="20"/>
          <w:szCs w:val="20"/>
        </w:rPr>
        <w:t xml:space="preserve">- [Screenshot: insights and monitoring]: portfolio overview, weak links, early warning (FR7).</w:t>
      </w:r>
    </w:p>
    <w:p>
      <w:pPr>
        <w:spacing w:line="240"/>
        <w:jc w:val="left"/>
      </w:pPr>
      <w:r>
        <w:rPr>
          <w:rFonts w:ascii="Courier New" w:cs="Courier New" w:eastAsia="Courier New" w:hAnsi="Courier New"/>
          <w:sz w:val="20"/>
          <w:szCs w:val="20"/>
        </w:rPr>
        <w:t xml:space="preserve">- [Screenshot: member profile, network graph, contagion view]: who backs whom, defaulters marked (FR6).</w:t>
      </w:r>
    </w:p>
    <w:p>
      <w:pPr>
        <w:spacing w:line="240"/>
        <w:jc w:val="left"/>
      </w:pPr>
      <w:r>
        <w:rPr>
          <w:rFonts w:ascii="Courier New" w:cs="Courier New" w:eastAsia="Courier New" w:hAnsi="Courier New"/>
          <w:sz w:val="20"/>
          <w:szCs w:val="20"/>
        </w:rPr>
        <w:t xml:space="preserve">- [Screenshot: applications workflow]: create, escalate, recommend with role gating (FR8, FR9).</w:t>
      </w:r>
    </w:p>
    <w:p>
      <w:pPr>
        <w:spacing w:line="240"/>
        <w:jc w:val="left"/>
      </w:pPr>
      <w:r>
        <w:rPr>
          <w:rFonts w:ascii="Courier New" w:cs="Courier New" w:eastAsia="Courier New" w:hAnsi="Courier New"/>
          <w:sz w:val="20"/>
          <w:szCs w:val="20"/>
        </w:rPr>
        <w:t xml:space="preserve">- [Screenshot: printable PDF report]: exported assessment (FR10).</w:t>
      </w:r>
    </w:p>
    <w:p>
      <w:pPr>
        <w:spacing w:line="240"/>
        <w:jc w:val="left"/>
      </w:pPr>
      <w:r>
        <w:rPr>
          <w:rFonts w:ascii="Courier New" w:cs="Courier New" w:eastAsia="Courier New" w:hAnsi="Courier New"/>
          <w:sz w:val="20"/>
          <w:szCs w:val="20"/>
        </w:rPr>
        <w:t xml:space="preserve">- [Screenshot: mobile/tablet views]: responsive layouts (NFR6).</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 Testing</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4.3.1 Introduction and Objective</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Testing combined automated pytest suites (with httpx against the real API) and manual cross-environment checks, to confirm correct functionality, sane and defensible model behaviour, enforced access control, and usability across devices.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4.3.2 Unit Testing Outputs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`tests/test_scoring_unit.py` (8 tests) exercised the scoring logic: band boundaries; the display score aligning with its band and monotonic in probability; two defaulter guarantors escalating to High; `assess()` returning the full expected shape. Two were metamorphic tests, checking invariants rather than fixed outputs (more savings never raises risk; a bigger loan never lowers it), the natural way to test a learned component.</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4.3.3 Validation Testing Outputs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`tests/test_validation.py` (5 tests): the deployed model beats the baseline and meets spec (PR-AUC far above the 2.1% base rate; ROC-AUC ≥ 0.85); band thresholds are ordered; the displayed score never contradicts the band across the full 0-1 sweep; the API rejects a zero amount (400) and a missing amount (422). Model-level validation beyond the suite: the leakage screen, the calibration curve, borrower-grouped CV, and bootstrap confidence intervals on the network lift, which honestly showed the incremental PR-AUC interval crossing zero (Chapter Five).</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4.3.4 Integration Testing Outputs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`tests/test_api_integration.py` (6 tests), real HTTP with auth: health check; unauthenticated requests rejected; `/assess-risk` returns a valid band and score; a well-covered loan scores no higher than a thin one; an officer is blocked (403) from recording a recommendation while a manager succeeds.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4.3.5 Functional and System Testing Results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`tests/test_functional_cases.py` (6 tests) automated five verified scenarios asserting the band and flag, plus a rate-lever sanity test (a higher interest rate never lowers the band). The interface was also verified on desktop, tablet, and mobile widths in more than one browser [INSERT: cross-device screenshots from screenshots/].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 | Inputs (amount / savings / salary / rate / guarantors) | Asserted result |</w:t>
      </w:r>
    </w:p>
    <w:p>
      <w:pPr>
        <w:spacing w:line="240"/>
        <w:jc w:val="left"/>
      </w:pPr>
      <w:r>
        <w:rPr>
          <w:rFonts w:ascii="Courier New" w:cs="Courier New" w:eastAsia="Courier New" w:hAnsi="Courier New"/>
          <w:sz w:val="20"/>
          <w:szCs w:val="20"/>
        </w:rPr>
        <w:t xml:space="preserve">|---|---|---|</w:t>
      </w:r>
    </w:p>
    <w:p>
      <w:pPr>
        <w:spacing w:line="240"/>
        <w:jc w:val="left"/>
      </w:pPr>
      <w:r>
        <w:rPr>
          <w:rFonts w:ascii="Courier New" w:cs="Courier New" w:eastAsia="Courier New" w:hAnsi="Courier New"/>
          <w:sz w:val="20"/>
          <w:szCs w:val="20"/>
        </w:rPr>
        <w:t xml:space="preserve">| 1 | 300k / 2.5M / 400k / 13% / 2 clean | Low |</w:t>
      </w:r>
    </w:p>
    <w:p>
      <w:pPr>
        <w:spacing w:line="240"/>
        <w:jc w:val="left"/>
      </w:pPr>
      <w:r>
        <w:rPr>
          <w:rFonts w:ascii="Courier New" w:cs="Courier New" w:eastAsia="Courier New" w:hAnsi="Courier New"/>
          <w:sz w:val="20"/>
          <w:szCs w:val="20"/>
        </w:rPr>
        <w:t xml:space="preserve">| 2 | 5M / 90k / 220k / 14% / 2 clean | Medium |</w:t>
      </w:r>
    </w:p>
    <w:p>
      <w:pPr>
        <w:spacing w:line="240"/>
        <w:jc w:val="left"/>
      </w:pPr>
      <w:r>
        <w:rPr>
          <w:rFonts w:ascii="Courier New" w:cs="Courier New" w:eastAsia="Courier New" w:hAnsi="Courier New"/>
          <w:sz w:val="20"/>
          <w:szCs w:val="20"/>
        </w:rPr>
        <w:t xml:space="preserve">| 3 | 12M / 30k / 150k / 14% / 2 clean | High |</w:t>
      </w:r>
    </w:p>
    <w:p>
      <w:pPr>
        <w:spacing w:line="240"/>
        <w:jc w:val="left"/>
      </w:pPr>
      <w:r>
        <w:rPr>
          <w:rFonts w:ascii="Courier New" w:cs="Courier New" w:eastAsia="Courier New" w:hAnsi="Courier New"/>
          <w:sz w:val="20"/>
          <w:szCs w:val="20"/>
        </w:rPr>
        <w:t xml:space="preserve">| 4 | 2M / 300k / 300k / 14% / over-committed + clean | Medium + over-committed flag |</w:t>
      </w:r>
    </w:p>
    <w:p>
      <w:pPr>
        <w:spacing w:line="240"/>
        <w:jc w:val="left"/>
      </w:pPr>
      <w:r>
        <w:rPr>
          <w:rFonts w:ascii="Courier New" w:cs="Courier New" w:eastAsia="Courier New" w:hAnsi="Courier New"/>
          <w:sz w:val="20"/>
          <w:szCs w:val="20"/>
        </w:rPr>
        <w:t xml:space="preserve">| 5 | 1.5M / 200k / 250k / 14% / 2 defaulters | High + defaulter flag |</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Table 4.1: Functional test scenarios and asserted outcomes</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4.3.6 Acceptance Testing Report</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`tests/test_acceptance.py` (3 tests) ran end-to-end user scenarios: officer proposes → escalates → manager records a recommendation (statuses assessed → escalated → recommendation recorded); an officer cannot approve their own case (403); a manager sees the escalation queue. The same scenarios were demonstrated live to the supervisor. One honest boundary: acceptance testing here was scenario-based and expert-reviewed, not a field trial; the tool has not yet been tested hands-on by SACCO loan officers, which is recorded as a limitation and as the natural next step before any operational use.</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4.3.7 Test Summary</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 Testing category | File | Tests | Result |</w:t>
      </w:r>
    </w:p>
    <w:p>
      <w:pPr>
        <w:spacing w:line="240"/>
        <w:jc w:val="left"/>
      </w:pPr>
      <w:r>
        <w:rPr>
          <w:rFonts w:ascii="Courier New" w:cs="Courier New" w:eastAsia="Courier New" w:hAnsi="Courier New"/>
          <w:sz w:val="20"/>
          <w:szCs w:val="20"/>
        </w:rPr>
        <w:t xml:space="preserve">|---|---|---:|---|</w:t>
      </w:r>
    </w:p>
    <w:p>
      <w:pPr>
        <w:spacing w:line="240"/>
        <w:jc w:val="left"/>
      </w:pPr>
      <w:r>
        <w:rPr>
          <w:rFonts w:ascii="Courier New" w:cs="Courier New" w:eastAsia="Courier New" w:hAnsi="Courier New"/>
          <w:sz w:val="20"/>
          <w:szCs w:val="20"/>
        </w:rPr>
        <w:t xml:space="preserve">| Unit | test_scoring_unit.py | 8 | Passed |</w:t>
      </w:r>
    </w:p>
    <w:p>
      <w:pPr>
        <w:spacing w:line="240"/>
        <w:jc w:val="left"/>
      </w:pPr>
      <w:r>
        <w:rPr>
          <w:rFonts w:ascii="Courier New" w:cs="Courier New" w:eastAsia="Courier New" w:hAnsi="Courier New"/>
          <w:sz w:val="20"/>
          <w:szCs w:val="20"/>
        </w:rPr>
        <w:t xml:space="preserve">| Validation | test_validation.py | 5 | Passed |</w:t>
      </w:r>
    </w:p>
    <w:p>
      <w:pPr>
        <w:spacing w:line="240"/>
        <w:jc w:val="left"/>
      </w:pPr>
      <w:r>
        <w:rPr>
          <w:rFonts w:ascii="Courier New" w:cs="Courier New" w:eastAsia="Courier New" w:hAnsi="Courier New"/>
          <w:sz w:val="20"/>
          <w:szCs w:val="20"/>
        </w:rPr>
        <w:t xml:space="preserve">| Integration | test_api_integration.py | 6 | Passed |</w:t>
      </w:r>
    </w:p>
    <w:p>
      <w:pPr>
        <w:spacing w:line="240"/>
        <w:jc w:val="left"/>
      </w:pPr>
      <w:r>
        <w:rPr>
          <w:rFonts w:ascii="Courier New" w:cs="Courier New" w:eastAsia="Courier New" w:hAnsi="Courier New"/>
          <w:sz w:val="20"/>
          <w:szCs w:val="20"/>
        </w:rPr>
        <w:t xml:space="preserve">| Functional / system | test_functional_cases.py | 6 | Passed |</w:t>
      </w:r>
    </w:p>
    <w:p>
      <w:pPr>
        <w:spacing w:line="240"/>
        <w:jc w:val="left"/>
      </w:pPr>
      <w:r>
        <w:rPr>
          <w:rFonts w:ascii="Courier New" w:cs="Courier New" w:eastAsia="Courier New" w:hAnsi="Courier New"/>
          <w:sz w:val="20"/>
          <w:szCs w:val="20"/>
        </w:rPr>
        <w:t xml:space="preserve">| Acceptance | test_acceptance.py | 3 | Passed |</w:t>
      </w:r>
    </w:p>
    <w:p>
      <w:pPr>
        <w:spacing w:line="240"/>
        <w:jc w:val="left"/>
      </w:pPr>
      <w:r>
        <w:rPr>
          <w:rFonts w:ascii="Courier New" w:cs="Courier New" w:eastAsia="Courier New" w:hAnsi="Courier New"/>
          <w:sz w:val="20"/>
          <w:szCs w:val="20"/>
        </w:rPr>
        <w:t xml:space="preserve">| **Total** | | **28** | **28 passed (100% pass rate)** |</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Table 4.2: Automated test summary</w:t>
      </w:r>
    </w:p>
    <w:p>
      <w:pPr>
        <w:spacing w:line="240"/>
        <w:jc w:val="left"/>
      </w:pPr>
      <w:r>
        <w:rPr>
          <w:rFonts w:ascii="Courier New" w:cs="Courier New" w:eastAsia="Courier New" w:hAnsi="Courier New"/>
          <w:sz w:val="20"/>
          <w:szCs w:val="20"/>
        </w:rPr>
        <w:t xml:space="preserve"/>
      </w:r>
    </w:p>
    <w:p>
      <w:pPr>
        <w:spacing w:after="120" w:line="360"/>
        <w:jc w:val="both"/>
      </w:pPr>
      <w:r>
        <w:rPr>
          <w:rFonts w:ascii="Times New Roman" w:cs="Times New Roman" w:eastAsia="Times New Roman" w:hAnsi="Times New Roman"/>
          <w:sz w:val="24"/>
          <w:szCs w:val="24"/>
        </w:rPr>
        <w:t xml:space="preserve">cd guarantorLens_mission_capstone_BE</w:t>
      </w:r>
    </w:p>
    <w:p>
      <w:pPr>
        <w:spacing w:after="120" w:line="360"/>
        <w:jc w:val="both"/>
      </w:pPr>
      <w:r>
        <w:rPr>
          <w:rFonts w:ascii="Times New Roman" w:cs="Times New Roman" w:eastAsia="Times New Roman" w:hAnsi="Times New Roman"/>
          <w:sz w:val="24"/>
          <w:szCs w:val="24"/>
        </w:rPr>
        <w:t xml:space="preserve">venv/bin/pip install -r requirements-dev.txt</w:t>
      </w:r>
    </w:p>
    <w:p>
      <w:pPr>
        <w:spacing w:after="120" w:line="360"/>
        <w:jc w:val="both"/>
      </w:pPr>
      <w:r>
        <w:rPr>
          <w:rFonts w:ascii="Times New Roman" w:cs="Times New Roman" w:eastAsia="Times New Roman" w:hAnsi="Times New Roman"/>
          <w:sz w:val="24"/>
          <w:szCs w:val="24"/>
        </w:rPr>
        <w:t xml:space="preserve">venv/bin/python -m pytest        # 28 passed</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The verbatim end of the test run is the evidence (full per-test output kept in `test_results.md`):</w:t>
      </w:r>
    </w:p>
    <w:p>
      <w:pPr>
        <w:spacing w:line="240"/>
        <w:jc w:val="left"/>
      </w:pPr>
      <w:r>
        <w:rPr>
          <w:rFonts w:ascii="Courier New" w:cs="Courier New" w:eastAsia="Courier New" w:hAnsi="Courier New"/>
          <w:sz w:val="20"/>
          <w:szCs w:val="20"/>
        </w:rPr>
        <w:t xml:space="preserve"/>
      </w:r>
    </w:p>
    <w:p>
      <w:pPr>
        <w:spacing w:after="120" w:line="360"/>
        <w:jc w:val="both"/>
      </w:pPr>
      <w:r>
        <w:rPr>
          <w:rFonts w:ascii="Times New Roman" w:cs="Times New Roman" w:eastAsia="Times New Roman" w:hAnsi="Times New Roman"/>
          <w:sz w:val="24"/>
          <w:szCs w:val="24"/>
        </w:rPr>
        <w:t xml:space="preserve">tests/test_scoring_unit.py - 8 passed (incl. metamorphic: more savings never raises risk; bigger loan never lowers it)</w:t>
      </w:r>
    </w:p>
    <w:p>
      <w:pPr>
        <w:spacing w:after="120" w:line="360"/>
        <w:jc w:val="both"/>
      </w:pPr>
      <w:r>
        <w:rPr>
          <w:rFonts w:ascii="Times New Roman" w:cs="Times New Roman" w:eastAsia="Times New Roman" w:hAnsi="Times New Roman"/>
          <w:sz w:val="24"/>
          <w:szCs w:val="24"/>
        </w:rPr>
        <w:t xml:space="preserve">tests/test_validation.py - 5 passed (model beats baseline and meets spec; bands ordered; score never contradicts band)</w:t>
      </w:r>
    </w:p>
    <w:p>
      <w:pPr>
        <w:spacing w:after="120" w:line="360"/>
        <w:jc w:val="both"/>
      </w:pPr>
      <w:r>
        <w:rPr>
          <w:rFonts w:ascii="Times New Roman" w:cs="Times New Roman" w:eastAsia="Times New Roman" w:hAnsi="Times New Roman"/>
          <w:sz w:val="24"/>
          <w:szCs w:val="24"/>
        </w:rPr>
        <w:t xml:space="preserve">tests/test_api_integration.py - 6 passed (auth enforced; officer 403 / manager allowed)</w:t>
      </w:r>
    </w:p>
    <w:p>
      <w:pPr>
        <w:spacing w:after="120" w:line="360"/>
        <w:jc w:val="both"/>
      </w:pPr>
      <w:r>
        <w:rPr>
          <w:rFonts w:ascii="Times New Roman" w:cs="Times New Roman" w:eastAsia="Times New Roman" w:hAnsi="Times New Roman"/>
          <w:sz w:val="24"/>
          <w:szCs w:val="24"/>
        </w:rPr>
        <w:t xml:space="preserve">tests/test_functional_cases.py - 6 passed (five scenarios + rate lever)</w:t>
      </w:r>
    </w:p>
    <w:p>
      <w:pPr>
        <w:spacing w:after="120" w:line="360"/>
        <w:jc w:val="both"/>
      </w:pPr>
      <w:r>
        <w:rPr>
          <w:rFonts w:ascii="Times New Roman" w:cs="Times New Roman" w:eastAsia="Times New Roman" w:hAnsi="Times New Roman"/>
          <w:sz w:val="24"/>
          <w:szCs w:val="24"/>
        </w:rPr>
        <w:t xml:space="preserve">tests/test_acceptance.py - 3 passed (assess -&gt; escalate -&gt; recommend; own-case block; queue)</w:t>
      </w:r>
    </w:p>
    <w:p>
      <w:pPr>
        <w:spacing w:after="120" w:line="360"/>
        <w:jc w:val="both"/>
      </w:pPr>
      <w:r>
        <w:rPr>
          <w:rFonts w:ascii="Times New Roman" w:cs="Times New Roman" w:eastAsia="Times New Roman" w:hAnsi="Times New Roman"/>
          <w:sz w:val="24"/>
          <w:szCs w:val="24"/>
        </w:rPr>
        <w:t xml:space="preserve">============================== 28 passed in 0.33s ==============================</w:t>
      </w:r>
    </w:p>
    <w:p>
      <w:pPr>
        <w:spacing w:line="240"/>
        <w:jc w:val="left"/>
      </w:pPr>
      <w:r>
        <w:rPr>
          <w:rFonts w:ascii="Courier New" w:cs="Courier New" w:eastAsia="Courier New" w:hAnsi="Courier New"/>
          <w:sz w:val="20"/>
          <w:szCs w:val="20"/>
        </w:rPr>
        <w:t xml:space="preserve"/>
      </w:r>
    </w:p>
    <w:p>
      <w:pPr>
        <w:spacing w:line="240"/>
        <w:jc w:val="left"/>
      </w:pPr>
      <w:r>
        <w:rPr>
          <w:rFonts w:ascii="Courier New" w:cs="Courier New" w:eastAsia="Courier New" w:hAnsi="Courier New"/>
          <w:sz w:val="20"/>
          <w:szCs w:val="20"/>
        </w:rPr>
        <w:t xml:space="preserve">[INSERT optional screenshot: the same terminal run]</w:t>
      </w:r>
    </w:p>
    <w:p>
      <w:pPr>
        <w:spacing w:line="240"/>
        <w:jc w:val="left"/>
      </w:pPr>
      <w:r>
        <w:rPr>
          <w:rFonts w:ascii="Courier New" w:cs="Courier New" w:eastAsia="Courier New" w:hAnsi="Courier New"/>
          <w:sz w:val="20"/>
          <w:szCs w:val="20"/>
        </w:rPr>
        <w:t xml:space="preserve"/>
      </w:r>
    </w:p>
    <w:p>
      <w:pPr>
        <w:pStyle w:val="Heading1"/>
        <w:pageBreakBefore/>
        <w:spacing w:after="180" w:before="0" w:line="360"/>
      </w:pPr>
      <w:r>
        <w:rPr>
          <w:rFonts w:ascii="Times New Roman" w:cs="Times New Roman" w:eastAsia="Times New Roman" w:hAnsi="Times New Roman"/>
          <w:b/>
          <w:bCs/>
          <w:sz w:val="32"/>
          <w:szCs w:val="32"/>
        </w:rPr>
        <w:t xml:space="preserve">CHAPTER FIVE: THE DESCRIPTION OF THE RESULTS</w:t>
      </w:r>
    </w:p>
    <w:p>
      <w:pPr>
        <w:pStyle w:val="Heading2"/>
        <w:spacing w:after="180" w:before="240" w:line="360"/>
      </w:pPr>
      <w:r>
        <w:rPr>
          <w:rFonts w:ascii="Times New Roman" w:cs="Times New Roman" w:eastAsia="Times New Roman" w:hAnsi="Times New Roman"/>
          <w:b/>
          <w:bCs/>
          <w:sz w:val="28"/>
          <w:szCs w:val="28"/>
        </w:rPr>
        <w:t xml:space="preserve">5.1 Model Results</w:t>
      </w:r>
    </w:p>
    <w:p>
      <w:pPr>
        <w:spacing w:after="120" w:line="360"/>
        <w:jc w:val="both"/>
      </w:pPr>
      <w:r>
        <w:rPr>
          <w:rFonts w:ascii="Times New Roman" w:cs="Times New Roman" w:eastAsia="Times New Roman" w:hAnsi="Times New Roman"/>
          <w:sz w:val="24"/>
          <w:szCs w:val="24"/>
        </w:rPr>
        <w:t xml:space="preserve">All metrics are out-of-fold from five-fold borrower-grouped cross-validation over the full 11,015-loan cohort. Three baselines anchor the comparison: the base rate (predicting from class frequency alone), logistic regression as the interpretable statistical baseline (Table 5.2), and the borrower-only feature set as the baseline for the network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Model set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PR-AUC</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ROC-AUC</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Baseline (base rate)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0.021</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0.500</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Borrower-only</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0.592</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0.939</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Network-only</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0.218</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0.805</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network (unconstrained)</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0.593</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0.944</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network (monotone constraints → deployed)</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0.519</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0.924</w:t>
            </w:r>
          </w:p>
        </w:tc>
      </w:tr>
    </w:tbl>
    <w:p>
      <w:pPr>
        <w:spacing w:after="60"/>
      </w:pPr>
    </w:p>
    <w:p>
      <w:pPr>
        <w:spacing w:after="180"/>
        <w:jc w:val="center"/>
      </w:pPr>
      <w:r>
        <w:rPr>
          <w:rFonts w:ascii="Times New Roman" w:cs="Times New Roman" w:eastAsia="Times New Roman" w:hAnsi="Times New Roman"/>
          <w:i/>
          <w:iCs/>
          <w:sz w:val="22"/>
          <w:szCs w:val="22"/>
        </w:rPr>
        <w:t xml:space="preserve">Table 5.1: Feature-set comparison (out-of-fold)</w:t>
      </w:r>
    </w:p>
    <w:p>
      <w:pPr>
        <w:spacing w:after="6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574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5.1: ROC and precision-recall curves</w:t>
      </w:r>
    </w:p>
    <w:p>
      <w:pPr>
        <w:spacing w:after="120" w:line="360"/>
        <w:jc w:val="both"/>
      </w:pPr>
      <w:r>
        <w:rPr>
          <w:rFonts w:ascii="Times New Roman" w:cs="Times New Roman" w:eastAsia="Times New Roman" w:hAnsi="Times New Roman"/>
          <w:sz w:val="24"/>
          <w:szCs w:val="24"/>
        </w:rPr>
        <w:t xml:space="preserve">Three readings matter. Both feature groups carried real signal: the network-only model, with no borrower financials at all, reached PR-AUC 0.218, roughly ten times the base rate. Adding network features to borrower features lifted ROC-AUC from 0.939 to 0.944 but left PR-AUC essentially unchanged. And the deployed model traded raw performance (0.519 / 0.924) for monotone constraints, a deliberate choice discussed in 5.3.</w:t>
      </w:r>
    </w:p>
    <w:p>
      <w:pPr>
        <w:spacing w:after="120" w:line="360"/>
        <w:jc w:val="both"/>
      </w:pPr>
      <w:r>
        <w:rPr>
          <w:rFonts w:ascii="Times New Roman" w:cs="Times New Roman" w:eastAsia="Times New Roman" w:hAnsi="Times New Roman"/>
          <w:sz w:val="24"/>
          <w:szCs w:val="24"/>
        </w:rPr>
        <w:t xml:space="preserve">Every model family trained is reported below, with each family's best configuration and its selection-stage cross-validation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Model</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Feature set</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CV PR-AUC</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ROC-AUC</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Precision</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Recall</w:t>
            </w:r>
          </w:p>
        </w:tc>
      </w:tr>
      <w:t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XGBoost</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borrower-only</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0.612</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0.927</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0.631</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0.545</w:t>
            </w:r>
          </w:p>
        </w:tc>
      </w:tr>
      <w:t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Random Forest</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network</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0.486</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0.954</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0.702</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0.325</w:t>
            </w:r>
          </w:p>
        </w:tc>
      </w:tr>
      <w:t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Decision Tree</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borrower-only</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0.379</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0.881</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0.143</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0.795</w:t>
            </w:r>
          </w:p>
        </w:tc>
      </w:tr>
      <w:t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Neural Net (MLP)</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network</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0.350</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0.886</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0.690</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0.159</w:t>
            </w:r>
          </w:p>
        </w:tc>
      </w:tr>
      <w:tr>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Logistic Regression</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network</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0.346</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0.891</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0.570</w:t>
            </w:r>
          </w:p>
        </w:tc>
        <w:tc>
          <w:tcPr>
            <w:tcW w:type="dxa" w:w="156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0.137</w:t>
            </w:r>
          </w:p>
        </w:tc>
      </w:tr>
    </w:tbl>
    <w:p>
      <w:pPr>
        <w:spacing w:after="60"/>
      </w:pPr>
    </w:p>
    <w:p>
      <w:pPr>
        <w:spacing w:after="180"/>
        <w:jc w:val="center"/>
      </w:pPr>
      <w:r>
        <w:rPr>
          <w:rFonts w:ascii="Times New Roman" w:cs="Times New Roman" w:eastAsia="Times New Roman" w:hAnsi="Times New Roman"/>
          <w:i/>
          <w:iCs/>
          <w:sz w:val="22"/>
          <w:szCs w:val="22"/>
        </w:rPr>
        <w:t xml:space="preserve">Table 5.2: All model families trained, with selection-stage cross-validation metrics (precision and recall at the default 0.5 threshold; ranked by PR-AUC)</w:t>
      </w:r>
    </w:p>
    <w:p>
      <w:pPr>
        <w:spacing w:after="120" w:line="360"/>
        <w:jc w:val="both"/>
      </w:pPr>
      <w:r>
        <w:rPr>
          <w:rFonts w:ascii="Times New Roman" w:cs="Times New Roman" w:eastAsia="Times New Roman" w:hAnsi="Times New Roman"/>
          <w:sz w:val="24"/>
          <w:szCs w:val="24"/>
        </w:rPr>
        <w:t xml:space="preserve">The PR-AUC values in Table 5.2 come from the model-selection stage's cross-validation, while Table 5.1 reports the final out-of-fold evaluation of the selected model, which is why the XGBoost figures differ slightly between the two (0.612 at selection, 0.592 in the final run). Table 5.2 also carries a live illustration of the metrics argument: Random Forest posted the highest selection ROC-AUC of all families (0.954) while trailing far behind on PR-AUC, which is exactly how ROC flatters a model on rare positives (Saito &amp; Rehmsmeier, 2015).</w:t>
      </w:r>
    </w:p>
    <w:p>
      <w:pPr>
        <w:spacing w:after="120" w:line="360"/>
        <w:jc w:val="both"/>
      </w:pPr>
      <w:r>
        <w:rPr>
          <w:rFonts w:ascii="Times New Roman" w:cs="Times New Roman" w:eastAsia="Times New Roman" w:hAnsi="Times New Roman"/>
          <w:sz w:val="24"/>
          <w:szCs w:val="24"/>
        </w:rPr>
        <w:t xml:space="preserve">The ordering has clear explanations. XGBoost led because gradient-boosted trees capture the non-linear interactions in small, imbalanced tabular data that this problem presents, which is exactly what the benchmarking literature predicts (Lessmann et al., 2015; Chen &amp; Guestrin, 2016). Random Forest followed: also an ensemble of trees, but less able to focus successive learning on the rare write-off class. A single Decision Tree overfits and is unstable, so it trailed the ensembles. The neural network underperformed because 226 positive examples are far too few for it to learn from, and Logistic Regression, being linear, cannot represent interactions such as a large loan combined with strained guarantors. Precision and recall are reported per model because AUC alone hides the operational question: of the loans a model flags, how many are real (precision), and of the real future write-offs, how many does it catch (recall); Table 3.7 states each metric in plain terms.</w:t>
      </w:r>
    </w:p>
    <w:p>
      <w:pPr>
        <w:spacing w:after="6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337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5.2: PR-AUC by model family and feature set</w:t>
      </w:r>
    </w:p>
    <w:p>
      <w:pPr>
        <w:spacing w:after="120" w:line="360"/>
        <w:jc w:val="both"/>
      </w:pPr>
      <w:r>
        <w:rPr>
          <w:rFonts w:ascii="Times New Roman" w:cs="Times New Roman" w:eastAsia="Times New Roman" w:hAnsi="Times New Roman"/>
          <w:sz w:val="24"/>
          <w:szCs w:val="24"/>
        </w:rPr>
        <w:t xml:space="preserve">Class weighting matched or beat every resampling variant, so it was chosen, consistent with Elor and Averbuch-Elor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Strategy</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PR-AUC</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Class weighting</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0.593</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BorderlineSMOTE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0.543</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SMOTETomek</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0.519</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SMOTE</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0.516</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ADASYN</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0.512</w:t>
            </w:r>
          </w:p>
        </w:tc>
      </w:tr>
      <w:tr>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Undersampling</w:t>
            </w:r>
          </w:p>
        </w:tc>
        <w:tc>
          <w:tcPr>
            <w:tcW w:type="dxa" w:w="468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0.434</w:t>
            </w:r>
          </w:p>
        </w:tc>
      </w:tr>
    </w:tbl>
    <w:p>
      <w:pPr>
        <w:spacing w:after="60"/>
      </w:pPr>
    </w:p>
    <w:p>
      <w:pPr>
        <w:spacing w:after="180"/>
        <w:jc w:val="center"/>
      </w:pPr>
      <w:r>
        <w:rPr>
          <w:rFonts w:ascii="Times New Roman" w:cs="Times New Roman" w:eastAsia="Times New Roman" w:hAnsi="Times New Roman"/>
          <w:i/>
          <w:iCs/>
          <w:sz w:val="22"/>
          <w:szCs w:val="22"/>
        </w:rPr>
        <w:t xml:space="preserve">Table 5.3: Imbalance-handling strategies (PR-AUC)</w:t>
      </w:r>
    </w:p>
    <w:p>
      <w:pPr>
        <w:spacing w:after="60" w:before="12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575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5.3: Class weighting vs SMOTE variants</w:t>
      </w:r>
    </w:p>
    <w:p>
      <w:pPr>
        <w:spacing w:after="120" w:line="360"/>
        <w:jc w:val="both"/>
      </w:pPr>
      <w:r>
        <w:rPr>
          <w:rFonts w:ascii="Times New Roman" w:cs="Times New Roman" w:eastAsia="Times New Roman" w:hAnsi="Times New Roman"/>
          <w:sz w:val="24"/>
          <w:szCs w:val="24"/>
        </w:rPr>
        <w:t xml:space="preserve">Because a missed write-off is the costly error, the operating point was chosen recall-first (Elkan, 2001): require at least 80% of future write-offs caught, then read off each model's score cut-off that achieves it. Table 5.4 shows this point for both the model as selected (unconstrained) and the deployed monotone-constrained model, so the cost of the realism constraint is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Metric</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Unconstrained (selection)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Deployed (monotone)</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Threshold (≥80% recall)</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0.267</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0.218</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True negatives / False positives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10,115 / 674</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9,657 / 1,132</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False negatives / True positives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45 / 181</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45 / 181</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Recall</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0.801 (181 of 226 caught)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0.801 (181 of 226 caught)</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Precision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0.212</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0.138</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F1</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0.335</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0.235</w:t>
            </w:r>
          </w:p>
        </w:tc>
      </w:tr>
    </w:tbl>
    <w:p>
      <w:pPr>
        <w:spacing w:after="60"/>
      </w:pPr>
    </w:p>
    <w:p>
      <w:pPr>
        <w:spacing w:after="180"/>
        <w:jc w:val="center"/>
      </w:pPr>
      <w:r>
        <w:rPr>
          <w:rFonts w:ascii="Times New Roman" w:cs="Times New Roman" w:eastAsia="Times New Roman" w:hAnsi="Times New Roman"/>
          <w:i/>
          <w:iCs/>
          <w:sz w:val="22"/>
          <w:szCs w:val="22"/>
        </w:rPr>
        <w:t xml:space="preserve">Table 5.4: Confusion matrices at the ≥80% recall operating point (out-of-fold)</w:t>
      </w:r>
    </w:p>
    <w:p>
      <w:pPr>
        <w:spacing w:after="120" w:line="360"/>
        <w:jc w:val="both"/>
      </w:pPr>
      <w:r>
        <w:rPr>
          <w:rFonts w:ascii="Times New Roman" w:cs="Times New Roman" w:eastAsia="Times New Roman" w:hAnsi="Times New Roman"/>
          <w:sz w:val="24"/>
          <w:szCs w:val="24"/>
        </w:rPr>
        <w:t xml:space="preserve">Both models catch the same 181 of 226 write-offs at this point; the deployed monotone model gets there with roughly 1.7 times more false alarms (1,132 vs 674), the honest price of forcing every score to move in a believable direction. In plain terms, the cut-off is chosen backwards from the goal of catching at least 80% of write-offs, which lands at 0.218 for the deployed model (Table 3.7 states these concepts in plain terms).</w:t>
      </w:r>
    </w:p>
    <w:p>
      <w:pPr>
        <w:spacing w:after="60" w:before="120"/>
        <w:jc w:val="center"/>
      </w:pPr>
      <w:r>
        <w:drawing>
          <wp:inline distT="0" distB="0" distL="0" distR="0">
            <wp:extent cx="5715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5529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5.4: Confusion matrix, deployed model at the ≥80% recall point</w:t>
      </w:r>
    </w:p>
    <w:p>
      <w:pPr>
        <w:spacing w:after="60" w:before="120"/>
        <w:jc w:val="center"/>
      </w:pPr>
      <w:r>
        <w:drawing>
          <wp:inline distT="0" distB="0" distL="0" distR="0">
            <wp:extent cx="57150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5148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5.5: Confusion matrix, selected model before the realism constraint</w:t>
      </w:r>
    </w:p>
    <w:p>
      <w:pPr>
        <w:spacing w:after="120" w:line="360"/>
        <w:jc w:val="both"/>
      </w:pPr>
      <w:r>
        <w:rPr>
          <w:rFonts w:ascii="Times New Roman" w:cs="Times New Roman" w:eastAsia="Times New Roman" w:hAnsi="Times New Roman"/>
          <w:sz w:val="24"/>
          <w:szCs w:val="24"/>
        </w:rPr>
        <w:t xml:space="preserve">SHAP ranked the drivers: interest_rate, salary, loan_to_salary, account_age, and loan_to_savings led, with two network features, g_sav_ratio and community_prior_default_rate, among the top drivers alongside savings (Lundberg &amp; Lee, 2017). The isotonic-calibrated probabilities tracked observed write-off rates, making the threshold and the displayed probability meaningful (NFR2). As a sanity check, unsupervised anomaly detectors on the same features peaked at IsolationForest ROC 0.889 / PR-AUC 0.232, with Local Outlier Factor far weaker still (0.598 / 0.031), well below the supervised model, which confirms that the write-off labels carry most of the predictive value.</w:t>
      </w:r>
    </w:p>
    <w:p>
      <w:pPr>
        <w:spacing w:after="60" w:before="120"/>
        <w:jc w:val="center"/>
      </w:pPr>
      <w:r>
        <w:drawing>
          <wp:inline distT="0" distB="0" distL="0" distR="0">
            <wp:extent cx="571500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22935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5.5: SHAP feature importance and direction</w:t>
      </w:r>
    </w:p>
    <w:p>
      <w:pPr>
        <w:spacing w:after="60" w:before="120"/>
        <w:jc w:val="center"/>
      </w:pPr>
      <w:r>
        <w:drawing>
          <wp:inline distT="0" distB="0" distL="0" distR="0">
            <wp:extent cx="5715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114925"/>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5.6: Predicted vs observed write-off rate</w:t>
      </w:r>
    </w:p>
    <w:p>
      <w:pP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76500"/>
                    </a:xfrm>
                    <a:prstGeom prst="rect">
                      <a:avLst/>
                    </a:prstGeom>
                  </pic:spPr>
                </pic:pic>
              </a:graphicData>
            </a:graphic>
          </wp:inline>
        </w:drawing>
      </w:r>
    </w:p>
    <w:p>
      <w:pPr>
        <w:spacing w:after="180"/>
        <w:jc w:val="center"/>
      </w:pPr>
      <w:r>
        <w:rPr>
          <w:rFonts w:ascii="Times New Roman" w:cs="Times New Roman" w:eastAsia="Times New Roman" w:hAnsi="Times New Roman"/>
          <w:i/>
          <w:iCs/>
          <w:sz w:val="22"/>
          <w:szCs w:val="22"/>
        </w:rPr>
        <w:t xml:space="preserve">Figure 5.7: Anomaly detectors vs the supervised model</w:t>
      </w:r>
    </w:p>
    <w:p>
      <w:pPr>
        <w:pStyle w:val="Heading2"/>
        <w:spacing w:after="180" w:before="240" w:line="360"/>
      </w:pPr>
      <w:r>
        <w:rPr>
          <w:rFonts w:ascii="Times New Roman" w:cs="Times New Roman" w:eastAsia="Times New Roman" w:hAnsi="Times New Roman"/>
          <w:b/>
          <w:bCs/>
          <w:sz w:val="28"/>
          <w:szCs w:val="28"/>
        </w:rPr>
        <w:t xml:space="preserve">5.2 System Results</w:t>
      </w:r>
    </w:p>
    <w:p>
      <w:pPr>
        <w:spacing w:after="120" w:line="360"/>
        <w:jc w:val="both"/>
      </w:pPr>
      <w:r>
        <w:rPr>
          <w:rFonts w:ascii="Times New Roman" w:cs="Times New Roman" w:eastAsia="Times New Roman" w:hAnsi="Times New Roman"/>
          <w:sz w:val="24"/>
          <w:szCs w:val="24"/>
        </w:rPr>
        <w:t xml:space="preserve">For the software side of the results, the key features are evidenced by the screenshots in Section 4.2, and the system is deployed live rather than recorded. The project delivered a working decision-support tool (live URLs in the repository README) that scores, explains with SHAP-derived plain-language reasons, flags guarantor-network risks, supports what-if simulation and a fix-it advisor, and carries a role-gated applications workflow. The five functional scenarios in Table 4.1 produced the expected bands and flags across the risk spectrum, so the served system behaves consistently with the evaluated model.</w:t>
      </w:r>
    </w:p>
    <w:p>
      <w:pPr>
        <w:pStyle w:val="Heading2"/>
        <w:spacing w:after="180" w:before="240" w:line="360"/>
      </w:pPr>
      <w:r>
        <w:rPr>
          <w:rFonts w:ascii="Times New Roman" w:cs="Times New Roman" w:eastAsia="Times New Roman" w:hAnsi="Times New Roman"/>
          <w:b/>
          <w:bCs/>
          <w:sz w:val="28"/>
          <w:szCs w:val="28"/>
        </w:rPr>
        <w:t xml:space="preserve">5.3 Discussion</w:t>
      </w:r>
    </w:p>
    <w:p>
      <w:pPr>
        <w:spacing w:after="120" w:line="360"/>
        <w:jc w:val="both"/>
      </w:pPr>
      <w:r>
        <w:rPr>
          <w:rFonts w:ascii="Times New Roman" w:cs="Times New Roman" w:eastAsia="Times New Roman" w:hAnsi="Times New Roman"/>
          <w:b/>
          <w:bCs/>
          <w:sz w:val="24"/>
          <w:szCs w:val="24"/>
        </w:rPr>
        <w:t xml:space="preserve">RQ1 (network structure).</w:t>
      </w:r>
      <w:r>
        <w:rPr>
          <w:rFonts w:ascii="Times New Roman" w:cs="Times New Roman" w:eastAsia="Times New Roman" w:hAnsi="Times New Roman"/>
          <w:sz w:val="24"/>
          <w:szCs w:val="24"/>
        </w:rPr>
        <w:t xml:space="preserve"> The network connected 22,485 members across 11 branches through about 2.5 guarantees per loan, grouped into 1,288 communities by connected components. Write-offs sat unevenly across it: network position and neighbourhood features alone predicted write-off at PR-AUC 0.218 against a 0.021 base rate.</w:t>
      </w:r>
    </w:p>
    <w:p>
      <w:pPr>
        <w:spacing w:after="120" w:line="360"/>
        <w:jc w:val="both"/>
      </w:pPr>
      <w:r>
        <w:rPr>
          <w:rFonts w:ascii="Times New Roman" w:cs="Times New Roman" w:eastAsia="Times New Roman" w:hAnsi="Times New Roman"/>
          <w:b/>
          <w:bCs/>
          <w:sz w:val="24"/>
          <w:szCs w:val="24"/>
        </w:rPr>
        <w:t xml:space="preserve">RQ2 (association and improvement).</w:t>
      </w:r>
      <w:r>
        <w:rPr>
          <w:rFonts w:ascii="Times New Roman" w:cs="Times New Roman" w:eastAsia="Times New Roman" w:hAnsi="Times New Roman"/>
          <w:sz w:val="24"/>
          <w:szCs w:val="24"/>
        </w:rPr>
        <w:t xml:space="preserve"> The hypothesis split cleanly. Network features were associated with write-off (supporting H1a/H1b at the association level): the network-only model performed far above chance and network features ranked among the top SHAP drivers. But the incremental improvement over borrower features was small (ROC 0.939 to 0.944) and, for PR-AUC, within noise: the bootstrap interval on the lift crossed zero. The plausible explanation is homophily (McPherson, Smith-Lovin, &amp; Cook, 2001): strained borrowers are backed by similarly strained guarantors, so borrower financials already carry much of the network's information. H1's association component was supported; its improvement component was not statistically established, so H0 could not be rejected for the incremental claim. Reporting this honestly is itself a contribution: the network view adds interpretable warnings and standalone signal, not a large accuracy jump over good borrower data.</w:t>
      </w:r>
    </w:p>
    <w:p>
      <w:pPr>
        <w:spacing w:after="120" w:line="360"/>
        <w:jc w:val="both"/>
      </w:pPr>
      <w:r>
        <w:rPr>
          <w:rFonts w:ascii="Times New Roman" w:cs="Times New Roman" w:eastAsia="Times New Roman" w:hAnsi="Times New Roman"/>
          <w:b/>
          <w:bCs/>
          <w:sz w:val="24"/>
          <w:szCs w:val="24"/>
        </w:rPr>
        <w:t xml:space="preserve">RQ3 (feature ranking).</w:t>
      </w:r>
      <w:r>
        <w:rPr>
          <w:rFonts w:ascii="Times New Roman" w:cs="Times New Roman" w:eastAsia="Times New Roman" w:hAnsi="Times New Roman"/>
          <w:sz w:val="24"/>
          <w:szCs w:val="24"/>
        </w:rPr>
        <w:t xml:space="preserve"> Individual features dominated the top of the SHAP ranking, with network features g_sav_ratio and community_prior_default_rate among the leading drivers, consistent with RQ2.</w:t>
      </w:r>
    </w:p>
    <w:p>
      <w:pPr>
        <w:spacing w:after="120" w:line="360"/>
        <w:jc w:val="both"/>
      </w:pPr>
      <w:r>
        <w:rPr>
          <w:rFonts w:ascii="Times New Roman" w:cs="Times New Roman" w:eastAsia="Times New Roman" w:hAnsi="Times New Roman"/>
          <w:b/>
          <w:bCs/>
          <w:sz w:val="24"/>
          <w:szCs w:val="24"/>
        </w:rPr>
        <w:t xml:space="preserve">RQ4 (explainability, fairness, acceptability).</w:t>
      </w:r>
      <w:r>
        <w:rPr>
          <w:rFonts w:ascii="Times New Roman" w:cs="Times New Roman" w:eastAsia="Times New Roman" w:hAnsi="Times New Roman"/>
          <w:sz w:val="24"/>
          <w:szCs w:val="24"/>
        </w:rPr>
        <w:t xml:space="preserve"> Explainability was achieved end to end (SHAP drivers in plain language; network warnings as explicit facts), with calibrated probabilities and sub-second scoring supporting acceptability. Fairness was not audited: no branch-parity or group-level evaluation was performed, so operational acceptability is only partially established and a fairness audit is a stated precondition for real use.</w:t>
      </w:r>
    </w:p>
    <w:p>
      <w:pPr>
        <w:spacing w:after="120" w:line="360"/>
        <w:jc w:val="both"/>
      </w:pPr>
      <w:r>
        <w:rPr>
          <w:rFonts w:ascii="Times New Roman" w:cs="Times New Roman" w:eastAsia="Times New Roman" w:hAnsi="Times New Roman"/>
          <w:b/>
          <w:bCs/>
          <w:sz w:val="24"/>
          <w:szCs w:val="24"/>
        </w:rPr>
        <w:t xml:space="preserve">Findings against the literature.</w:t>
      </w:r>
      <w:r>
        <w:rPr>
          <w:rFonts w:ascii="Times New Roman" w:cs="Times New Roman" w:eastAsia="Times New Roman" w:hAnsi="Times New Roman"/>
          <w:sz w:val="24"/>
          <w:szCs w:val="24"/>
        </w:rPr>
        <w:t xml:space="preserve"> The results agree with several authors and qualify others. They agree with Cheng et al. (2018) and Óskarsdóttir et al. (2019) that network position carries genuine default signal, with Lessmann et al. (2015) and Chen and Guestrin (2016) that tree ensembles dominate this kind of tabular credit data, with Addo et al. (2018) that trees beat the neural network tested, with Saito and Rehmsmeier (2015) that ROC flattered the models while PR-AUC told the stricter story, and with Elor and Averbuch-Elor (2022) that class weighting matches or beats SMOTE. Where this study qualifies the literature is on the size of the network gain: the corporate guarantee-network studies report substantial improvements from network information, whereas in this SACCO the incremental lift over strong borrower features was within noise. That is a boundary condition rather than a contradiction: homophily (McPherson et al., 2001) means that in a member-guarantees-member cooperative, borrower and guarantor finances are strongly correlated, so less of the network signal is new.</w:t>
      </w:r>
    </w:p>
    <w:p>
      <w:pPr>
        <w:spacing w:after="120" w:line="360"/>
        <w:jc w:val="both"/>
      </w:pPr>
      <w:r>
        <w:rPr>
          <w:rFonts w:ascii="Times New Roman" w:cs="Times New Roman" w:eastAsia="Times New Roman" w:hAnsi="Times New Roman"/>
          <w:b/>
          <w:bCs/>
          <w:sz w:val="24"/>
          <w:szCs w:val="24"/>
        </w:rPr>
        <w:t xml:space="preserve">Design trade-off.</w:t>
      </w:r>
      <w:r>
        <w:rPr>
          <w:rFonts w:ascii="Times New Roman" w:cs="Times New Roman" w:eastAsia="Times New Roman" w:hAnsi="Times New Roman"/>
          <w:sz w:val="24"/>
          <w:szCs w:val="24"/>
        </w:rPr>
        <w:t xml:space="preserve"> Monotone constraints cost measurable PR-AUC (0.593 unconstrained vs 0.519 deployed) and roughly 1.7 times more false alarms at the operating point (1,132 vs 674, Table 5.4) in exchange for guaranteed sane behaviour: more savings never raises risk and a bigger loan never lowers it. For a decision-support tool a loan officer must trust and defend, believable behaviour was judged worth the extra review load.</w:t>
      </w:r>
    </w:p>
    <w:p>
      <w:pPr>
        <w:pStyle w:val="Heading2"/>
        <w:spacing w:after="180" w:before="240" w:line="360"/>
      </w:pPr>
      <w:r>
        <w:rPr>
          <w:rFonts w:ascii="Times New Roman" w:cs="Times New Roman" w:eastAsia="Times New Roman" w:hAnsi="Times New Roman"/>
          <w:b/>
          <w:bCs/>
          <w:sz w:val="28"/>
          <w:szCs w:val="28"/>
        </w:rPr>
        <w:t xml:space="preserve">5.4 Limitations</w:t>
      </w:r>
    </w:p>
    <w:p>
      <w:pPr>
        <w:spacing w:after="120" w:line="360"/>
        <w:jc w:val="both"/>
      </w:pPr>
      <w:r>
        <w:rPr>
          <w:rFonts w:ascii="Times New Roman" w:cs="Times New Roman" w:eastAsia="Times New Roman" w:hAnsi="Times New Roman"/>
          <w:sz w:val="24"/>
          <w:szCs w:val="24"/>
        </w:rPr>
        <w:t xml:space="preserve">The 11-branch sample leaves generalisation to the full network untested; the write-off label carries delay despite the matured two-year-term cohort; the binary label hides restructuring and partial recovery; no fairness audit was performed; acceptance testing was scenario-based and supervisor-reviewed rather than a hands-on trial with SACCO loan officers; and the model reports association, not causation.</w:t>
      </w:r>
    </w:p>
    <w:p>
      <w:pPr>
        <w:pStyle w:val="Heading2"/>
        <w:spacing w:after="180" w:before="240" w:line="360"/>
      </w:pPr>
      <w:r>
        <w:rPr>
          <w:rFonts w:ascii="Times New Roman" w:cs="Times New Roman" w:eastAsia="Times New Roman" w:hAnsi="Times New Roman"/>
          <w:b/>
          <w:bCs/>
          <w:sz w:val="28"/>
          <w:szCs w:val="28"/>
        </w:rPr>
        <w:t xml:space="preserve">5.5 Link to Objectives</w:t>
      </w:r>
    </w:p>
    <w:p>
      <w:pPr>
        <w:spacing w:after="120" w:line="360"/>
        <w:jc w:val="both"/>
      </w:pPr>
      <w:r>
        <w:rPr>
          <w:rFonts w:ascii="Times New Roman" w:cs="Times New Roman" w:eastAsia="Times New Roman" w:hAnsi="Times New Roman"/>
          <w:sz w:val="24"/>
          <w:szCs w:val="24"/>
        </w:rPr>
        <w:t xml:space="preserve">Objective 1 (leakage-safe data with quality validation): achieved via the leakage screen and explicit missingness handling. Objective 2 (network feature engineering): achieved, 7 network features alongside 11 borrower features. Objective 3 (tuned, calibrated model with uncertainty-aware evaluation): achieved, PR-AUC 0.519 / ROC-AUC 0.924 out-of-fold, calibration verified, bootstrap intervals on the lift. Objective 4 (explainable decision-support interface): achieved with the deployed tool of Section 5.2.</w:t>
      </w:r>
    </w:p>
    <w:p>
      <w:pPr>
        <w:pStyle w:val="Heading1"/>
        <w:pageBreakBefore/>
        <w:spacing w:after="180" w:before="0" w:line="360"/>
      </w:pPr>
      <w:r>
        <w:rPr>
          <w:rFonts w:ascii="Times New Roman" w:cs="Times New Roman" w:eastAsia="Times New Roman" w:hAnsi="Times New Roman"/>
          <w:b/>
          <w:bCs/>
          <w:sz w:val="32"/>
          <w:szCs w:val="32"/>
        </w:rPr>
        <w:t xml:space="preserve">CHAPTER SIX: CONCLUSIONS AND RECOMMENDATIONS</w:t>
      </w:r>
    </w:p>
    <w:p>
      <w:pPr>
        <w:pStyle w:val="Heading2"/>
        <w:spacing w:after="180" w:before="240" w:line="360"/>
      </w:pPr>
      <w:r>
        <w:rPr>
          <w:rFonts w:ascii="Times New Roman" w:cs="Times New Roman" w:eastAsia="Times New Roman" w:hAnsi="Times New Roman"/>
          <w:b/>
          <w:bCs/>
          <w:sz w:val="28"/>
          <w:szCs w:val="28"/>
        </w:rPr>
        <w:t xml:space="preserve">6.1 Introduction</w:t>
      </w:r>
    </w:p>
    <w:p>
      <w:pPr>
        <w:spacing w:after="120" w:line="360"/>
        <w:jc w:val="both"/>
      </w:pPr>
      <w:r>
        <w:rPr>
          <w:rFonts w:ascii="Times New Roman" w:cs="Times New Roman" w:eastAsia="Times New Roman" w:hAnsi="Times New Roman"/>
          <w:sz w:val="24"/>
          <w:szCs w:val="24"/>
        </w:rPr>
        <w:t xml:space="preserve">This chapter summarises what was achieved against the objectives, answers the research questions, states the contribution and limitations, and gives recommendations and future work.</w:t>
      </w:r>
    </w:p>
    <w:p>
      <w:pPr>
        <w:pStyle w:val="Heading2"/>
        <w:spacing w:after="180" w:before="240" w:line="360"/>
      </w:pPr>
      <w:r>
        <w:rPr>
          <w:rFonts w:ascii="Times New Roman" w:cs="Times New Roman" w:eastAsia="Times New Roman" w:hAnsi="Times New Roman"/>
          <w:b/>
          <w:bCs/>
          <w:sz w:val="28"/>
          <w:szCs w:val="28"/>
        </w:rPr>
        <w:t xml:space="preserve">6.2 Summary of Objectives and How They Were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Objective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Met</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b/>
                <w:bCs/>
                <w:sz w:val="24"/>
                <w:szCs w:val="24"/>
              </w:rPr>
              <w:t xml:space="preserve">Evidence</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Leakage-safe dataset with quality validation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Yes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Leakage screen (Figure 3.2); missingness characterised and imputed</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Borrower + guarantor-network feature engineering</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Yes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18 features: 11 borrower + 7 network</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Trained, tuned, calibrated model, uncertainty-aware evaluation</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Yes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PR-AUC 0.519 / ROC-AUC 0.924 out-of-fold; calibration curve; bootstrap CIs</w:t>
            </w:r>
          </w:p>
        </w:tc>
      </w:tr>
      <w:tr>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Explainable decision-support interface</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Yes</w:t>
            </w:r>
          </w:p>
        </w:tc>
        <w:tc>
          <w:tcPr>
            <w:tcW w:type="dxa" w:w="3120"/>
            <w:tcMar>
              <w:top w:type="dxa" w:w="60"/>
              <w:left w:type="dxa" w:w="80"/>
              <w:bottom w:type="dxa" w:w="60"/>
              <w:right w:type="dxa" w:w="80"/>
            </w:tcMar>
          </w:tcPr>
          <w:p>
            <w:pPr>
              <w:spacing w:line="276"/>
              <w:jc w:val="left"/>
            </w:pPr>
            <w:r>
              <w:rPr>
                <w:rFonts w:ascii="Times New Roman" w:cs="Times New Roman" w:eastAsia="Times New Roman" w:hAnsi="Times New Roman"/>
                <w:sz w:val="24"/>
                <w:szCs w:val="24"/>
              </w:rPr>
              <w:t xml:space="preserve">Deployed tool: SHAP + plain language + network flags (Chapter Four)</w:t>
            </w:r>
          </w:p>
        </w:tc>
      </w:tr>
    </w:tbl>
    <w:p>
      <w:pPr>
        <w:spacing w:after="60"/>
      </w:pPr>
    </w:p>
    <w:p>
      <w:pPr>
        <w:spacing w:after="180"/>
        <w:jc w:val="center"/>
      </w:pPr>
      <w:r>
        <w:rPr>
          <w:rFonts w:ascii="Times New Roman" w:cs="Times New Roman" w:eastAsia="Times New Roman" w:hAnsi="Times New Roman"/>
          <w:i/>
          <w:iCs/>
          <w:sz w:val="22"/>
          <w:szCs w:val="22"/>
        </w:rPr>
        <w:t xml:space="preserve">Table 6.1: Objectives and evidence</w:t>
      </w:r>
    </w:p>
    <w:p>
      <w:pPr>
        <w:pStyle w:val="Heading2"/>
        <w:spacing w:after="180" w:before="240" w:line="360"/>
      </w:pPr>
      <w:r>
        <w:rPr>
          <w:rFonts w:ascii="Times New Roman" w:cs="Times New Roman" w:eastAsia="Times New Roman" w:hAnsi="Times New Roman"/>
          <w:b/>
          <w:bCs/>
          <w:sz w:val="28"/>
          <w:szCs w:val="28"/>
        </w:rPr>
        <w:t xml:space="preserve">6.3 Answers to the Research Questions</w:t>
      </w:r>
    </w:p>
    <w:p>
      <w:pPr>
        <w:spacing w:after="120" w:line="360"/>
        <w:jc w:val="both"/>
      </w:pPr>
      <w:r>
        <w:rPr>
          <w:rFonts w:ascii="Times New Roman" w:cs="Times New Roman" w:eastAsia="Times New Roman" w:hAnsi="Times New Roman"/>
          <w:b/>
          <w:bCs/>
          <w:sz w:val="24"/>
          <w:szCs w:val="24"/>
        </w:rPr>
        <w:t xml:space="preserve">RQ1:</w:t>
      </w:r>
      <w:r>
        <w:rPr>
          <w:rFonts w:ascii="Times New Roman" w:cs="Times New Roman" w:eastAsia="Times New Roman" w:hAnsi="Times New Roman"/>
          <w:sz w:val="24"/>
          <w:szCs w:val="24"/>
        </w:rPr>
        <w:t xml:space="preserve"> the network connected 22,485 members across 11 branches (~2.5 guarantors per loan, communities by connected components); write-offs were unevenly distributed, with network position alone predicting at ten times the base rate (PR-AUC 0.218 vs 0.021). </w:t>
      </w:r>
      <w:r>
        <w:rPr>
          <w:rFonts w:ascii="Times New Roman" w:cs="Times New Roman" w:eastAsia="Times New Roman" w:hAnsi="Times New Roman"/>
          <w:b/>
          <w:bCs/>
          <w:sz w:val="24"/>
          <w:szCs w:val="24"/>
        </w:rPr>
        <w:t xml:space="preserve">RQ2:</w:t>
      </w:r>
      <w:r>
        <w:rPr>
          <w:rFonts w:ascii="Times New Roman" w:cs="Times New Roman" w:eastAsia="Times New Roman" w:hAnsi="Times New Roman"/>
          <w:sz w:val="24"/>
          <w:szCs w:val="24"/>
        </w:rPr>
        <w:t xml:space="preserve"> network features were associated with write-off, but their incremental lift over borrower-only was small (ROC 0.939→0.944) and within noise for PR-AUC (bootstrap interval crossing zero), plausibly due to homophily; H1's association component was supported, its improvement component not statistically established. </w:t>
      </w:r>
      <w:r>
        <w:rPr>
          <w:rFonts w:ascii="Times New Roman" w:cs="Times New Roman" w:eastAsia="Times New Roman" w:hAnsi="Times New Roman"/>
          <w:b/>
          <w:bCs/>
          <w:sz w:val="24"/>
          <w:szCs w:val="24"/>
        </w:rPr>
        <w:t xml:space="preserve">RQ3:</w:t>
      </w:r>
      <w:r>
        <w:rPr>
          <w:rFonts w:ascii="Times New Roman" w:cs="Times New Roman" w:eastAsia="Times New Roman" w:hAnsi="Times New Roman"/>
          <w:sz w:val="24"/>
          <w:szCs w:val="24"/>
        </w:rPr>
        <w:t xml:space="preserve"> borrower features led the SHAP ranking, with g_sav_ratio and community_prior_default_rate among the top drivers. </w:t>
      </w:r>
      <w:r>
        <w:rPr>
          <w:rFonts w:ascii="Times New Roman" w:cs="Times New Roman" w:eastAsia="Times New Roman" w:hAnsi="Times New Roman"/>
          <w:b/>
          <w:bCs/>
          <w:sz w:val="24"/>
          <w:szCs w:val="24"/>
        </w:rPr>
        <w:t xml:space="preserve">RQ4:</w:t>
      </w:r>
      <w:r>
        <w:rPr>
          <w:rFonts w:ascii="Times New Roman" w:cs="Times New Roman" w:eastAsia="Times New Roman" w:hAnsi="Times New Roman"/>
          <w:sz w:val="24"/>
          <w:szCs w:val="24"/>
        </w:rPr>
        <w:t xml:space="preserve"> explainability was delivered end to end with calibrated probabilities and sub-second scoring; fairness was not audited and remains a precondition for operational use.</w:t>
      </w:r>
    </w:p>
    <w:p>
      <w:pPr>
        <w:pStyle w:val="Heading2"/>
        <w:spacing w:after="180" w:before="240" w:line="360"/>
      </w:pPr>
      <w:r>
        <w:rPr>
          <w:rFonts w:ascii="Times New Roman" w:cs="Times New Roman" w:eastAsia="Times New Roman" w:hAnsi="Times New Roman"/>
          <w:b/>
          <w:bCs/>
          <w:sz w:val="28"/>
          <w:szCs w:val="28"/>
        </w:rPr>
        <w:t xml:space="preserve">6.4 Main Findings and Contribution</w:t>
      </w:r>
    </w:p>
    <w:p>
      <w:pPr>
        <w:spacing w:after="120" w:line="360"/>
        <w:jc w:val="both"/>
      </w:pPr>
      <w:r>
        <w:rPr>
          <w:rFonts w:ascii="Times New Roman" w:cs="Times New Roman" w:eastAsia="Times New Roman" w:hAnsi="Times New Roman"/>
          <w:sz w:val="24"/>
          <w:szCs w:val="24"/>
        </w:rPr>
        <w:t xml:space="preserve">The project built a loan write-off risk model for a Rwandan SACCO that can be trusted: it uses only information that existed on the day each loan was issued, its probabilities mean what they say, and every score comes with a plain-language explanation. It runs as a working decision-support prototype in which the loan officer proposes and the credit manager decides. The main finding is an honest one: the guarantor network does carry real risk information on its own and produces clear, useful warnings, but adding it to good borrower data improves accuracy only slightly, because risky borrowers tend to be backed by similarly risky guarantors, so the network largely repeats what the borrower's own finances already show. Finally, to the researcher's knowledge, no earlier study had applied guarantor-network analysis to a Rwandan SACCO, so bringing the approach to this setting is itself a contribution.</w:t>
      </w:r>
    </w:p>
    <w:p>
      <w:pPr>
        <w:pStyle w:val="Heading2"/>
        <w:spacing w:after="180" w:before="240" w:line="360"/>
      </w:pPr>
      <w:r>
        <w:rPr>
          <w:rFonts w:ascii="Times New Roman" w:cs="Times New Roman" w:eastAsia="Times New Roman" w:hAnsi="Times New Roman"/>
          <w:b/>
          <w:bCs/>
          <w:sz w:val="28"/>
          <w:szCs w:val="28"/>
        </w:rPr>
        <w:t xml:space="preserve">6.5 Limitations</w:t>
      </w:r>
    </w:p>
    <w:p>
      <w:pPr>
        <w:spacing w:after="120" w:line="360"/>
        <w:jc w:val="both"/>
      </w:pPr>
      <w:r>
        <w:rPr>
          <w:rFonts w:ascii="Times New Roman" w:cs="Times New Roman" w:eastAsia="Times New Roman" w:hAnsi="Times New Roman"/>
          <w:sz w:val="24"/>
          <w:szCs w:val="24"/>
        </w:rPr>
        <w:t xml:space="preserve">An 11-branch sample of roughly 30 branches; write-off label delay despite the matured cohort; a binary label that hides restructuring and partial recovery; no fairness or branch-parity audit; and association, not causation.</w:t>
      </w:r>
    </w:p>
    <w:p>
      <w:pPr>
        <w:pStyle w:val="Heading2"/>
        <w:spacing w:after="180" w:before="240" w:line="360"/>
      </w:pPr>
      <w:r>
        <w:rPr>
          <w:rFonts w:ascii="Times New Roman" w:cs="Times New Roman" w:eastAsia="Times New Roman" w:hAnsi="Times New Roman"/>
          <w:b/>
          <w:bCs/>
          <w:sz w:val="28"/>
          <w:szCs w:val="28"/>
        </w:rPr>
        <w:t xml:space="preserve">6.6 Recommendations</w:t>
      </w:r>
    </w:p>
    <w:p>
      <w:pPr>
        <w:spacing w:after="120" w:line="360"/>
        <w:jc w:val="both"/>
      </w:pPr>
      <w:r>
        <w:rPr>
          <w:rFonts w:ascii="Times New Roman" w:cs="Times New Roman" w:eastAsia="Times New Roman" w:hAnsi="Times New Roman"/>
          <w:sz w:val="24"/>
          <w:szCs w:val="24"/>
        </w:rPr>
        <w:t xml:space="preserve">Umwalimu SACCO should use the tool strictly as decision support, officer proposing and credit manager deciding, never automatic approval or decline; extend the data beyond the 11-branch sample and let recent cohorts mature so the positive class grows; and monitor calibration and run a fairness/branch-parity audit on live scores before any operational reliance.</w:t>
      </w:r>
    </w:p>
    <w:p>
      <w:pPr>
        <w:pStyle w:val="Heading2"/>
        <w:spacing w:after="180" w:before="240" w:line="360"/>
      </w:pPr>
      <w:r>
        <w:rPr>
          <w:rFonts w:ascii="Times New Roman" w:cs="Times New Roman" w:eastAsia="Times New Roman" w:hAnsi="Times New Roman"/>
          <w:b/>
          <w:bCs/>
          <w:sz w:val="28"/>
          <w:szCs w:val="28"/>
        </w:rPr>
        <w:t xml:space="preserve">6.7 Future Work</w:t>
      </w:r>
    </w:p>
    <w:p>
      <w:pPr>
        <w:spacing w:after="120" w:line="360"/>
        <w:jc w:val="both"/>
      </w:pPr>
      <w:r>
        <w:rPr>
          <w:rFonts w:ascii="Times New Roman" w:cs="Times New Roman" w:eastAsia="Times New Roman" w:hAnsi="Times New Roman"/>
          <w:sz w:val="24"/>
          <w:szCs w:val="24"/>
        </w:rPr>
        <w:t xml:space="preserve">Three directions follow from the findings: a prospective evaluation, deploying the tool alongside existing appraisal to measure whether write-offs actually fall, the claim this study deliberately did not make; temporal and dynamic network features from time-stamped repayment and arrears history (already requested from the SACCO), enabling true early warning on running loans; and a fairness/branch-parity audit with server-side reporting to complete the path from prototype to operational trust.</w:t>
      </w:r>
    </w:p>
    <w:p>
      <w:pPr>
        <w:pStyle w:val="Heading2"/>
        <w:spacing w:after="180" w:before="240" w:line="360"/>
      </w:pPr>
      <w:r>
        <w:rPr>
          <w:rFonts w:ascii="Times New Roman" w:cs="Times New Roman" w:eastAsia="Times New Roman" w:hAnsi="Times New Roman"/>
          <w:b/>
          <w:bCs/>
          <w:sz w:val="28"/>
          <w:szCs w:val="28"/>
        </w:rPr>
        <w:t xml:space="preserve">6.8 Conclusion</w:t>
      </w:r>
    </w:p>
    <w:p>
      <w:pPr>
        <w:spacing w:after="120" w:line="360"/>
        <w:jc w:val="both"/>
      </w:pPr>
      <w:r>
        <w:rPr>
          <w:rFonts w:ascii="Times New Roman" w:cs="Times New Roman" w:eastAsia="Times New Roman" w:hAnsi="Times New Roman"/>
          <w:sz w:val="24"/>
          <w:szCs w:val="24"/>
        </w:rPr>
        <w:t xml:space="preserve">This project asked a simple question: when a teacher's loan is secured by fellow members rather than by property, does knowing who those members are, and how they are connected, help predict which loans will end in write-off?</w:t>
      </w:r>
    </w:p>
    <w:p>
      <w:pPr>
        <w:spacing w:after="120" w:line="360"/>
        <w:jc w:val="both"/>
      </w:pPr>
      <w:r>
        <w:rPr>
          <w:rFonts w:ascii="Times New Roman" w:cs="Times New Roman" w:eastAsia="Times New Roman" w:hAnsi="Times New Roman"/>
          <w:sz w:val="24"/>
          <w:szCs w:val="24"/>
        </w:rPr>
        <w:t xml:space="preserve">To answer it, the study turned Umwalimu SACCO's own records into a guarantor network: 11,015 Emergency on Savings loans from 11 branches, linking 22,485 members, of which 226 loans (2.1%) were ultimately written off. Every feature was computed only from information that existed on the day each loan was disbursed, and every loan was scored by a model that had never seen its borrower, so the reported results are honest rather than inflated. The final model, an XGBoost classifier with calibrated probabilities and common-sense constraints, ranked write-off risk at ROC-AUC 0.924 and caught about 80% of eventual write-offs at its chosen operating threshold.</w:t>
      </w:r>
    </w:p>
    <w:p>
      <w:pPr>
        <w:spacing w:after="120" w:line="360"/>
        <w:jc w:val="both"/>
      </w:pPr>
      <w:r>
        <w:rPr>
          <w:rFonts w:ascii="Times New Roman" w:cs="Times New Roman" w:eastAsia="Times New Roman" w:hAnsi="Times New Roman"/>
          <w:sz w:val="24"/>
          <w:szCs w:val="24"/>
        </w:rPr>
        <w:t xml:space="preserve">The answer came in two parts. Yes, the guarantor network carries real risk information: on its own, with no borrower financials at all, it predicted write-off at roughly ten times the base rate. But no, adding it to strong borrower features did not produce a large accuracy gain, because risky borrowers tend to be backed by similarly strained guarantors, so much of what the network says is already visible in the borrower's own finances. That finding is useful in itself: the network's real value to a SACCO lies in clear, factual warnings, an over-committed guarantor, a backer with a prior write-off, a high-risk community, rather than in a dramatic jump in accuracy.</w:t>
      </w:r>
    </w:p>
    <w:p>
      <w:pPr>
        <w:spacing w:after="120" w:line="360"/>
        <w:jc w:val="both"/>
      </w:pPr>
      <w:r>
        <w:rPr>
          <w:rFonts w:ascii="Times New Roman" w:cs="Times New Roman" w:eastAsia="Times New Roman" w:hAnsi="Times New Roman"/>
          <w:sz w:val="24"/>
          <w:szCs w:val="24"/>
        </w:rPr>
        <w:t xml:space="preserve">All of this was delivered as GuarantorLens, a working decision-support tool in which every score comes with plain-language reasons and network warnings, and in which the loan officer proposes and the credit manager decides; the model never approves or declines a loan. What this study established is that the approach works and can be trusted. Whether it actually reduces write-offs in practice is a question Umwalimu SACCO can now answer, by using the tool and measuring what happens.</w:t>
      </w:r>
    </w:p>
    <w:p>
      <w:pPr>
        <w:pStyle w:val="Heading1"/>
        <w:pageBreakBefore/>
        <w:spacing w:after="240" w:line="360"/>
      </w:pPr>
      <w:r>
        <w:rPr>
          <w:rFonts w:ascii="Times New Roman" w:cs="Times New Roman" w:eastAsia="Times New Roman" w:hAnsi="Times New Roman"/>
          <w:b/>
          <w:bCs/>
          <w:sz w:val="32"/>
          <w:szCs w:val="32"/>
        </w:rPr>
        <w:t xml:space="preserve">References</w:t>
      </w:r>
    </w:p>
    <w:p>
      <w:pPr>
        <w:spacing w:after="120" w:line="360"/>
        <w:ind w:left="720" w:hanging="720"/>
        <w:jc w:val="left"/>
      </w:pPr>
      <w:r>
        <w:rPr>
          <w:rFonts w:ascii="Times New Roman" w:cs="Times New Roman" w:eastAsia="Times New Roman" w:hAnsi="Times New Roman"/>
          <w:sz w:val="24"/>
          <w:szCs w:val="24"/>
        </w:rPr>
        <w:t xml:space="preserve">Access to Finance Rwanda. (2024). 96% of Rwandans are financially included - FinScope Survey 2024. Kigali: Access to Finance Rwanda. https://afr.rw</w:t>
      </w:r>
    </w:p>
    <w:p>
      <w:pPr>
        <w:spacing w:after="120" w:line="360"/>
        <w:ind w:left="720" w:hanging="720"/>
        <w:jc w:val="left"/>
      </w:pPr>
      <w:r>
        <w:rPr>
          <w:rFonts w:ascii="Times New Roman" w:cs="Times New Roman" w:eastAsia="Times New Roman" w:hAnsi="Times New Roman"/>
          <w:sz w:val="24"/>
          <w:szCs w:val="24"/>
        </w:rPr>
        <w:t xml:space="preserve">Addo, P. M., Guegan, D., &amp; Hassani, B. (2018). Credit risk analysis using machine and deep learning models. Risks, 6(2), 38. https://www.mdpi.com/2227-9091/6/2/38</w:t>
      </w:r>
    </w:p>
    <w:p>
      <w:pPr>
        <w:spacing w:after="120" w:line="360"/>
        <w:ind w:left="720" w:hanging="720"/>
        <w:jc w:val="left"/>
      </w:pPr>
      <w:r>
        <w:rPr>
          <w:rFonts w:ascii="Times New Roman" w:cs="Times New Roman" w:eastAsia="Times New Roman" w:hAnsi="Times New Roman"/>
          <w:sz w:val="24"/>
          <w:szCs w:val="24"/>
        </w:rPr>
        <w:t xml:space="preserve">AllAfrica. (2014, June 19). Rwanda: Umwalimu SACCO has restored pride of teachers. https://allafrica.com/stories/201406190434.html </w:t>
      </w:r>
      <w:r>
        <w:rPr>
          <w:rFonts w:ascii="Times New Roman" w:cs="Times New Roman" w:eastAsia="Times New Roman" w:hAnsi="Times New Roman"/>
          <w:b/>
          <w:bCs/>
          <w:sz w:val="24"/>
          <w:szCs w:val="24"/>
          <w:highlight w:val="yellow"/>
          <w:highlightCs w:val="yellow"/>
        </w:rPr>
        <w:t xml:space="preserve">[VERIFY author/outlet before submission]</w:t>
      </w:r>
    </w:p>
    <w:p>
      <w:pPr>
        <w:spacing w:after="120" w:line="360"/>
        <w:ind w:left="720" w:hanging="720"/>
        <w:jc w:val="left"/>
      </w:pPr>
      <w:r>
        <w:rPr>
          <w:rFonts w:ascii="Times New Roman" w:cs="Times New Roman" w:eastAsia="Times New Roman" w:hAnsi="Times New Roman"/>
          <w:sz w:val="24"/>
          <w:szCs w:val="24"/>
        </w:rPr>
        <w:t xml:space="preserve">Top Africa News. (2024, September 25). Umwalimu SACCO and WIFR collaboration: A step towards gender equality and financial empowerment. Top Africa News.</w:t>
      </w:r>
    </w:p>
    <w:p>
      <w:pPr>
        <w:spacing w:after="120" w:line="360"/>
        <w:ind w:left="720" w:hanging="720"/>
        <w:jc w:val="left"/>
      </w:pPr>
      <w:r>
        <w:rPr>
          <w:rFonts w:ascii="Times New Roman" w:cs="Times New Roman" w:eastAsia="Times New Roman" w:hAnsi="Times New Roman"/>
          <w:sz w:val="24"/>
          <w:szCs w:val="24"/>
        </w:rPr>
        <w:t xml:space="preserve">Apache Software Foundation. (n.d.). Apache Fineract: Open source core banking. https://fineract.apache.org/</w:t>
      </w:r>
    </w:p>
    <w:p>
      <w:pPr>
        <w:spacing w:after="120" w:line="360"/>
        <w:ind w:left="720" w:hanging="720"/>
        <w:jc w:val="left"/>
      </w:pPr>
      <w:r>
        <w:rPr>
          <w:rFonts w:ascii="Times New Roman" w:cs="Times New Roman" w:eastAsia="Times New Roman" w:hAnsi="Times New Roman"/>
          <w:sz w:val="24"/>
          <w:szCs w:val="24"/>
        </w:rPr>
        <w:t xml:space="preserve">Breunig, M. M., Kriegel, H.-P., Ng, R. T., &amp; Sander, J. (2000). LOF: Identifying density-based local outliers. In Proceedings of the 2000 ACM SIGMOD International Conference on Management of Data (pp. 93-104). ACM.</w:t>
      </w:r>
    </w:p>
    <w:p>
      <w:pPr>
        <w:spacing w:after="120" w:line="360"/>
        <w:ind w:left="720" w:hanging="720"/>
        <w:jc w:val="left"/>
      </w:pPr>
      <w:r>
        <w:rPr>
          <w:rFonts w:ascii="Times New Roman" w:cs="Times New Roman" w:eastAsia="Times New Roman" w:hAnsi="Times New Roman"/>
          <w:sz w:val="24"/>
          <w:szCs w:val="24"/>
        </w:rPr>
        <w:t xml:space="preserve">Bussmann, N., Giudici, P., Marinelli, D., &amp; Papenbrock, J. (2021). Explainable machine learning in credit risk management. Computational Economics, 57(1), 203-216.</w:t>
      </w:r>
    </w:p>
    <w:p>
      <w:pPr>
        <w:spacing w:after="120" w:line="360"/>
        <w:ind w:left="720" w:hanging="720"/>
        <w:jc w:val="left"/>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 https://doi.org/10.1613/jair.953</w:t>
      </w:r>
    </w:p>
    <w:p>
      <w:pPr>
        <w:spacing w:after="120" w:line="360"/>
        <w:ind w:left="720" w:hanging="720"/>
        <w:jc w:val="left"/>
      </w:pPr>
      <w:r>
        <w:rPr>
          <w:rFonts w:ascii="Times New Roman" w:cs="Times New Roman" w:eastAsia="Times New Roman" w:hAnsi="Times New Roman"/>
          <w:sz w:val="24"/>
          <w:szCs w:val="24"/>
        </w:rPr>
        <w:t xml:space="preserve">Chen, T., &amp; Guestrin, C. (2016). XGBoost: A scalable tree boosting system. In Proceedings of the 22nd ACM SIGKDD International Conference on Knowledge Discovery and Data Mining (pp. 785-794). ACM.</w:t>
      </w:r>
    </w:p>
    <w:p>
      <w:pPr>
        <w:spacing w:after="120" w:line="360"/>
        <w:ind w:left="720" w:hanging="720"/>
        <w:jc w:val="left"/>
      </w:pPr>
      <w:r>
        <w:rPr>
          <w:rFonts w:ascii="Times New Roman" w:cs="Times New Roman" w:eastAsia="Times New Roman" w:hAnsi="Times New Roman"/>
          <w:sz w:val="24"/>
          <w:szCs w:val="24"/>
        </w:rPr>
        <w:t xml:space="preserve">Cheng, D., Niu, Z., &amp; Zhang, L. (2022). Regulating systemic crises: Stemming the contagion risk in networked-loans through deep graph learning (iConReg). IEEE Transactions on Knowledge and Data Engineering. https://doi.org/10.1109/TKDE.2022.3162339</w:t>
      </w:r>
    </w:p>
    <w:p>
      <w:pPr>
        <w:spacing w:after="120" w:line="360"/>
        <w:ind w:left="720" w:hanging="720"/>
        <w:jc w:val="left"/>
      </w:pPr>
      <w:r>
        <w:rPr>
          <w:rFonts w:ascii="Times New Roman" w:cs="Times New Roman" w:eastAsia="Times New Roman" w:hAnsi="Times New Roman"/>
          <w:sz w:val="24"/>
          <w:szCs w:val="24"/>
        </w:rPr>
        <w:t xml:space="preserve">Cheng, D., Niu, Z., &amp; Zhang, Y. (2020). Contagious chain risk rating for networked-guarantee loans. In Proceedings of the 26th ACM SIGKDD International Conference on Knowledge Discovery and Data Mining (KDD '20) (pp. 2715-2723). ACM.</w:t>
      </w:r>
    </w:p>
    <w:p>
      <w:pPr>
        <w:spacing w:after="120" w:line="360"/>
        <w:ind w:left="720" w:hanging="720"/>
        <w:jc w:val="left"/>
      </w:pPr>
      <w:r>
        <w:rPr>
          <w:rFonts w:ascii="Times New Roman" w:cs="Times New Roman" w:eastAsia="Times New Roman" w:hAnsi="Times New Roman"/>
          <w:sz w:val="24"/>
          <w:szCs w:val="24"/>
        </w:rPr>
        <w:t xml:space="preserve">Cheng, D., Niu, Z., Tu, Y., &amp; Zhang, L. (2018). Prediction defaults for networked-guarantee loans. In Proceedings of the 24th International Conference on Pattern Recognition (ICPR) (pp. 361-366). IEEE.</w:t>
      </w:r>
    </w:p>
    <w:p>
      <w:pPr>
        <w:spacing w:after="120" w:line="360"/>
        <w:ind w:left="720" w:hanging="720"/>
        <w:jc w:val="left"/>
      </w:pPr>
      <w:r>
        <w:rPr>
          <w:rFonts w:ascii="Times New Roman" w:cs="Times New Roman" w:eastAsia="Times New Roman" w:hAnsi="Times New Roman"/>
          <w:sz w:val="24"/>
          <w:szCs w:val="24"/>
        </w:rPr>
        <w:t xml:space="preserve">Cheng, D., Wang, X., Zhang, Y., &amp; Zhang, L. (2020). Risk guarantee prediction in networked-loans. In Proceedings of the 29th International Joint Conference on Artificial Intelligence (IJCAI-20). https://www.ijcai.org/proceedings/2020/0618.pdf</w:t>
      </w:r>
    </w:p>
    <w:p>
      <w:pPr>
        <w:spacing w:after="120" w:line="360"/>
        <w:ind w:left="720" w:hanging="720"/>
        <w:jc w:val="left"/>
      </w:pPr>
      <w:r>
        <w:rPr>
          <w:rFonts w:ascii="Times New Roman" w:cs="Times New Roman" w:eastAsia="Times New Roman" w:hAnsi="Times New Roman"/>
          <w:sz w:val="24"/>
          <w:szCs w:val="24"/>
        </w:rPr>
        <w:t xml:space="preserve">Elkan, C. (2001). The foundations of cost-sensitive learning. In Proceedings of the 17th International Joint Conference on Artificial Intelligence (IJCAI-01) (pp. 973-978).</w:t>
      </w:r>
    </w:p>
    <w:p>
      <w:pPr>
        <w:spacing w:after="120" w:line="360"/>
        <w:ind w:left="720" w:hanging="720"/>
        <w:jc w:val="left"/>
      </w:pPr>
      <w:r>
        <w:rPr>
          <w:rFonts w:ascii="Times New Roman" w:cs="Times New Roman" w:eastAsia="Times New Roman" w:hAnsi="Times New Roman"/>
          <w:sz w:val="24"/>
          <w:szCs w:val="24"/>
        </w:rPr>
        <w:t xml:space="preserve">Elor, Y., &amp; Averbuch-Elor, H. (2022). To SMOTE, or not to SMOTE? arXiv preprint arXiv:2201.08528. https://arxiv.org/abs/2201.08528</w:t>
      </w:r>
    </w:p>
    <w:p>
      <w:pPr>
        <w:spacing w:after="120" w:line="360"/>
        <w:ind w:left="720" w:hanging="720"/>
        <w:jc w:val="left"/>
      </w:pPr>
      <w:r>
        <w:rPr>
          <w:rFonts w:ascii="Times New Roman" w:cs="Times New Roman" w:eastAsia="Times New Roman" w:hAnsi="Times New Roman"/>
          <w:sz w:val="24"/>
          <w:szCs w:val="24"/>
        </w:rPr>
        <w:t xml:space="preserve">Grover, A., &amp; Leskovec, J. (2016). node2vec: Scalable feature learning for networks. In Proceedings of the 22nd ACM SIGKDD International Conference on Knowledge Discovery and Data Mining (pp. 855-864). ACM.</w:t>
      </w:r>
    </w:p>
    <w:p>
      <w:pPr>
        <w:spacing w:after="120" w:line="360"/>
        <w:ind w:left="720" w:hanging="720"/>
        <w:jc w:val="left"/>
      </w:pPr>
      <w:r>
        <w:rPr>
          <w:rFonts w:ascii="Times New Roman" w:cs="Times New Roman" w:eastAsia="Times New Roman" w:hAnsi="Times New Roman"/>
          <w:sz w:val="24"/>
          <w:szCs w:val="24"/>
        </w:rPr>
        <w:t xml:space="preserve">Hagberg, A. A., Schult, D. A., &amp; Swart, P. J. (2008). Exploring network structure, dynamics, and function using NetworkX. In Proceedings of the 7th Python in Science Conference (SciPy 2008) (pp. 11-15).</w:t>
      </w:r>
    </w:p>
    <w:p>
      <w:pPr>
        <w:spacing w:after="120" w:line="360"/>
        <w:ind w:left="720" w:hanging="720"/>
        <w:jc w:val="left"/>
      </w:pPr>
      <w:r>
        <w:rPr>
          <w:rFonts w:ascii="Times New Roman" w:cs="Times New Roman" w:eastAsia="Times New Roman" w:hAnsi="Times New Roman"/>
          <w:sz w:val="24"/>
          <w:szCs w:val="24"/>
        </w:rPr>
        <w:t xml:space="preserve">Hunter, J. D. (2007). Matplotlib: A 2D graphics environment. Computing in Science &amp; Engineering, 9(3), 90-95. https://doi.org/10.1109/MCSE.2007.55</w:t>
      </w:r>
    </w:p>
    <w:p>
      <w:pPr>
        <w:spacing w:after="120" w:line="360"/>
        <w:ind w:left="720" w:hanging="720"/>
        <w:jc w:val="left"/>
      </w:pPr>
      <w:r>
        <w:rPr>
          <w:rFonts w:ascii="Times New Roman" w:cs="Times New Roman" w:eastAsia="Times New Roman" w:hAnsi="Times New Roman"/>
          <w:sz w:val="24"/>
          <w:szCs w:val="24"/>
        </w:rPr>
        <w:t xml:space="preserve">Karekezi, J. (2018). Credit risk management and loan performance: A case of Umurenge SACCOs in Kigali City, Rwanda. International Journal of Recent Innovations in Academic Research, 2(8).</w:t>
      </w:r>
    </w:p>
    <w:p>
      <w:pPr>
        <w:spacing w:after="120" w:line="360"/>
        <w:ind w:left="720" w:hanging="720"/>
        <w:jc w:val="left"/>
      </w:pPr>
      <w:r>
        <w:rPr>
          <w:rFonts w:ascii="Times New Roman" w:cs="Times New Roman" w:eastAsia="Times New Roman" w:hAnsi="Times New Roman"/>
          <w:sz w:val="24"/>
          <w:szCs w:val="24"/>
        </w:rPr>
        <w:t xml:space="preserve">Kaufman, S., Rosset, S., Perlich, C., &amp; Stitelman, O. (2012). Leakage in data mining: Formulation, detection, and avoidance. ACM Transactions on Knowledge Discovery from Data, 6(4), Article 15.</w:t>
      </w:r>
    </w:p>
    <w:p>
      <w:pPr>
        <w:spacing w:after="120" w:line="360"/>
        <w:ind w:left="720" w:hanging="720"/>
        <w:jc w:val="left"/>
      </w:pPr>
      <w:r>
        <w:rPr>
          <w:rFonts w:ascii="Times New Roman" w:cs="Times New Roman" w:eastAsia="Times New Roman" w:hAnsi="Times New Roman"/>
          <w:sz w:val="24"/>
          <w:szCs w:val="24"/>
        </w:rPr>
        <w:t xml:space="preserve">Kawera, C. (2021, October 8). Inside Umwalimu SACCO's socio-economic drive. Umwalimu SACCO. https://umwalimusacco.rw/?p=2431</w:t>
      </w:r>
    </w:p>
    <w:p>
      <w:pPr>
        <w:spacing w:after="120" w:line="360"/>
        <w:ind w:left="720" w:hanging="720"/>
        <w:jc w:val="left"/>
      </w:pPr>
      <w:r>
        <w:rPr>
          <w:rFonts w:ascii="Times New Roman" w:cs="Times New Roman" w:eastAsia="Times New Roman" w:hAnsi="Times New Roman"/>
          <w:sz w:val="24"/>
          <w:szCs w:val="24"/>
        </w:rPr>
        <w:t xml:space="preserve">Lemaitre, G., Nogueira, F., &amp; Aridas, C. K. (2017). Imbalanced-learn: A Python toolbox to tackle the curse of imbalanced datasets in machine learning. Journal of Machine Learning Research, 18(17), 1-5.</w:t>
      </w:r>
    </w:p>
    <w:p>
      <w:pPr>
        <w:spacing w:after="120" w:line="360"/>
        <w:ind w:left="720" w:hanging="720"/>
        <w:jc w:val="left"/>
      </w:pPr>
      <w:r>
        <w:rPr>
          <w:rFonts w:ascii="Times New Roman" w:cs="Times New Roman" w:eastAsia="Times New Roman" w:hAnsi="Times New Roman"/>
          <w:sz w:val="24"/>
          <w:szCs w:val="24"/>
        </w:rPr>
        <w:t xml:space="preserve">Lessmann, S., Baesens, B., Seow, H.-V., &amp; Thomas, L. C. (2015). Benchmarking state-of-the-art classification algorithms for credit scoring: An update of research. European Journal of Operational Research, 247(1), 124-136.</w:t>
      </w:r>
    </w:p>
    <w:p>
      <w:pPr>
        <w:spacing w:after="120" w:line="360"/>
        <w:ind w:left="720" w:hanging="720"/>
        <w:jc w:val="left"/>
      </w:pPr>
      <w:r>
        <w:rPr>
          <w:rFonts w:ascii="Times New Roman" w:cs="Times New Roman" w:eastAsia="Times New Roman" w:hAnsi="Times New Roman"/>
          <w:sz w:val="24"/>
          <w:szCs w:val="24"/>
        </w:rPr>
        <w:t xml:space="preserve">Liu, F. T., Ting, K. M., &amp; Zhou, Z.-H. (2008). Isolation forest. In Proceedings of the 8th IEEE International Conference on Data Mining (ICDM) (pp. 413-422). IEEE.</w:t>
      </w:r>
    </w:p>
    <w:p>
      <w:pPr>
        <w:spacing w:after="120" w:line="360"/>
        <w:ind w:left="720" w:hanging="720"/>
        <w:jc w:val="left"/>
      </w:pPr>
      <w:r>
        <w:rPr>
          <w:rFonts w:ascii="Times New Roman" w:cs="Times New Roman" w:eastAsia="Times New Roman" w:hAnsi="Times New Roman"/>
          <w:sz w:val="24"/>
          <w:szCs w:val="24"/>
        </w:rPr>
        <w:t xml:space="preserve">Lundberg, S. M., &amp; Lee, S.-I. (2017). A unified approach to interpreting model predictions. In Advances in Neural Information Processing Systems 30 (NeurIPS) (pp. 4765-4774).</w:t>
      </w:r>
    </w:p>
    <w:p>
      <w:pPr>
        <w:spacing w:after="120" w:line="360"/>
        <w:ind w:left="720" w:hanging="720"/>
        <w:jc w:val="left"/>
      </w:pPr>
      <w:r>
        <w:rPr>
          <w:rFonts w:ascii="Times New Roman" w:cs="Times New Roman" w:eastAsia="Times New Roman" w:hAnsi="Times New Roman"/>
          <w:sz w:val="24"/>
          <w:szCs w:val="24"/>
        </w:rPr>
        <w:t xml:space="preserve">McKinney, W. (2010). Data structures for statistical computing in Python. In Proceedings of the 9th Python in Science Conference (pp. 56-61).</w:t>
      </w:r>
    </w:p>
    <w:p>
      <w:pPr>
        <w:spacing w:after="120" w:line="360"/>
        <w:ind w:left="720" w:hanging="720"/>
        <w:jc w:val="left"/>
      </w:pPr>
      <w:r>
        <w:rPr>
          <w:rFonts w:ascii="Times New Roman" w:cs="Times New Roman" w:eastAsia="Times New Roman" w:hAnsi="Times New Roman"/>
          <w:sz w:val="24"/>
          <w:szCs w:val="24"/>
        </w:rPr>
        <w:t xml:space="preserve">McPherson, M., Smith-Lovin, L., &amp; Cook, J. M. (2001). Birds of a feather: Homophily in social networks. Annual Review of Sociology, 27, 415-444.</w:t>
      </w:r>
    </w:p>
    <w:p>
      <w:pPr>
        <w:spacing w:after="120" w:line="360"/>
        <w:ind w:left="720" w:hanging="720"/>
        <w:jc w:val="left"/>
      </w:pPr>
      <w:r>
        <w:rPr>
          <w:rFonts w:ascii="Times New Roman" w:cs="Times New Roman" w:eastAsia="Times New Roman" w:hAnsi="Times New Roman"/>
          <w:sz w:val="24"/>
          <w:szCs w:val="24"/>
        </w:rPr>
        <w:t xml:space="preserve">Mifos Initiative. (n.d.). Features. https://mifos.org/shortcodes/features/</w:t>
      </w:r>
    </w:p>
    <w:p>
      <w:pPr>
        <w:spacing w:after="120" w:line="360"/>
        <w:ind w:left="720" w:hanging="720"/>
        <w:jc w:val="left"/>
      </w:pPr>
      <w:r>
        <w:rPr>
          <w:rFonts w:ascii="Times New Roman" w:cs="Times New Roman" w:eastAsia="Times New Roman" w:hAnsi="Times New Roman"/>
          <w:sz w:val="24"/>
          <w:szCs w:val="24"/>
        </w:rPr>
        <w:t xml:space="preserve">Ministry of Finance and Economic Planning (MINECOFIN). (2024). Rwanda FinScope 2024 survey. Kigali: MINECOFIN.</w:t>
      </w:r>
    </w:p>
    <w:p>
      <w:pPr>
        <w:spacing w:after="120" w:line="360"/>
        <w:ind w:left="720" w:hanging="720"/>
        <w:jc w:val="left"/>
      </w:pPr>
      <w:r>
        <w:rPr>
          <w:rFonts w:ascii="Times New Roman" w:cs="Times New Roman" w:eastAsia="Times New Roman" w:hAnsi="Times New Roman"/>
          <w:sz w:val="24"/>
          <w:szCs w:val="24"/>
        </w:rPr>
        <w:t xml:space="preserve">Musengamana, A. (2019). Non-performing loans and financial performance of microfinance institutions in Rwanda: A case study of Umurenge SACCO (2016-2018) (Master's thesis). University of Rwanda, Kigali.</w:t>
      </w:r>
    </w:p>
    <w:p>
      <w:pPr>
        <w:spacing w:after="120" w:line="360"/>
        <w:ind w:left="720" w:hanging="720"/>
        <w:jc w:val="left"/>
      </w:pPr>
      <w:r>
        <w:rPr>
          <w:rFonts w:ascii="Times New Roman" w:cs="Times New Roman" w:eastAsia="Times New Roman" w:hAnsi="Times New Roman"/>
          <w:sz w:val="24"/>
          <w:szCs w:val="24"/>
        </w:rPr>
        <w:t xml:space="preserve">National Bank of Rwanda. (2026). Monetary Policy and Financial Stability Statement [February 2026]. Kigali: National Bank of Rwanda. https://www.bnr.rw </w:t>
      </w:r>
      <w:r>
        <w:rPr>
          <w:rFonts w:ascii="Times New Roman" w:cs="Times New Roman" w:eastAsia="Times New Roman" w:hAnsi="Times New Roman"/>
          <w:b/>
          <w:bCs/>
          <w:sz w:val="24"/>
          <w:szCs w:val="24"/>
          <w:highlight w:val="yellow"/>
          <w:highlightCs w:val="yellow"/>
        </w:rPr>
        <w:t xml:space="preserve">[VERIFY exact title, date, and figures against the published statement]</w:t>
      </w:r>
    </w:p>
    <w:p>
      <w:pPr>
        <w:spacing w:after="120" w:line="360"/>
        <w:ind w:left="720" w:hanging="720"/>
        <w:jc w:val="left"/>
      </w:pPr>
      <w:r>
        <w:rPr>
          <w:rFonts w:ascii="Times New Roman" w:cs="Times New Roman" w:eastAsia="Times New Roman" w:hAnsi="Times New Roman"/>
          <w:sz w:val="24"/>
          <w:szCs w:val="24"/>
        </w:rPr>
        <w:t xml:space="preserve">Niculescu-Mizil, A., &amp; Caruana, R. (2005). Predicting good probabilities with supervised learning. In Proceedings of the 22nd International Conference on Machine Learning (pp. 625-632). ACM.</w:t>
      </w:r>
    </w:p>
    <w:p>
      <w:pPr>
        <w:spacing w:after="120" w:line="360"/>
        <w:ind w:left="720" w:hanging="720"/>
        <w:jc w:val="left"/>
      </w:pPr>
      <w:r>
        <w:rPr>
          <w:rFonts w:ascii="Times New Roman" w:cs="Times New Roman" w:eastAsia="Times New Roman" w:hAnsi="Times New Roman"/>
          <w:sz w:val="24"/>
          <w:szCs w:val="24"/>
        </w:rPr>
        <w:t xml:space="preserve">Nikuze, L., Wen, B., Gakuru, E., &amp; Seydou, R. A. (2024). Factors influencing the growth of non-performing loans: Fresh evidence from Rwanda, autoregressive distributed lag approach. International Journal of Engineering and Management Sciences.</w:t>
      </w:r>
    </w:p>
    <w:p>
      <w:pPr>
        <w:spacing w:after="120" w:line="360"/>
        <w:ind w:left="720" w:hanging="720"/>
        <w:jc w:val="left"/>
      </w:pPr>
      <w:r>
        <w:rPr>
          <w:rFonts w:ascii="Times New Roman" w:cs="Times New Roman" w:eastAsia="Times New Roman" w:hAnsi="Times New Roman"/>
          <w:sz w:val="24"/>
          <w:szCs w:val="24"/>
        </w:rPr>
        <w:t xml:space="preserve">Niu, Z., Cheng, D., Yan, J., &amp; Zhang, J. (2018). Visual analytics for networked-guarantee loans risk management. arXiv preprint arXiv:1705.02937.</w:t>
      </w:r>
    </w:p>
    <w:p>
      <w:pPr>
        <w:spacing w:after="120" w:line="360"/>
        <w:ind w:left="720" w:hanging="720"/>
        <w:jc w:val="left"/>
      </w:pPr>
      <w:r>
        <w:rPr>
          <w:rFonts w:ascii="Times New Roman" w:cs="Times New Roman" w:eastAsia="Times New Roman" w:hAnsi="Times New Roman"/>
          <w:sz w:val="24"/>
          <w:szCs w:val="24"/>
        </w:rPr>
        <w:t xml:space="preserve">Niu, Z., Li, R., Wu, J., Cheng, D., &amp; Zhang, J. (2020). iConViz: Interactive visual exploration of the default contagion risk of networked-guarantee loans. In Proceedings of the IEEE Conference on Visual Analytics Science and Technology (VAST).</w:t>
      </w:r>
    </w:p>
    <w:p>
      <w:pPr>
        <w:spacing w:after="120" w:line="360"/>
        <w:ind w:left="720" w:hanging="720"/>
        <w:jc w:val="left"/>
      </w:pPr>
      <w:r>
        <w:rPr>
          <w:rFonts w:ascii="Times New Roman" w:cs="Times New Roman" w:eastAsia="Times New Roman" w:hAnsi="Times New Roman"/>
          <w:sz w:val="24"/>
          <w:szCs w:val="24"/>
        </w:rPr>
        <w:t xml:space="preserve">Nsengiyumva, A., &amp; Harelimana, J. B. (2020). The contribution of loan management on the financial performance of Umurenge Savings and Credit Cooperatives in Rwanda. Austin Journal of Business Administration and Management, 4(2), Article 1047.</w:t>
      </w:r>
    </w:p>
    <w:p>
      <w:pPr>
        <w:spacing w:after="120" w:line="360"/>
        <w:ind w:left="720" w:hanging="720"/>
        <w:jc w:val="left"/>
      </w:pPr>
      <w:r>
        <w:rPr>
          <w:rFonts w:ascii="Times New Roman" w:cs="Times New Roman" w:eastAsia="Times New Roman" w:hAnsi="Times New Roman"/>
          <w:sz w:val="24"/>
          <w:szCs w:val="24"/>
        </w:rPr>
        <w:t xml:space="preserve">Óskarsdóttir, M., Bravo, C., Sarraute, C., Vanthienen, J., &amp; Baesens, B. (2019). The value of big data for credit scoring: Enhancing financial inclusion using mobile phone data and social network analytics. Applied Soft Computing, 74, 26-39.</w:t>
      </w:r>
    </w:p>
    <w:p>
      <w:pPr>
        <w:spacing w:after="120" w:line="360"/>
        <w:ind w:left="720" w:hanging="720"/>
        <w:jc w:val="left"/>
      </w:pPr>
      <w:r>
        <w:rPr>
          <w:rFonts w:ascii="Times New Roman" w:cs="Times New Roman" w:eastAsia="Times New Roman" w:hAnsi="Times New Roman"/>
          <w:sz w:val="24"/>
          <w:szCs w:val="24"/>
        </w:rPr>
        <w:t xml:space="preserve">Pedregosa, F., Varoquaux, G., Gramfort, A., Michel, V., Thirion, B., Grisel, O., et al. (2011). Scikit-learn: Machine learning in Python. Journal of Machine Learning Research, 12, 2825-2830.</w:t>
      </w:r>
    </w:p>
    <w:p>
      <w:pPr>
        <w:spacing w:after="120" w:line="360"/>
        <w:ind w:left="720" w:hanging="720"/>
        <w:jc w:val="left"/>
      </w:pPr>
      <w:r>
        <w:rPr>
          <w:rFonts w:ascii="Times New Roman" w:cs="Times New Roman" w:eastAsia="Times New Roman" w:hAnsi="Times New Roman"/>
          <w:sz w:val="24"/>
          <w:szCs w:val="24"/>
        </w:rPr>
        <w:t xml:space="preserve">Ramírez, S. (n.d.). FastAPI documentation. https://fastapi.tiangolo.com/</w:t>
      </w:r>
    </w:p>
    <w:p>
      <w:pPr>
        <w:spacing w:after="120" w:line="360"/>
        <w:ind w:left="720" w:hanging="720"/>
        <w:jc w:val="left"/>
      </w:pPr>
      <w:r>
        <w:rPr>
          <w:rFonts w:ascii="Times New Roman" w:cs="Times New Roman" w:eastAsia="Times New Roman" w:hAnsi="Times New Roman"/>
          <w:sz w:val="24"/>
          <w:szCs w:val="24"/>
        </w:rPr>
        <w:t xml:space="preserve">Republic of Rwanda. (2021). Law No. 058/2021 of 13/10/2021 relating to the protection of personal data and privacy. Official Gazette of the Republic of Rwanda.</w:t>
      </w:r>
    </w:p>
    <w:p>
      <w:pPr>
        <w:spacing w:after="120" w:line="360"/>
        <w:ind w:left="720" w:hanging="720"/>
        <w:jc w:val="left"/>
      </w:pPr>
      <w:r>
        <w:rPr>
          <w:rFonts w:ascii="Times New Roman" w:cs="Times New Roman" w:eastAsia="Times New Roman" w:hAnsi="Times New Roman"/>
          <w:sz w:val="24"/>
          <w:szCs w:val="24"/>
        </w:rPr>
        <w:t xml:space="preserve">Rwanda Cooperative Agency. (n.d.). About SACCOs. https://www.rca.gov.rw/cooperatives/about-saccos</w:t>
      </w:r>
    </w:p>
    <w:p>
      <w:pPr>
        <w:spacing w:after="120" w:line="360"/>
        <w:ind w:left="720" w:hanging="720"/>
        <w:jc w:val="left"/>
      </w:pPr>
      <w:r>
        <w:rPr>
          <w:rFonts w:ascii="Times New Roman" w:cs="Times New Roman" w:eastAsia="Times New Roman" w:hAnsi="Times New Roman"/>
          <w:sz w:val="24"/>
          <w:szCs w:val="24"/>
        </w:rPr>
        <w:t xml:space="preserve">Saito, T., &amp; Rehmsmeier, M. (2015). The precision-recall plot is more informative than the ROC plot when evaluating binary classifiers on imbalanced datasets. PLOS ONE, 10(3), e0118432.</w:t>
      </w:r>
    </w:p>
    <w:p>
      <w:pPr>
        <w:spacing w:after="120" w:line="360"/>
        <w:ind w:left="720" w:hanging="720"/>
        <w:jc w:val="left"/>
      </w:pPr>
      <w:r>
        <w:rPr>
          <w:rFonts w:ascii="Times New Roman" w:cs="Times New Roman" w:eastAsia="Times New Roman" w:hAnsi="Times New Roman"/>
          <w:sz w:val="24"/>
          <w:szCs w:val="24"/>
        </w:rPr>
        <w:t xml:space="preserve">Suri, T., Bharadwaj, P., &amp; Jack, W. (2021). Fintech and household resilience to shocks: Evidence from digital loans in Kenya. Journal of Development Economics, 153, 102697.</w:t>
      </w:r>
    </w:p>
    <w:p>
      <w:pPr>
        <w:spacing w:after="120" w:line="360"/>
        <w:ind w:left="720" w:hanging="720"/>
        <w:jc w:val="left"/>
      </w:pPr>
      <w:r>
        <w:rPr>
          <w:rFonts w:ascii="Times New Roman" w:cs="Times New Roman" w:eastAsia="Times New Roman" w:hAnsi="Times New Roman"/>
          <w:sz w:val="24"/>
          <w:szCs w:val="24"/>
        </w:rPr>
        <w:t xml:space="preserve">Umwalimu SACCO. (n.d.-a). Profile. https://umwalimusacco.rw/?page_id=26</w:t>
      </w:r>
    </w:p>
    <w:p>
      <w:pPr>
        <w:spacing w:after="120" w:line="360"/>
        <w:ind w:left="720" w:hanging="720"/>
        <w:jc w:val="left"/>
      </w:pPr>
      <w:r>
        <w:rPr>
          <w:rFonts w:ascii="Times New Roman" w:cs="Times New Roman" w:eastAsia="Times New Roman" w:hAnsi="Times New Roman"/>
          <w:sz w:val="24"/>
          <w:szCs w:val="24"/>
        </w:rPr>
        <w:t xml:space="preserve">Umwalimu SACCO. (n.d.-b). Loan products. https://umwalimusacco.rw/?page_id=36</w:t>
      </w:r>
    </w:p>
    <w:p>
      <w:pPr>
        <w:spacing w:after="120" w:line="360"/>
        <w:ind w:left="720" w:hanging="720"/>
        <w:jc w:val="left"/>
      </w:pPr>
      <w:r>
        <w:rPr>
          <w:rFonts w:ascii="Times New Roman" w:cs="Times New Roman" w:eastAsia="Times New Roman" w:hAnsi="Times New Roman"/>
          <w:sz w:val="24"/>
          <w:szCs w:val="24"/>
        </w:rPr>
        <w:t xml:space="preserve">Wirth, R., &amp; Hipp, J. (2000). CRISP-DM: Towards a standard process model for data mining. In Proceedings of the 4th International Conference on the Practical Application of Knowledge Discovery and Data Mining (pp. 29-39).</w:t>
      </w:r>
    </w:p>
    <w:p>
      <w:pPr>
        <w:spacing w:after="120" w:line="360"/>
        <w:ind w:left="720" w:hanging="720"/>
        <w:jc w:val="left"/>
      </w:pPr>
      <w:r>
        <w:rPr>
          <w:rFonts w:ascii="Times New Roman" w:cs="Times New Roman" w:eastAsia="Times New Roman" w:hAnsi="Times New Roman"/>
          <w:sz w:val="24"/>
          <w:szCs w:val="24"/>
        </w:rPr>
        <w:t xml:space="preserve">Zandi, S., Korangi, K., Óskarsdóttir, M., Mues, C., &amp; Bravo, C. (2025). Attention-based dynamic multilayer graph neural networks for loan default prediction. European Journal of Operational Research, 321(2), 586-599.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0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12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3679adbcd99c6123d18549da080c21dfacf9bf.png"/><Relationship Id="rId8" Type="http://schemas.openxmlformats.org/officeDocument/2006/relationships/image" Target="media/f5b848593a71e21f42c8a791776a119f6f5663ce.png"/><Relationship Id="rId9" Type="http://schemas.openxmlformats.org/officeDocument/2006/relationships/image" Target="media/9e2ccacf2b242e244235d279644334ede0b0a014.png"/><Relationship Id="rId10" Type="http://schemas.openxmlformats.org/officeDocument/2006/relationships/image" Target="media/9ae205ef45a0926d0177f5411e765c22758171c4.png"/><Relationship Id="rId11" Type="http://schemas.openxmlformats.org/officeDocument/2006/relationships/image" Target="media/339ee0f074a5dcc4ec4902ed69fda5a4f102ec67.png"/><Relationship Id="rId12" Type="http://schemas.openxmlformats.org/officeDocument/2006/relationships/image" Target="media/0aae7bc2b53e87a00361a35edc91561a2d06b13a.png"/><Relationship Id="rId13" Type="http://schemas.openxmlformats.org/officeDocument/2006/relationships/image" Target="media/ea3b0e532c344b2c4b6a2e064db73ba86f9d29b4.png"/><Relationship Id="rId14" Type="http://schemas.openxmlformats.org/officeDocument/2006/relationships/image" Target="media/e88419f67830d7d375118c6f8497e0435d7faf0e.png"/><Relationship Id="rId15" Type="http://schemas.openxmlformats.org/officeDocument/2006/relationships/image" Target="media/f7e6b1490720e2384cbfc13357b10b87e469b5f1.png"/><Relationship Id="rId16" Type="http://schemas.openxmlformats.org/officeDocument/2006/relationships/image" Target="media/e174ff9f96ccc289535dcd26ecf3ac9b647fa07d.png"/><Relationship Id="rId17" Type="http://schemas.openxmlformats.org/officeDocument/2006/relationships/image" Target="media/690c03c738739a6b8883846353961ed8c46df8a1.png"/><Relationship Id="rId18" Type="http://schemas.openxmlformats.org/officeDocument/2006/relationships/image" Target="media/79154cb1a6df3c08460f826cf22cd665f5d0cc87.png"/><Relationship Id="rId19" Type="http://schemas.openxmlformats.org/officeDocument/2006/relationships/image" Target="media/3eafe36d4c0a5b0fbb9cbd868128883f2608426c.png"/><Relationship Id="rId20" Type="http://schemas.openxmlformats.org/officeDocument/2006/relationships/image" Target="media/297225b915545691afd4869f41c5621647a4dd74.png"/><Relationship Id="rId21" Type="http://schemas.openxmlformats.org/officeDocument/2006/relationships/image" Target="media/3ad0fb85aa9a8a483e88e6e4051613066a90d530.png"/><Relationship Id="rId22" Type="http://schemas.openxmlformats.org/officeDocument/2006/relationships/image" Target="media/ff796a5aa365148c77919330425188258ac06c10.png"/><Relationship Id="rId23" Type="http://schemas.openxmlformats.org/officeDocument/2006/relationships/image" Target="media/1e106e0ad5f467fec532ba9a8c43b36d3cc28e06.png"/><Relationship Id="rId24" Type="http://schemas.openxmlformats.org/officeDocument/2006/relationships/image" Target="media/5038ade0959bfe30af39ced8b1f37e2a83e81e0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2026-07-19T14:45:08.207Z</dcterms:created>
  <dcterms:modified xsi:type="dcterms:W3CDTF">2026-07-19T14:45:08.207Z</dcterms:modified>
</cp:coreProperties>
</file>

<file path=docProps/custom.xml><?xml version="1.0" encoding="utf-8"?>
<Properties xmlns="http://schemas.openxmlformats.org/officeDocument/2006/custom-properties" xmlns:vt="http://schemas.openxmlformats.org/officeDocument/2006/docPropsVTypes"/>
</file>