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9FD3D"/>
    <w:p w14:paraId="1FC2E3B6"/>
    <w:p w14:paraId="749B0A6F"/>
    <w:p w14:paraId="5546DA36"/>
    <w:p w14:paraId="65646A40">
      <w:pPr>
        <w:spacing w:before="0" w:after="240" w:line="288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智能影院选座系统</w:t>
      </w:r>
    </w:p>
    <w:p w14:paraId="05B4E6AF">
      <w:pPr>
        <w:spacing w:before="0" w:after="0" w:line="360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用户操作流程图</w:t>
      </w:r>
    </w:p>
    <w:p w14:paraId="3C3AC5E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105C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A6057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项目项</w:t>
            </w:r>
          </w:p>
        </w:tc>
        <w:tc>
          <w:tcPr>
            <w:tcW w:w="61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2B365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内容</w:t>
            </w:r>
          </w:p>
        </w:tc>
      </w:tr>
      <w:tr w14:paraId="45C16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41602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角色定位</w:t>
            </w:r>
          </w:p>
        </w:tc>
        <w:tc>
          <w:tcPr>
            <w:tcW w:w="61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0B712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交互设计师 + 前端开发</w:t>
            </w:r>
          </w:p>
        </w:tc>
      </w:tr>
      <w:tr w14:paraId="44514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008D2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负责模块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9C759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模块2：手动选座模式；模块5：无障碍模式</w:t>
            </w:r>
          </w:p>
        </w:tc>
      </w:tr>
      <w:tr w14:paraId="213D3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D8F55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技术栈</w:t>
            </w:r>
          </w:p>
        </w:tc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D1AB2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HTML5、CSS3、JavaScript、Canvas、LocalStorage</w:t>
            </w:r>
          </w:p>
        </w:tc>
      </w:tr>
      <w:tr w14:paraId="5ACB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ED28D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w="61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51191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V1.0（</w:t>
            </w:r>
          </w:p>
        </w:tc>
      </w:tr>
    </w:tbl>
    <w:p w14:paraId="24E9FA4F">
      <w:r>
        <w:br w:type="page"/>
      </w:r>
    </w:p>
    <w:p w14:paraId="74549714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 总体操作流程</w:t>
      </w:r>
    </w:p>
    <w:p w14:paraId="7DEFEDF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总体流程遵循“别让用户思考”的设计原则，核心购票路径控制为三步：填写观影信息、确认系统推荐或手动改选、确认订单。无障碍入口在全流程始终可见，不增加核心操作层级。</w:t>
      </w:r>
    </w:p>
    <w:p w14:paraId="05DB5EE3">
      <w:pPr>
        <w:jc w:val="center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2935605" cy="4404995"/>
            <wp:effectExtent l="0" t="0" r="17145" b="14605"/>
            <wp:docPr id="2" name="图片 2" descr="ba8e33bf-3e87-4a9a-805c-731c4dc885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a8e33bf-3e87-4a9a-805c-731c4dc8852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D8090DF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 手动选座操作流程</w:t>
      </w:r>
    </w:p>
    <w:p w14:paraId="5C0F64CA">
      <w:pPr>
        <w:jc w:val="center"/>
      </w:pPr>
      <w:r>
        <w:drawing>
          <wp:inline distT="0" distB="0" distL="114300" distR="114300">
            <wp:extent cx="4124960" cy="6187440"/>
            <wp:effectExtent l="0" t="0" r="8890" b="3810"/>
            <wp:docPr id="1" name="图片 1" descr="5892c2f9-cd51-4238-8b74-4391aa0cd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892c2f9-cd51-4238-8b74-4391aa0cde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930EE15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3 无障碍设置流程</w:t>
      </w:r>
    </w:p>
    <w:p w14:paraId="4E8B5BA5">
      <w:pPr>
        <w:keepNext/>
        <w:spacing w:before="200" w:after="0" w:line="360" w:lineRule="auto"/>
        <w:ind w:firstLine="0"/>
        <w:jc w:val="center"/>
        <w:rPr>
          <w:rFonts w:hint="eastAsia" w:ascii="Times New Roman" w:hAnsi="Times New Roman" w:eastAsia="黑体"/>
          <w:b/>
          <w:color w:val="000000"/>
          <w:sz w:val="32"/>
          <w:lang w:eastAsia="zh-CN"/>
        </w:rPr>
      </w:pPr>
      <w:r>
        <w:rPr>
          <w:rFonts w:hint="eastAsia" w:ascii="Times New Roman" w:hAnsi="Times New Roman" w:eastAsia="黑体"/>
          <w:b/>
          <w:color w:val="000000"/>
          <w:sz w:val="32"/>
          <w:lang w:eastAsia="zh-CN"/>
        </w:rPr>
        <w:drawing>
          <wp:inline distT="0" distB="0" distL="114300" distR="114300">
            <wp:extent cx="3321685" cy="7001510"/>
            <wp:effectExtent l="0" t="0" r="12065" b="8890"/>
            <wp:docPr id="3" name="图片 3" descr="95c5e4f6-d159-40d0-9200-b7e48c07c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5c5e4f6-d159-40d0-9200-b7e48c07cd7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700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B29E">
      <w:pPr>
        <w:keepNext/>
        <w:spacing w:before="200" w:after="0" w:line="360" w:lineRule="auto"/>
        <w:ind w:firstLine="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4 典型用户三步路径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62A2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D0068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用户场景</w:t>
            </w:r>
          </w:p>
        </w:tc>
        <w:tc>
          <w:tcPr>
            <w:tcW w:w="20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0A791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第1步</w:t>
            </w:r>
          </w:p>
        </w:tc>
        <w:tc>
          <w:tcPr>
            <w:tcW w:w="24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C0498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第2步</w:t>
            </w:r>
          </w:p>
        </w:tc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AE798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黑体"/>
                <w:b w:val="0"/>
                <w:color w:val="000000"/>
                <w:sz w:val="21"/>
              </w:rPr>
              <w:t>第3步</w:t>
            </w:r>
          </w:p>
        </w:tc>
      </w:tr>
      <w:tr w14:paraId="14E2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48F4B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大学生多人同行</w:t>
            </w:r>
          </w:p>
        </w:tc>
        <w:tc>
          <w:tcPr>
            <w:tcW w:w="20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569A4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输入人数及年龄</w:t>
            </w:r>
          </w:p>
        </w:tc>
        <w:tc>
          <w:tcPr>
            <w:tcW w:w="24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190C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采用推荐或Ctrl多选改座</w:t>
            </w:r>
          </w:p>
        </w:tc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AD5AA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确认并进入订单</w:t>
            </w:r>
          </w:p>
        </w:tc>
      </w:tr>
      <w:tr w14:paraId="06DC4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4B0ED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情侣观影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76EAB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选择情侣票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ED02D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确认中间区域连续双座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04B02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确认并进入订单</w:t>
            </w:r>
          </w:p>
        </w:tc>
      </w:tr>
      <w:tr w14:paraId="0F491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83D74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家庭观影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2C6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填写儿童、成人或老人信息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37B56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确认中后排连续座位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F80E9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确认并进入订单</w:t>
            </w:r>
          </w:p>
        </w:tc>
      </w:tr>
      <w:tr w14:paraId="2DFC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BD258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老年用户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E5C9E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开启大字体或高对比度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219EC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确认推荐或手动改选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A4FFF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语音反馈后确认</w:t>
            </w:r>
          </w:p>
        </w:tc>
      </w:tr>
      <w:tr w14:paraId="0C0F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832D0">
            <w:pPr>
              <w:spacing w:before="0" w:after="0" w:line="312" w:lineRule="auto"/>
              <w:ind w:firstLine="0"/>
              <w:jc w:val="center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5~20人团体</w:t>
            </w:r>
          </w:p>
        </w:tc>
        <w:tc>
          <w:tcPr>
            <w:tcW w:w="20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4505A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填写成员信息</w:t>
            </w:r>
          </w:p>
        </w:tc>
        <w:tc>
          <w:tcPr>
            <w:tcW w:w="24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8B001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确认同排连续座位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34E20">
            <w:pPr>
              <w:spacing w:before="0" w:after="0" w:line="312" w:lineRule="auto"/>
              <w:ind w:firstLine="0"/>
              <w:jc w:val="left"/>
              <w:rPr>
                <w:b w:val="0"/>
                <w:color w:val="00000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确认并进入订单</w:t>
            </w:r>
          </w:p>
        </w:tc>
      </w:tr>
    </w:tbl>
    <w:p w14:paraId="19F213A0"/>
    <w:sectPr>
      <w:headerReference r:id="rId5" w:type="default"/>
      <w:footerReference r:id="rId6" w:type="default"/>
      <w:pgSz w:w="11906" w:h="16838"/>
      <w:pgMar w:top="1440" w:right="1474" w:bottom="1440" w:left="158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6F57B">
    <w:pPr>
      <w:pStyle w:val="24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color w:val="666666"/>
        <w:sz w:val="18"/>
      </w:rPr>
      <w:t>智能影院选座系统 · 成员C提交产物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57D7F">
    <w:pPr>
      <w:pStyle w:val="25"/>
      <w:spacing w:before="0" w:after="0" w:line="240" w:lineRule="auto"/>
      <w:ind w:firstLine="0"/>
      <w:jc w:val="right"/>
    </w:pPr>
    <w:r>
      <w:rPr>
        <w:rFonts w:ascii="Times New Roman" w:hAnsi="Times New Roman" w:eastAsia="宋体"/>
        <w:b w:val="0"/>
        <w:color w:val="666666"/>
        <w:sz w:val="18"/>
      </w:rPr>
      <w:t>用户操作流程图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634ED"/>
    <w:rsid w:val="6144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宋体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616</Words>
  <Characters>704</Characters>
  <Lines>0</Lines>
  <Paragraphs>0</Paragraphs>
  <TotalTime>3</TotalTime>
  <ScaleCrop>false</ScaleCrop>
  <LinksUpToDate>false</LinksUpToDate>
  <CharactersWithSpaces>723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例外.</cp:lastModifiedBy>
  <dcterms:modified xsi:type="dcterms:W3CDTF">2026-07-24T08:26:04Z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eyJoZGlkIjoiZDdmNWEyMmJiNGUxZGM3N2YyYWZiZGVlYjc3YjhhZDIiLCJ1c2VySWQiOiI3NTY1MTE4ODEifQ==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E0697CC828364587900659D32B1A6337_12</vt:lpwstr>
  </property>
</Properties>
</file>