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Hazard Sample</w:t>
      </w:r>
    </w:p>
    <w:p>
      <w:r>
        <w:t>This document intentionally contains structures that automated applicant tracking systems frequently mis-parse.</w:t>
      </w:r>
    </w:p>
    <w:p>
      <w:r>
        <w:pict>
          <v:shape type="#_x0000_t202" style="width:240pt;height:48pt">
            <v:textbox>
              <w:txbxContent>
                <w:p>
                  <w:r>
                    <w:t>Key skills are hidden inside this text box (ATS hazard).</w:t>
                  </w:r>
                </w:p>
              </w:txbxContent>
            </v:textbox>
          </v:shape>
        </w:pic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Skills</w:t>
            </w:r>
          </w:p>
        </w:tc>
      </w:tr>
      <w:tr>
        <w:tc>
          <w:tcPr>
            <w:tcW w:type="dxa" w:w="4320"/>
          </w:tcPr>
          <w:p>
            <w:r>
              <w:t>Built data pipelines and services.</w:t>
            </w:r>
          </w:p>
        </w:tc>
        <w:tc>
          <w:tcPr>
            <w:tcW w:type="dxa" w:w="4320"/>
          </w:tcPr>
          <w:p>
            <w:r>
              <w:t>Python, SQL, AWS</w:t>
            </w:r>
          </w:p>
        </w:tc>
      </w:tr>
    </w:tbl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This passage sits in a two-column layout that ATS parsers often read out of order, scrambling the reading sequence of the content.</w:t>
      </w:r>
    </w:p>
    <w:p>
      <w:r>
        <w:t>A second two-column paragraph reinforces the multi-column hazard so the structural checker has clear content to detect.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Jordan Candidate  |  +1 555 0100  |  jordan@example.com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