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Just-in-Time Enterprise Admin für ODA AD &amp; AD Security</w:t>
      </w:r>
    </w:p>
    <w:p>
      <w:r>
        <w:rPr>
          <w:color w:val="595959"/>
          <w:sz w:val="26"/>
        </w:rPr>
        <w:t>Konzept – einfache Umsetzungsvariante: Ende-Trigger, Karenzzeit, geplante Aufgaben</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F3A5F"/>
          </w:tcPr>
          <w:p>
            <w:r/>
            <w:r>
              <w:rPr>
                <w:b/>
                <w:color w:val="FFFFFF"/>
                <w:sz w:val="19"/>
              </w:rPr>
              <w:t>Eigenschaft</w:t>
            </w:r>
          </w:p>
        </w:tc>
        <w:tc>
          <w:tcPr>
            <w:tcW w:type="dxa" w:w="7087"/>
            <w:shd w:val="clear" w:color="auto" w:fill="1F3A5F"/>
          </w:tcPr>
          <w:p>
            <w:r/>
            <w:r>
              <w:rPr>
                <w:b/>
                <w:color w:val="FFFFFF"/>
                <w:sz w:val="19"/>
              </w:rPr>
              <w:t>Wert</w:t>
            </w:r>
          </w:p>
        </w:tc>
      </w:tr>
      <w:tr>
        <w:tc>
          <w:tcPr>
            <w:tcW w:type="dxa" w:w="2268"/>
          </w:tcPr>
          <w:p>
            <w:r/>
            <w:r>
              <w:rPr>
                <w:sz w:val="19"/>
              </w:rPr>
              <w:t>Dokument</w:t>
            </w:r>
          </w:p>
        </w:tc>
        <w:tc>
          <w:tcPr>
            <w:tcW w:type="dxa" w:w="7087"/>
          </w:tcPr>
          <w:p>
            <w:r/>
            <w:r>
              <w:rPr>
                <w:sz w:val="19"/>
              </w:rPr>
              <w:t>ODA-JIT-EnterpriseAdmin-Konzept</w:t>
            </w:r>
          </w:p>
        </w:tc>
      </w:tr>
      <w:tr>
        <w:tc>
          <w:tcPr>
            <w:tcW w:type="dxa" w:w="2268"/>
          </w:tcPr>
          <w:p>
            <w:r/>
            <w:r>
              <w:rPr>
                <w:sz w:val="19"/>
              </w:rPr>
              <w:t>Version / Status</w:t>
            </w:r>
          </w:p>
        </w:tc>
        <w:tc>
          <w:tcPr>
            <w:tcW w:type="dxa" w:w="7087"/>
          </w:tcPr>
          <w:p>
            <w:r/>
            <w:r>
              <w:rPr>
                <w:sz w:val="19"/>
              </w:rPr>
              <w:t>0.2 – Entwurf zur Abstimmung (Engage Center Connector, Skripte)</w:t>
            </w:r>
          </w:p>
        </w:tc>
      </w:tr>
      <w:tr>
        <w:tc>
          <w:tcPr>
            <w:tcW w:type="dxa" w:w="2268"/>
          </w:tcPr>
          <w:p>
            <w:r/>
            <w:r>
              <w:rPr>
                <w:sz w:val="19"/>
              </w:rPr>
              <w:t>Datum</w:t>
            </w:r>
          </w:p>
        </w:tc>
        <w:tc>
          <w:tcPr>
            <w:tcW w:type="dxa" w:w="7087"/>
          </w:tcPr>
          <w:p>
            <w:r/>
            <w:r>
              <w:rPr>
                <w:sz w:val="19"/>
              </w:rPr>
              <w:t>05.10.2026</w:t>
            </w:r>
          </w:p>
        </w:tc>
      </w:tr>
      <w:tr>
        <w:tc>
          <w:tcPr>
            <w:tcW w:type="dxa" w:w="2268"/>
          </w:tcPr>
          <w:p>
            <w:r/>
            <w:r>
              <w:rPr>
                <w:sz w:val="19"/>
              </w:rPr>
              <w:t>Bezug</w:t>
            </w:r>
          </w:p>
        </w:tc>
        <w:tc>
          <w:tcPr>
            <w:tcW w:type="dxa" w:w="7087"/>
          </w:tcPr>
          <w:p>
            <w:r/>
            <w:r>
              <w:rPr>
                <w:sz w:val="19"/>
              </w:rPr>
              <w:t>ODA Delegation Toolkit – Invoke-ODAJitDelegation.ps1 -Mode FullEA</w:t>
            </w:r>
          </w:p>
        </w:tc>
      </w:tr>
      <w:tr>
        <w:tc>
          <w:tcPr>
            <w:tcW w:type="dxa" w:w="2268"/>
          </w:tcPr>
          <w:p>
            <w:r/>
            <w:r>
              <w:rPr>
                <w:sz w:val="19"/>
              </w:rPr>
              <w:t>Geltungsbereich</w:t>
            </w:r>
          </w:p>
        </w:tc>
        <w:tc>
          <w:tcPr>
            <w:tcW w:type="dxa" w:w="7087"/>
          </w:tcPr>
          <w:p>
            <w:r/>
            <w:r>
              <w:rPr>
                <w:sz w:val="19"/>
              </w:rPr>
              <w:t>On-Demand Assessment Active Directory (ADAssessment) und Active Directory Security (ADSecurityAssessment), je AD-Forest</w:t>
            </w:r>
          </w:p>
        </w:tc>
      </w:tr>
    </w:tbl>
    <w:p>
      <w:pPr>
        <w:spacing w:after="40"/>
      </w:pPr>
    </w:p>
    <w:p>
      <w:pPr>
        <w:pStyle w:val="Heading1"/>
      </w:pPr>
      <w:r>
        <w:t>1. Management Summary</w:t>
      </w:r>
    </w:p>
    <w:p>
      <w:pPr>
        <w:pStyle w:val="ListBullet"/>
        <w:spacing w:after="40"/>
      </w:pPr>
      <w:r>
        <w:rPr>
          <w:b/>
        </w:rPr>
        <w:t xml:space="preserve">Ziel: </w:t>
      </w:r>
      <w:r>
        <w:t>Das gMSA-Konto, unter dem die ODA-Assessments AD und AD Security laufen, ist nicht mehr dauerhaft Mitglied der Gruppe Enterprise Admins (EA). Es bekommt EA-Rechte nur für das wöchentliche Sammelfenster.</w:t>
      </w:r>
    </w:p>
    <w:p>
      <w:pPr>
        <w:pStyle w:val="ListBullet"/>
        <w:spacing w:after="40"/>
      </w:pPr>
      <w:r>
        <w:rPr>
          <w:b/>
        </w:rPr>
        <w:t xml:space="preserve">Prinzip: </w:t>
      </w:r>
      <w:r>
        <w:t>EA-Rechte werden zeitgesteuert VOR dem Start vergeben. Nach dem nachgewiesenen Ende der Sammlung und einer Karenzzeit werden sie wieder entzogen. Eine automatische Ablaufzeit (PAM-TTL) und eine feste Deadline sichern dabei ab, dass die Rechte in jedem Fall wieder weggenommen werden.</w:t>
      </w:r>
    </w:p>
    <w:p>
      <w:pPr>
        <w:pStyle w:val="ListBullet"/>
        <w:spacing w:after="40"/>
      </w:pPr>
      <w:r>
        <w:rPr>
          <w:b/>
        </w:rPr>
        <w:t xml:space="preserve">Ende-Signal: </w:t>
      </w:r>
      <w:r>
        <w:t>Das Ende der Sammlung ist erreicht, wenn (a) beide ODA-Aufgaben im Fenster gelaufen sind, (b) keine der beiden Aufgaben mehr den Status „Running“ hat, (c) kein OMSAssessment.exe-Prozess mehr läuft und (d) eine neue Datei *.recommendations.* im Arbeitsverzeichnis liegt. Nur dann gilt der Lauf als erfolgreich.</w:t>
      </w:r>
    </w:p>
    <w:p>
      <w:pPr>
        <w:pStyle w:val="ListBullet"/>
        <w:spacing w:after="40"/>
      </w:pPr>
      <w:r>
        <w:rPr>
          <w:b/>
        </w:rPr>
        <w:t xml:space="preserve">Umsetzung: </w:t>
      </w:r>
      <w:r>
        <w:t>Auf einem Tier-0-Host laufen zwei geplante Aufgaben unter einem eigenen Automations-gMSA: „ODA-JIT-Grant“ (T-60 min) und „ODA-JIT-Revoke“ (Watcher mit Polling, Karenzzeit 30 min, Deadline T+6 h). Die ODA-Aufgaben selbst bleiben unverändert.</w:t>
      </w:r>
    </w:p>
    <w:p>
      <w:pPr>
        <w:pStyle w:val="ListBullet"/>
        <w:spacing w:after="40"/>
      </w:pPr>
      <w:r>
        <w:rPr>
          <w:b/>
        </w:rPr>
        <w:t xml:space="preserve">Wirkung: </w:t>
      </w:r>
      <w:r>
        <w:t>Die EA-Exposition des Assessment-Kontos sinkt von 24/7 auf ca. 2–3 Stunden pro Woche. Nach dem Prozessende sind auf dem Collector keine EA-Tickets mehr vorhanden.</w:t>
      </w:r>
    </w:p>
    <w:p>
      <w:pPr>
        <w:pStyle w:val="ListBullet"/>
        <w:spacing w:after="40"/>
      </w:pPr>
      <w:r>
        <w:rPr>
          <w:b/>
        </w:rPr>
        <w:t xml:space="preserve">Mehrere Forests: </w:t>
      </w:r>
      <w:r>
        <w:t>Je Forest gibt es eine eigene Instanz: Collector, ODA-gMSA, JIT-Executor, Tier-0-Host und LAW. Alle LAWs hängen an EINEM Engage Center Connector (laut Microsoft Learn: mehrere LAW-Verbindungen pro Connector) und liegen in einer gemeinsamen Subscription, aber in getrennten Resource Groups. Es gibt keinen zentralen Executor über Forest-Grenzen hinweg (Kapitel 6).</w:t>
      </w:r>
    </w:p>
    <w:p>
      <w:pPr>
        <w:pStyle w:val="Heading1"/>
      </w:pPr>
      <w:r>
        <w:t>2. Ausgangslage</w:t>
      </w:r>
    </w:p>
    <w:p>
      <w:pPr>
        <w:spacing w:after="80"/>
      </w:pPr>
      <w:r>
        <w:rPr>
          <w:i w:val="0"/>
        </w:rPr>
        <w:t>Microsoft dokumentiert für das ODA Active Directory Assessment ein Ausführungskonto mit folgenden Rechten (Quelle: Prerequisites AD Assessment, ODA Setup Guide):</w:t>
      </w:r>
    </w:p>
    <w:p>
      <w:pPr>
        <w:pStyle w:val="ListBullet"/>
        <w:spacing w:after="40"/>
      </w:pPr>
      <w:r>
        <w:t>Enterprise Administrator mit Administratorzugriff auf jeden Domänencontroller des Forests</w:t>
      </w:r>
    </w:p>
    <w:p>
      <w:pPr>
        <w:pStyle w:val="ListBullet"/>
        <w:spacing w:after="40"/>
      </w:pPr>
      <w:r>
        <w:t>Administratorzugriff auf alle DNS-Server, mit denen die DCs zusammenarbeiten</w:t>
      </w:r>
    </w:p>
    <w:p>
      <w:pPr>
        <w:pStyle w:val="ListBullet"/>
        <w:spacing w:after="40"/>
      </w:pPr>
      <w:r>
        <w:t>Recht „Als Batchauftrag anmelden“ auf dem Datensammel-Rechner (Collector)</w:t>
      </w:r>
    </w:p>
    <w:p>
      <w:pPr>
        <w:pStyle w:val="ListBullet"/>
        <w:spacing w:after="40"/>
      </w:pPr>
      <w:r>
        <w:t>Laut Berechtigungsmatrix im Setup Guide brauchen AD und AD Security dasselbe Profil: lokaler Admin auf dem Collector + Enterprise Admin</w:t>
      </w:r>
    </w:p>
    <w:p>
      <w:pPr>
        <w:spacing w:after="80"/>
      </w:pPr>
      <w:r>
        <w:rPr>
          <w:i w:val="0"/>
        </w:rPr>
        <w:t>Zum Ablauf beschreibt der Setup Guide Folgendes:</w:t>
      </w:r>
    </w:p>
    <w:p>
      <w:pPr>
        <w:pStyle w:val="ListBullet"/>
        <w:spacing w:after="40"/>
      </w:pPr>
      <w:r>
        <w:t>Add-ADAssessmentTask legt die geplante Aufgabe „ADAssessment“ an (Pfad: \Microsoft\Operations Management Suite\AOI-&lt;WorkspaceId&gt;\Assessments). Sie läuft innerhalb einer Stunde nach dem Setup und danach alle 7 Tage. Tag und Uhrzeit dürfen geändert werden.</w:t>
      </w:r>
    </w:p>
    <w:p>
      <w:pPr>
        <w:pStyle w:val="ListBullet"/>
        <w:spacing w:after="40"/>
      </w:pPr>
      <w:r>
        <w:t>Die Aufgabe startet OMSAssessment.exe. Während der Sammlung entstehen Dateien unter &lt;WorkingDirectory&gt;\&lt;XX&gt;Assessment (z. B. ADAssessment).</w:t>
      </w:r>
    </w:p>
    <w:p>
      <w:pPr>
        <w:pStyle w:val="ListBullet"/>
        <w:spacing w:after="40"/>
      </w:pPr>
      <w:r>
        <w:t>Am Ende liegen dort die Dateien new.prerequisites.*, new.processingmodel.*, new.rawdata.*, new.recommendations.* und new.trace.*. Nach dem Upload benennt der Agent sie in processed.* um. Das dauert Minuten bis zu einer Stunde.</w:t>
      </w: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Einschränkung: </w:t>
            </w:r>
            <w:r>
              <w:rPr>
                <w:sz w:val="19"/>
              </w:rPr>
              <w:t>Der Prerequisites-PDF zu AD Security ist mit Microsoft Purview/IRM geschützt und konnte nicht maschinell ausgewertet werden. Die Aussagen zu AD Security stützen sich auf die Berechtigungsmatrix im Setup Guide und auf das gleiche Ausführungsmodell (geplante Aufgabe + OMSAssessment.exe). Bitte den Aufgabennamen beim Kunden prüfen.</w:t>
            </w:r>
          </w:p>
        </w:tc>
      </w:tr>
    </w:tbl>
    <w:p>
      <w:pPr>
        <w:spacing w:after="40"/>
      </w:pPr>
    </w:p>
    <w:p>
      <w:pPr>
        <w:pStyle w:val="Heading1"/>
      </w:pPr>
      <w:r>
        <w:t>3. Wie läuft eine ODA-Sammlung ab? (Referenzlauf)</w:t>
      </w:r>
    </w:p>
    <w:p>
      <w:pPr>
        <w:spacing w:after="80"/>
      </w:pPr>
      <w:r>
        <w:rPr>
          <w:i w:val="0"/>
        </w:rPr>
        <w:t>Die folgenden Zeiten stammen aus einem Sirona-Trace (OMSAssessment-Engine) eines echten AD-Assessment-Laufs in einer Testumgebung mit 6 Domänen und 12 DCs, ausgeführt unter einem gMSA. Sie zeigen, in welcher Phase wirklich Rechte im AD gebraucht werden.</w:t>
      </w:r>
    </w:p>
    <w:tbl>
      <w:tblPr>
        <w:tblStyle w:val="TableGrid"/>
        <w:tblW w:type="auto" w:w="0"/>
        <w:jc w:val="center"/>
        <w:tblLayout w:type="fixed"/>
        <w:tblLook w:firstColumn="1" w:firstRow="1" w:lastColumn="0" w:lastRow="0" w:noHBand="0" w:noVBand="1" w:val="04A0"/>
      </w:tblPr>
      <w:tblGrid>
        <w:gridCol w:w="1474"/>
        <w:gridCol w:w="1927"/>
        <w:gridCol w:w="4309"/>
        <w:gridCol w:w="1644"/>
      </w:tblGrid>
      <w:tr>
        <w:tc>
          <w:tcPr>
            <w:tcW w:type="dxa" w:w="1474"/>
            <w:shd w:val="clear" w:color="auto" w:fill="1F3A5F"/>
          </w:tcPr>
          <w:p>
            <w:r/>
            <w:r>
              <w:rPr>
                <w:b/>
                <w:color w:val="FFFFFF"/>
                <w:sz w:val="19"/>
              </w:rPr>
              <w:t>Zeit</w:t>
            </w:r>
          </w:p>
        </w:tc>
        <w:tc>
          <w:tcPr>
            <w:tcW w:type="dxa" w:w="1928"/>
            <w:shd w:val="clear" w:color="auto" w:fill="1F3A5F"/>
          </w:tcPr>
          <w:p>
            <w:r/>
            <w:r>
              <w:rPr>
                <w:b/>
                <w:color w:val="FFFFFF"/>
                <w:sz w:val="19"/>
              </w:rPr>
              <w:t>Phase / Signal</w:t>
            </w:r>
          </w:p>
        </w:tc>
        <w:tc>
          <w:tcPr>
            <w:tcW w:type="dxa" w:w="4309"/>
            <w:shd w:val="clear" w:color="auto" w:fill="1F3A5F"/>
          </w:tcPr>
          <w:p>
            <w:r/>
            <w:r>
              <w:rPr>
                <w:b/>
                <w:color w:val="FFFFFF"/>
                <w:sz w:val="19"/>
              </w:rPr>
              <w:t>Beobachtung im Log</w:t>
            </w:r>
          </w:p>
        </w:tc>
        <w:tc>
          <w:tcPr>
            <w:tcW w:type="dxa" w:w="1644"/>
            <w:shd w:val="clear" w:color="auto" w:fill="1F3A5F"/>
          </w:tcPr>
          <w:p>
            <w:r/>
            <w:r>
              <w:rPr>
                <w:b/>
                <w:color w:val="FFFFFF"/>
                <w:sz w:val="19"/>
              </w:rPr>
              <w:t>EA nötig?</w:t>
            </w:r>
          </w:p>
        </w:tc>
      </w:tr>
      <w:tr>
        <w:tc>
          <w:tcPr>
            <w:tcW w:type="dxa" w:w="1474"/>
          </w:tcPr>
          <w:p>
            <w:r/>
            <w:r>
              <w:rPr>
                <w:sz w:val="19"/>
              </w:rPr>
              <w:t>11:33:47</w:t>
            </w:r>
          </w:p>
        </w:tc>
        <w:tc>
          <w:tcPr>
            <w:tcW w:type="dxa" w:w="1928"/>
          </w:tcPr>
          <w:p>
            <w:r/>
            <w:r>
              <w:rPr>
                <w:sz w:val="19"/>
              </w:rPr>
              <w:t>Start der geplanten Aufgabe</w:t>
            </w:r>
          </w:p>
        </w:tc>
        <w:tc>
          <w:tcPr>
            <w:tcW w:type="dxa" w:w="4309"/>
          </w:tcPr>
          <w:p>
            <w:r/>
            <w:r>
              <w:rPr>
                <w:sz w:val="19"/>
              </w:rPr>
              <w:t>OMSAssessment.exe startet, Sirona-Trace beginnt (User = gMSA)</w:t>
            </w:r>
          </w:p>
        </w:tc>
        <w:tc>
          <w:tcPr>
            <w:tcW w:type="dxa" w:w="1644"/>
            <w:shd w:val="clear" w:color="auto" w:fill="E2F0D9"/>
          </w:tcPr>
          <w:p>
            <w:r/>
            <w:r>
              <w:rPr>
                <w:sz w:val="19"/>
              </w:rPr>
              <w:t>Ja – ab hier</w:t>
            </w:r>
          </w:p>
        </w:tc>
      </w:tr>
      <w:tr>
        <w:tc>
          <w:tcPr>
            <w:tcW w:type="dxa" w:w="1474"/>
          </w:tcPr>
          <w:p>
            <w:r/>
            <w:r>
              <w:rPr>
                <w:sz w:val="19"/>
              </w:rPr>
              <w:t>11:35:02–11:35:17</w:t>
            </w:r>
          </w:p>
        </w:tc>
        <w:tc>
          <w:tcPr>
            <w:tcW w:type="dxa" w:w="1928"/>
          </w:tcPr>
          <w:p>
            <w:r/>
            <w:r>
              <w:rPr>
                <w:sz w:val="19"/>
              </w:rPr>
              <w:t>Discovery</w:t>
            </w:r>
          </w:p>
        </w:tc>
        <w:tc>
          <w:tcPr>
            <w:tcW w:type="dxa" w:w="4309"/>
          </w:tcPr>
          <w:p>
            <w:r/>
            <w:r>
              <w:rPr>
                <w:sz w:val="19"/>
              </w:rPr>
              <w:t>STARTING / COMPLETED DISCOVERY: AD (Forest, NCs, Domänen, DCs)</w:t>
            </w:r>
          </w:p>
        </w:tc>
        <w:tc>
          <w:tcPr>
            <w:tcW w:type="dxa" w:w="1644"/>
            <w:shd w:val="clear" w:color="auto" w:fill="E2F0D9"/>
          </w:tcPr>
          <w:p>
            <w:r/>
            <w:r>
              <w:rPr>
                <w:sz w:val="19"/>
              </w:rPr>
              <w:t>Ja</w:t>
            </w:r>
          </w:p>
        </w:tc>
      </w:tr>
      <w:tr>
        <w:tc>
          <w:tcPr>
            <w:tcW w:type="dxa" w:w="1474"/>
          </w:tcPr>
          <w:p>
            <w:r/>
            <w:r>
              <w:rPr>
                <w:sz w:val="19"/>
              </w:rPr>
              <w:t>11:36:11</w:t>
            </w:r>
          </w:p>
        </w:tc>
        <w:tc>
          <w:tcPr>
            <w:tcW w:type="dxa" w:w="1928"/>
          </w:tcPr>
          <w:p>
            <w:r/>
            <w:r>
              <w:rPr>
                <w:sz w:val="19"/>
              </w:rPr>
              <w:t>Prerequisites</w:t>
            </w:r>
          </w:p>
        </w:tc>
        <w:tc>
          <w:tcPr>
            <w:tcW w:type="dxa" w:w="4309"/>
          </w:tcPr>
          <w:p>
            <w:r/>
            <w:r>
              <w:rPr>
                <w:sz w:val="19"/>
              </w:rPr>
              <w:t>new.prerequisites.&lt;guid&gt;.assessmentadrecs geschrieben</w:t>
            </w:r>
          </w:p>
        </w:tc>
        <w:tc>
          <w:tcPr>
            <w:tcW w:type="dxa" w:w="1644"/>
            <w:shd w:val="clear" w:color="auto" w:fill="E2F0D9"/>
          </w:tcPr>
          <w:p>
            <w:r/>
            <w:r>
              <w:rPr>
                <w:sz w:val="19"/>
              </w:rPr>
              <w:t>Ja</w:t>
            </w:r>
          </w:p>
        </w:tc>
      </w:tr>
      <w:tr>
        <w:tc>
          <w:tcPr>
            <w:tcW w:type="dxa" w:w="1474"/>
          </w:tcPr>
          <w:p>
            <w:r/>
            <w:r>
              <w:rPr>
                <w:sz w:val="19"/>
              </w:rPr>
              <w:t>11:36:11–12:01:13</w:t>
            </w:r>
          </w:p>
        </w:tc>
        <w:tc>
          <w:tcPr>
            <w:tcW w:type="dxa" w:w="1928"/>
          </w:tcPr>
          <w:p>
            <w:r/>
            <w:r>
              <w:rPr>
                <w:sz w:val="19"/>
              </w:rPr>
              <w:t>Collection (221 Collectors)</w:t>
            </w:r>
          </w:p>
        </w:tc>
        <w:tc>
          <w:tcPr>
            <w:tcW w:type="dxa" w:w="4309"/>
          </w:tcPr>
          <w:p>
            <w:r/>
            <w:r>
              <w:rPr>
                <w:sz w:val="19"/>
              </w:rPr>
              <w:t>„Collection Execution Duration=00:25:02“</w:t>
            </w:r>
          </w:p>
        </w:tc>
        <w:tc>
          <w:tcPr>
            <w:tcW w:type="dxa" w:w="1644"/>
            <w:shd w:val="clear" w:color="auto" w:fill="E2F0D9"/>
          </w:tcPr>
          <w:p>
            <w:r/>
            <w:r>
              <w:rPr>
                <w:sz w:val="19"/>
              </w:rPr>
              <w:t>Ja – Kernphase</w:t>
            </w:r>
          </w:p>
        </w:tc>
      </w:tr>
      <w:tr>
        <w:tc>
          <w:tcPr>
            <w:tcW w:type="dxa" w:w="1474"/>
          </w:tcPr>
          <w:p>
            <w:r/>
            <w:r>
              <w:rPr>
                <w:sz w:val="19"/>
              </w:rPr>
              <w:t>12:01:16–12:08</w:t>
            </w:r>
          </w:p>
        </w:tc>
        <w:tc>
          <w:tcPr>
            <w:tcW w:type="dxa" w:w="1928"/>
          </w:tcPr>
          <w:p>
            <w:r/>
            <w:r>
              <w:rPr>
                <w:sz w:val="19"/>
              </w:rPr>
              <w:t>Analyse</w:t>
            </w:r>
          </w:p>
        </w:tc>
        <w:tc>
          <w:tcPr>
            <w:tcW w:type="dxa" w:w="4309"/>
          </w:tcPr>
          <w:p>
            <w:r/>
            <w:r>
              <w:rPr>
                <w:sz w:val="19"/>
              </w:rPr>
              <w:t>STARTING / COMPLETED ANALYZER … (offline auf gesammelten Daten)</w:t>
            </w:r>
          </w:p>
        </w:tc>
        <w:tc>
          <w:tcPr>
            <w:tcW w:type="dxa" w:w="1644"/>
            <w:shd w:val="clear" w:color="auto" w:fill="FBE5D6"/>
          </w:tcPr>
          <w:p>
            <w:r/>
            <w:r>
              <w:rPr>
                <w:sz w:val="19"/>
              </w:rPr>
              <w:t>Nein (i. d. R.)</w:t>
            </w:r>
          </w:p>
        </w:tc>
      </w:tr>
      <w:tr>
        <w:tc>
          <w:tcPr>
            <w:tcW w:type="dxa" w:w="1474"/>
          </w:tcPr>
          <w:p>
            <w:r/>
            <w:r>
              <w:rPr>
                <w:sz w:val="19"/>
              </w:rPr>
              <w:t>12:08:19</w:t>
            </w:r>
          </w:p>
        </w:tc>
        <w:tc>
          <w:tcPr>
            <w:tcW w:type="dxa" w:w="1928"/>
          </w:tcPr>
          <w:p>
            <w:r/>
            <w:r>
              <w:rPr>
                <w:sz w:val="19"/>
              </w:rPr>
              <w:t>Empfehlungen</w:t>
            </w:r>
          </w:p>
        </w:tc>
        <w:tc>
          <w:tcPr>
            <w:tcW w:type="dxa" w:w="4309"/>
          </w:tcPr>
          <w:p>
            <w:r/>
            <w:r>
              <w:rPr>
                <w:sz w:val="19"/>
              </w:rPr>
              <w:t>new.recommendations.&lt;guid&gt;.*.assessmentadrecs geschrieben</w:t>
            </w:r>
          </w:p>
        </w:tc>
        <w:tc>
          <w:tcPr>
            <w:tcW w:type="dxa" w:w="1644"/>
            <w:shd w:val="clear" w:color="auto" w:fill="FBE5D6"/>
          </w:tcPr>
          <w:p>
            <w:r/>
            <w:r>
              <w:rPr>
                <w:sz w:val="19"/>
              </w:rPr>
              <w:t>Nein</w:t>
            </w:r>
          </w:p>
        </w:tc>
      </w:tr>
      <w:tr>
        <w:tc>
          <w:tcPr>
            <w:tcW w:type="dxa" w:w="1474"/>
          </w:tcPr>
          <w:p>
            <w:r/>
            <w:r>
              <w:rPr>
                <w:sz w:val="19"/>
              </w:rPr>
              <w:t>12:08–12:25</w:t>
            </w:r>
          </w:p>
        </w:tc>
        <w:tc>
          <w:tcPr>
            <w:tcW w:type="dxa" w:w="1928"/>
          </w:tcPr>
          <w:p>
            <w:r/>
            <w:r>
              <w:rPr>
                <w:sz w:val="19"/>
              </w:rPr>
              <w:t>Reports</w:t>
            </w:r>
          </w:p>
        </w:tc>
        <w:tc>
          <w:tcPr>
            <w:tcW w:type="dxa" w:w="4309"/>
          </w:tcPr>
          <w:p>
            <w:r/>
            <w:r>
              <w:rPr>
                <w:sz w:val="19"/>
              </w:rPr>
              <w:t>„Report Execution Duration=00:17:13“</w:t>
            </w:r>
          </w:p>
        </w:tc>
        <w:tc>
          <w:tcPr>
            <w:tcW w:type="dxa" w:w="1644"/>
            <w:shd w:val="clear" w:color="auto" w:fill="FBE5D6"/>
          </w:tcPr>
          <w:p>
            <w:r/>
            <w:r>
              <w:rPr>
                <w:sz w:val="19"/>
              </w:rPr>
              <w:t>Nicht garantiert</w:t>
            </w:r>
          </w:p>
        </w:tc>
      </w:tr>
      <w:tr>
        <w:tc>
          <w:tcPr>
            <w:tcW w:type="dxa" w:w="1474"/>
          </w:tcPr>
          <w:p>
            <w:r/>
            <w:r>
              <w:rPr>
                <w:sz w:val="19"/>
              </w:rPr>
              <w:t>12:25:33–12:26</w:t>
            </w:r>
          </w:p>
        </w:tc>
        <w:tc>
          <w:tcPr>
            <w:tcW w:type="dxa" w:w="1928"/>
          </w:tcPr>
          <w:p>
            <w:r/>
            <w:r>
              <w:rPr>
                <w:sz w:val="19"/>
              </w:rPr>
              <w:t>Packaging</w:t>
            </w:r>
          </w:p>
        </w:tc>
        <w:tc>
          <w:tcPr>
            <w:tcW w:type="dxa" w:w="4309"/>
          </w:tcPr>
          <w:p>
            <w:r/>
            <w:r>
              <w:rPr>
                <w:sz w:val="19"/>
              </w:rPr>
              <w:t>new.processingmodel.* und new.rawdata.* erzeugt</w:t>
            </w:r>
          </w:p>
        </w:tc>
        <w:tc>
          <w:tcPr>
            <w:tcW w:type="dxa" w:w="1644"/>
            <w:shd w:val="clear" w:color="auto" w:fill="FBE5D6"/>
          </w:tcPr>
          <w:p>
            <w:r/>
            <w:r>
              <w:rPr>
                <w:sz w:val="19"/>
              </w:rPr>
              <w:t>Nein</w:t>
            </w:r>
          </w:p>
        </w:tc>
      </w:tr>
      <w:tr>
        <w:tc>
          <w:tcPr>
            <w:tcW w:type="dxa" w:w="1474"/>
          </w:tcPr>
          <w:p>
            <w:r/>
            <w:r>
              <w:rPr>
                <w:sz w:val="19"/>
              </w:rPr>
              <w:t>≈ 12:26</w:t>
            </w:r>
          </w:p>
        </w:tc>
        <w:tc>
          <w:tcPr>
            <w:tcW w:type="dxa" w:w="1928"/>
          </w:tcPr>
          <w:p>
            <w:r/>
            <w:r>
              <w:rPr>
                <w:sz w:val="19"/>
              </w:rPr>
              <w:t>Prozessende</w:t>
            </w:r>
          </w:p>
        </w:tc>
        <w:tc>
          <w:tcPr>
            <w:tcW w:type="dxa" w:w="4309"/>
          </w:tcPr>
          <w:p>
            <w:r/>
            <w:r>
              <w:rPr>
                <w:sz w:val="19"/>
              </w:rPr>
              <w:t>OMSAssessment.exe beendet sich, Aufgabe = „Ready“</w:t>
            </w:r>
          </w:p>
        </w:tc>
        <w:tc>
          <w:tcPr>
            <w:tcW w:type="dxa" w:w="1644"/>
            <w:shd w:val="clear" w:color="auto" w:fill="FBE5D6"/>
          </w:tcPr>
          <w:p>
            <w:r/>
            <w:r>
              <w:rPr>
                <w:sz w:val="19"/>
              </w:rPr>
              <w:t>Nein – Entzug möglich</w:t>
            </w:r>
          </w:p>
        </w:tc>
      </w:tr>
      <w:tr>
        <w:tc>
          <w:tcPr>
            <w:tcW w:type="dxa" w:w="1474"/>
          </w:tcPr>
          <w:p>
            <w:r/>
            <w:r>
              <w:rPr>
                <w:sz w:val="19"/>
              </w:rPr>
              <w:t>+ Minuten bis 1 h</w:t>
            </w:r>
          </w:p>
        </w:tc>
        <w:tc>
          <w:tcPr>
            <w:tcW w:type="dxa" w:w="1928"/>
          </w:tcPr>
          <w:p>
            <w:r/>
            <w:r>
              <w:rPr>
                <w:sz w:val="19"/>
              </w:rPr>
              <w:t>Upload</w:t>
            </w:r>
          </w:p>
        </w:tc>
        <w:tc>
          <w:tcPr>
            <w:tcW w:type="dxa" w:w="4309"/>
          </w:tcPr>
          <w:p>
            <w:r/>
            <w:r>
              <w:rPr>
                <w:sz w:val="19"/>
              </w:rPr>
              <w:t>Agent benennt new.* in processed.* um</w:t>
            </w:r>
          </w:p>
        </w:tc>
        <w:tc>
          <w:tcPr>
            <w:tcW w:type="dxa" w:w="1644"/>
            <w:shd w:val="clear" w:color="auto" w:fill="FBE5D6"/>
          </w:tcPr>
          <w:p>
            <w:r/>
            <w:r>
              <w:rPr>
                <w:sz w:val="19"/>
              </w:rPr>
              <w:t>Nein</w:t>
            </w:r>
          </w:p>
        </w:tc>
      </w:tr>
    </w:tbl>
    <w:p>
      <w:pPr>
        <w:spacing w:after="40"/>
      </w:pPr>
    </w:p>
    <w:p>
      <w:pPr>
        <w:spacing w:after="80"/>
      </w:pPr>
      <w:r>
        <w:rPr>
          <w:b/>
        </w:rPr>
        <w:t>Erkenntnis:</w:t>
      </w:r>
      <w:r>
        <w:rPr>
          <w:i w:val="0"/>
        </w:rPr>
      </w:r>
    </w:p>
    <w:p>
      <w:pPr>
        <w:pStyle w:val="ListBullet"/>
        <w:spacing w:after="40"/>
      </w:pPr>
      <w:r>
        <w:t>Ein AD-Lauf dauerte etwa 52 Minuten. Rechte im AD werden nur zwischen Start und Ende der Collection-Phase gebraucht (hier ca. 27 min).</w:t>
      </w:r>
    </w:p>
    <w:p>
      <w:pPr>
        <w:pStyle w:val="ListBullet"/>
        <w:spacing w:after="40"/>
      </w:pPr>
      <w:r>
        <w:t>Für einen sicheren Entzug ist das Prozessende das richtige Kriterium. Das Ende der Collection-Phase wäre zwar früher, es ist aber nicht offiziell dokumentiert, und Reports können theoretisch noch nachladen.</w:t>
      </w:r>
    </w:p>
    <w:p>
      <w:pPr>
        <w:pStyle w:val="ListBullet"/>
        <w:spacing w:after="40"/>
      </w:pPr>
      <w:r>
        <w:t>Für den Upload (new.* → processed.*) braucht es keine EA-Rechte. Darauf muss also nicht gewartet werden.</w:t>
      </w:r>
    </w:p>
    <w:p>
      <w:pPr>
        <w:pStyle w:val="Heading1"/>
      </w:pPr>
      <w:r>
        <w:t>4. Trigger-Katalog: Woran erkennt man das Ende einer erfolgreichen Sammlung?</w:t>
      </w:r>
    </w:p>
    <w:tbl>
      <w:tblPr>
        <w:tblStyle w:val="TableGrid"/>
        <w:tblW w:type="auto" w:w="0"/>
        <w:jc w:val="center"/>
        <w:tblLayout w:type="fixed"/>
        <w:tblLook w:firstColumn="1" w:firstRow="1" w:lastColumn="0" w:lastRow="0" w:noHBand="0" w:noVBand="1" w:val="04A0"/>
      </w:tblPr>
      <w:tblGrid>
        <w:gridCol w:w="453"/>
        <w:gridCol w:w="1701"/>
        <w:gridCol w:w="2494"/>
        <w:gridCol w:w="3231"/>
        <w:gridCol w:w="1474"/>
      </w:tblGrid>
      <w:tr>
        <w:tc>
          <w:tcPr>
            <w:tcW w:type="dxa" w:w="454"/>
            <w:shd w:val="clear" w:color="auto" w:fill="1F3A5F"/>
          </w:tcPr>
          <w:p>
            <w:r/>
            <w:r>
              <w:rPr>
                <w:b/>
                <w:color w:val="FFFFFF"/>
                <w:sz w:val="19"/>
              </w:rPr>
              <w:t>#</w:t>
            </w:r>
          </w:p>
        </w:tc>
        <w:tc>
          <w:tcPr>
            <w:tcW w:type="dxa" w:w="1701"/>
            <w:shd w:val="clear" w:color="auto" w:fill="1F3A5F"/>
          </w:tcPr>
          <w:p>
            <w:r/>
            <w:r>
              <w:rPr>
                <w:b/>
                <w:color w:val="FFFFFF"/>
                <w:sz w:val="19"/>
              </w:rPr>
              <w:t>Signal</w:t>
            </w:r>
          </w:p>
        </w:tc>
        <w:tc>
          <w:tcPr>
            <w:tcW w:type="dxa" w:w="2494"/>
            <w:shd w:val="clear" w:color="auto" w:fill="1F3A5F"/>
          </w:tcPr>
          <w:p>
            <w:r/>
            <w:r>
              <w:rPr>
                <w:b/>
                <w:color w:val="FFFFFF"/>
                <w:sz w:val="19"/>
              </w:rPr>
              <w:t>Quelle / Abfrage</w:t>
            </w:r>
          </w:p>
        </w:tc>
        <w:tc>
          <w:tcPr>
            <w:tcW w:type="dxa" w:w="3231"/>
            <w:shd w:val="clear" w:color="auto" w:fill="1F3A5F"/>
          </w:tcPr>
          <w:p>
            <w:r/>
            <w:r>
              <w:rPr>
                <w:b/>
                <w:color w:val="FFFFFF"/>
                <w:sz w:val="19"/>
              </w:rPr>
              <w:t>Aussagekraft</w:t>
            </w:r>
          </w:p>
        </w:tc>
        <w:tc>
          <w:tcPr>
            <w:tcW w:type="dxa" w:w="1474"/>
            <w:shd w:val="clear" w:color="auto" w:fill="1F3A5F"/>
          </w:tcPr>
          <w:p>
            <w:r/>
            <w:r>
              <w:rPr>
                <w:b/>
                <w:color w:val="FFFFFF"/>
                <w:sz w:val="19"/>
              </w:rPr>
              <w:t>Bewertung</w:t>
            </w:r>
          </w:p>
        </w:tc>
      </w:tr>
      <w:tr>
        <w:tc>
          <w:tcPr>
            <w:tcW w:type="dxa" w:w="454"/>
          </w:tcPr>
          <w:p>
            <w:r/>
            <w:r>
              <w:rPr>
                <w:sz w:val="19"/>
              </w:rPr>
              <w:t>T1</w:t>
            </w:r>
          </w:p>
        </w:tc>
        <w:tc>
          <w:tcPr>
            <w:tcW w:type="dxa" w:w="1701"/>
          </w:tcPr>
          <w:p>
            <w:r/>
            <w:r>
              <w:rPr>
                <w:sz w:val="19"/>
              </w:rPr>
              <w:t>Aufgabe nicht mehr aktiv + im Fenster gelaufen</w:t>
            </w:r>
          </w:p>
        </w:tc>
        <w:tc>
          <w:tcPr>
            <w:tcW w:type="dxa" w:w="2494"/>
          </w:tcPr>
          <w:p>
            <w:r/>
            <w:r>
              <w:rPr>
                <w:sz w:val="19"/>
              </w:rPr>
              <w:t>Get-ScheduledTask / Get-ScheduledTaskInfo (State ≠ Running/Queued, LastRunTime ≥ Fensterstart, LastTaskResult)</w:t>
            </w:r>
          </w:p>
        </w:tc>
        <w:tc>
          <w:tcPr>
            <w:tcW w:type="dxa" w:w="3231"/>
          </w:tcPr>
          <w:p>
            <w:r/>
            <w:r>
              <w:rPr>
                <w:sz w:val="19"/>
              </w:rPr>
              <w:t>Prozess ist sicher beendet. LastTaskResult 0 bedeutet NICHT, dass alle Collectors erfolgreich waren.</w:t>
            </w:r>
          </w:p>
        </w:tc>
        <w:tc>
          <w:tcPr>
            <w:tcW w:type="dxa" w:w="1474"/>
            <w:shd w:val="clear" w:color="auto" w:fill="E2F0D9"/>
          </w:tcPr>
          <w:p>
            <w:r/>
            <w:r>
              <w:rPr>
                <w:sz w:val="19"/>
              </w:rPr>
              <w:t>Primär (Ende)</w:t>
            </w:r>
          </w:p>
        </w:tc>
      </w:tr>
      <w:tr>
        <w:tc>
          <w:tcPr>
            <w:tcW w:type="dxa" w:w="454"/>
          </w:tcPr>
          <w:p>
            <w:r/>
            <w:r>
              <w:rPr>
                <w:sz w:val="19"/>
              </w:rPr>
              <w:t>T2</w:t>
            </w:r>
          </w:p>
        </w:tc>
        <w:tc>
          <w:tcPr>
            <w:tcW w:type="dxa" w:w="1701"/>
          </w:tcPr>
          <w:p>
            <w:r/>
            <w:r>
              <w:rPr>
                <w:sz w:val="19"/>
              </w:rPr>
              <w:t>Task-Scheduler-Ereignisse</w:t>
            </w:r>
          </w:p>
        </w:tc>
        <w:tc>
          <w:tcPr>
            <w:tcW w:type="dxa" w:w="2494"/>
          </w:tcPr>
          <w:p>
            <w:r/>
            <w:r>
              <w:rPr>
                <w:sz w:val="19"/>
              </w:rPr>
              <w:t>Microsoft-Windows-TaskScheduler/Operational: 100 (gestartet), 129 (Prozess erstellt), 201 (Aktion beendet + Returncode), 102 (Aufgabe abgeschlossen)</w:t>
            </w:r>
          </w:p>
        </w:tc>
        <w:tc>
          <w:tcPr>
            <w:tcW w:type="dxa" w:w="3231"/>
          </w:tcPr>
          <w:p>
            <w:r/>
            <w:r>
              <w:rPr>
                <w:sz w:val="19"/>
              </w:rPr>
              <w:t>Exakter Zeitpunkt, gut für Audit. Der Verlauf muss aktiviert sein (standardmäßig oft aus).</w:t>
            </w:r>
          </w:p>
        </w:tc>
        <w:tc>
          <w:tcPr>
            <w:tcW w:type="dxa" w:w="1474"/>
            <w:shd w:val="clear" w:color="auto" w:fill="FFF2CC"/>
          </w:tcPr>
          <w:p>
            <w:r/>
            <w:r>
              <w:rPr>
                <w:sz w:val="19"/>
              </w:rPr>
              <w:t>Ergänzend / Ausbaustufe</w:t>
            </w:r>
          </w:p>
        </w:tc>
      </w:tr>
      <w:tr>
        <w:tc>
          <w:tcPr>
            <w:tcW w:type="dxa" w:w="454"/>
          </w:tcPr>
          <w:p>
            <w:r/>
            <w:r>
              <w:rPr>
                <w:sz w:val="19"/>
              </w:rPr>
              <w:t>T3</w:t>
            </w:r>
          </w:p>
        </w:tc>
        <w:tc>
          <w:tcPr>
            <w:tcW w:type="dxa" w:w="1701"/>
          </w:tcPr>
          <w:p>
            <w:r/>
            <w:r>
              <w:rPr>
                <w:sz w:val="19"/>
              </w:rPr>
              <w:t>Prozessende OMSAssessment.exe</w:t>
            </w:r>
          </w:p>
        </w:tc>
        <w:tc>
          <w:tcPr>
            <w:tcW w:type="dxa" w:w="2494"/>
          </w:tcPr>
          <w:p>
            <w:r/>
            <w:r>
              <w:rPr>
                <w:sz w:val="19"/>
              </w:rPr>
              <w:t>Win32_Process (Polling) oder Security 4689 (Audit Process Termination) / Sysmon EID 5</w:t>
            </w:r>
          </w:p>
        </w:tc>
        <w:tc>
          <w:tcPr>
            <w:tcW w:type="dxa" w:w="3231"/>
          </w:tcPr>
          <w:p>
            <w:r/>
            <w:r>
              <w:rPr>
                <w:sz w:val="19"/>
              </w:rPr>
              <w:t>Robuste Bestätigung, unabhängig vom Aufgabennamen. Sagt nichts über den Erfolg.</w:t>
            </w:r>
          </w:p>
        </w:tc>
        <w:tc>
          <w:tcPr>
            <w:tcW w:type="dxa" w:w="1474"/>
            <w:shd w:val="clear" w:color="auto" w:fill="E2F0D9"/>
          </w:tcPr>
          <w:p>
            <w:r/>
            <w:r>
              <w:rPr>
                <w:sz w:val="19"/>
              </w:rPr>
              <w:t>Primär (Bestätigung)</w:t>
            </w:r>
          </w:p>
        </w:tc>
      </w:tr>
      <w:tr>
        <w:tc>
          <w:tcPr>
            <w:tcW w:type="dxa" w:w="454"/>
          </w:tcPr>
          <w:p>
            <w:r/>
            <w:r>
              <w:rPr>
                <w:sz w:val="19"/>
              </w:rPr>
              <w:t>T4</w:t>
            </w:r>
          </w:p>
        </w:tc>
        <w:tc>
          <w:tcPr>
            <w:tcW w:type="dxa" w:w="1701"/>
          </w:tcPr>
          <w:p>
            <w:r/>
            <w:r>
              <w:rPr>
                <w:sz w:val="19"/>
              </w:rPr>
              <w:t>Neue Ergebnisdatei</w:t>
            </w:r>
          </w:p>
        </w:tc>
        <w:tc>
          <w:tcPr>
            <w:tcW w:type="dxa" w:w="2494"/>
          </w:tcPr>
          <w:p>
            <w:r/>
            <w:r>
              <w:rPr>
                <w:sz w:val="19"/>
              </w:rPr>
              <w:t>&lt;WorkingDirectory&gt;\*Assessment\new.recommendations.* oder processed.recommendations.* mit LastWriteTime ≥ Fensterstart</w:t>
            </w:r>
          </w:p>
        </w:tc>
        <w:tc>
          <w:tcPr>
            <w:tcW w:type="dxa" w:w="3231"/>
          </w:tcPr>
          <w:p>
            <w:r/>
            <w:r>
              <w:rPr>
                <w:sz w:val="19"/>
              </w:rPr>
              <w:t>Belegt, dass die Analyse fertig ist und Ergebnisse vorliegen = „erfolgreiche Sammlung“.</w:t>
            </w:r>
          </w:p>
        </w:tc>
        <w:tc>
          <w:tcPr>
            <w:tcW w:type="dxa" w:w="1474"/>
            <w:shd w:val="clear" w:color="auto" w:fill="E2F0D9"/>
          </w:tcPr>
          <w:p>
            <w:r/>
            <w:r>
              <w:rPr>
                <w:sz w:val="19"/>
              </w:rPr>
              <w:t>Primär (Erfolg)</w:t>
            </w:r>
          </w:p>
        </w:tc>
      </w:tr>
      <w:tr>
        <w:tc>
          <w:tcPr>
            <w:tcW w:type="dxa" w:w="454"/>
          </w:tcPr>
          <w:p>
            <w:r/>
            <w:r>
              <w:rPr>
                <w:sz w:val="19"/>
              </w:rPr>
              <w:t>T5</w:t>
            </w:r>
          </w:p>
        </w:tc>
        <w:tc>
          <w:tcPr>
            <w:tcW w:type="dxa" w:w="1701"/>
          </w:tcPr>
          <w:p>
            <w:r/>
            <w:r>
              <w:rPr>
                <w:sz w:val="19"/>
              </w:rPr>
              <w:t>Sirona-Trace „Collection Execution Duration=“</w:t>
            </w:r>
          </w:p>
        </w:tc>
        <w:tc>
          <w:tcPr>
            <w:tcW w:type="dxa" w:w="2494"/>
          </w:tcPr>
          <w:p>
            <w:r/>
            <w:r>
              <w:rPr>
                <w:sz w:val="19"/>
              </w:rPr>
              <w:t>Trace-Log der Engine im Arbeitsverzeichnis</w:t>
            </w:r>
          </w:p>
        </w:tc>
        <w:tc>
          <w:tcPr>
            <w:tcW w:type="dxa" w:w="3231"/>
          </w:tcPr>
          <w:p>
            <w:r/>
            <w:r>
              <w:rPr>
                <w:sz w:val="19"/>
              </w:rPr>
              <w:t>Frühester Zeitpunkt, ab dem keine AD-Rechte mehr nötig sind. Das Log-Format ist nicht stabil zugesichert.</w:t>
            </w:r>
          </w:p>
        </w:tc>
        <w:tc>
          <w:tcPr>
            <w:tcW w:type="dxa" w:w="1474"/>
            <w:shd w:val="clear" w:color="auto" w:fill="FBE5D6"/>
          </w:tcPr>
          <w:p>
            <w:r/>
            <w:r>
              <w:rPr>
                <w:sz w:val="19"/>
              </w:rPr>
              <w:t>Nicht für Automatik – nur Analyse</w:t>
            </w:r>
          </w:p>
        </w:tc>
      </w:tr>
      <w:tr>
        <w:tc>
          <w:tcPr>
            <w:tcW w:type="dxa" w:w="454"/>
          </w:tcPr>
          <w:p>
            <w:r/>
            <w:r>
              <w:rPr>
                <w:sz w:val="19"/>
              </w:rPr>
              <w:t>T6</w:t>
            </w:r>
          </w:p>
        </w:tc>
        <w:tc>
          <w:tcPr>
            <w:tcW w:type="dxa" w:w="1701"/>
          </w:tcPr>
          <w:p>
            <w:r/>
            <w:r>
              <w:rPr>
                <w:sz w:val="19"/>
              </w:rPr>
              <w:t>Umbenennung new.* → processed.*</w:t>
            </w:r>
          </w:p>
        </w:tc>
        <w:tc>
          <w:tcPr>
            <w:tcW w:type="dxa" w:w="2494"/>
          </w:tcPr>
          <w:p>
            <w:r/>
            <w:r>
              <w:rPr>
                <w:sz w:val="19"/>
              </w:rPr>
              <w:t>Dateisystem</w:t>
            </w:r>
          </w:p>
        </w:tc>
        <w:tc>
          <w:tcPr>
            <w:tcW w:type="dxa" w:w="3231"/>
          </w:tcPr>
          <w:p>
            <w:r/>
            <w:r>
              <w:rPr>
                <w:sz w:val="19"/>
              </w:rPr>
              <w:t>Bestätigt den Upload nach Log Analytics. Für den Rechteentzug irrelevant.</w:t>
            </w:r>
          </w:p>
        </w:tc>
        <w:tc>
          <w:tcPr>
            <w:tcW w:type="dxa" w:w="1474"/>
            <w:shd w:val="clear" w:color="auto" w:fill="FFF2CC"/>
          </w:tcPr>
          <w:p>
            <w:r/>
            <w:r>
              <w:rPr>
                <w:sz w:val="19"/>
              </w:rPr>
              <w:t>Nur Monitoring</w:t>
            </w:r>
          </w:p>
        </w:tc>
      </w:tr>
      <w:tr>
        <w:tc>
          <w:tcPr>
            <w:tcW w:type="dxa" w:w="454"/>
          </w:tcPr>
          <w:p>
            <w:r/>
            <w:r>
              <w:rPr>
                <w:sz w:val="19"/>
              </w:rPr>
              <w:t>T7</w:t>
            </w:r>
          </w:p>
        </w:tc>
        <w:tc>
          <w:tcPr>
            <w:tcW w:type="dxa" w:w="1701"/>
          </w:tcPr>
          <w:p>
            <w:r/>
            <w:r>
              <w:rPr>
                <w:sz w:val="19"/>
              </w:rPr>
              <w:t>Zeitliche Obergrenze</w:t>
            </w:r>
          </w:p>
        </w:tc>
        <w:tc>
          <w:tcPr>
            <w:tcW w:type="dxa" w:w="2494"/>
          </w:tcPr>
          <w:p>
            <w:r/>
            <w:r>
              <w:rPr>
                <w:sz w:val="19"/>
              </w:rPr>
              <w:t>PAM -MemberTimeToLive und Deadline-Revoke</w:t>
            </w:r>
          </w:p>
        </w:tc>
        <w:tc>
          <w:tcPr>
            <w:tcW w:type="dxa" w:w="3231"/>
          </w:tcPr>
          <w:p>
            <w:r/>
            <w:r>
              <w:rPr>
                <w:sz w:val="19"/>
              </w:rPr>
              <w:t>Greift immer, auch wenn alle anderen Signale ausbleiben.</w:t>
            </w:r>
          </w:p>
        </w:tc>
        <w:tc>
          <w:tcPr>
            <w:tcW w:type="dxa" w:w="1474"/>
            <w:shd w:val="clear" w:color="auto" w:fill="FFF2CC"/>
          </w:tcPr>
          <w:p>
            <w:r/>
            <w:r>
              <w:rPr>
                <w:sz w:val="19"/>
              </w:rPr>
              <w:t>Pflicht (Backstop)</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Definition: </w:t>
            </w:r>
            <w:r>
              <w:rPr>
                <w:sz w:val="19"/>
              </w:rPr>
              <w:t>Ein Lauf gilt als „erfolgreich beendet“, wenn T1 UND T3 (Prozess sicher beendet) UND T4 (neue Empfehlungsdatei im Fenster) für BEIDE Assessments erfüllt sind. Fehlt T4, wird trotzdem entzogen. Der Lauf wird dann aber als „ohne Ergebnis“ gemeldet.</w:t>
            </w:r>
          </w:p>
        </w:tc>
      </w:tr>
    </w:tbl>
    <w:p>
      <w:pPr>
        <w:spacing w:after="40"/>
      </w:pPr>
    </w:p>
    <w:p>
      <w:pPr>
        <w:pStyle w:val="Heading1"/>
      </w:pPr>
      <w:r>
        <w:t>5. Empfohlene einfache Variante</w:t>
      </w:r>
    </w:p>
    <w:p>
      <w:pPr>
        <w:pStyle w:val="Heading2"/>
      </w:pPr>
      <w:r>
        <w:t>5.1 Grundidee</w:t>
      </w:r>
    </w:p>
    <w:p>
      <w:pPr>
        <w:spacing w:after="80"/>
      </w:pPr>
      <w:r>
        <w:rPr>
          <w:i w:val="0"/>
        </w:rPr>
        <w:t>„Grant per Zeitplan – Revoke per Watcher + Karenzzeit – TTL als Backstop“. Die ODA-Aufgaben werden nicht verändert. Es wird nur ihr Startzeitpunkt auf einen festen Wochentag gelegt. Alle privilegierten Aktionen laufen auf einem Tier-0-Host, nie auf dem Collector.</w:t>
      </w:r>
    </w:p>
    <w:p>
      <w:pPr>
        <w:pStyle w:val="Heading2"/>
      </w:pPr>
      <w:r>
        <w:t>5.2 Komponenten</w:t>
      </w:r>
    </w:p>
    <w:tbl>
      <w:tblPr>
        <w:tblStyle w:val="TableGrid"/>
        <w:tblW w:type="auto" w:w="0"/>
        <w:jc w:val="center"/>
        <w:tblLayout w:type="fixed"/>
        <w:tblLook w:firstColumn="1" w:firstRow="1" w:lastColumn="0" w:lastRow="0" w:noHBand="0" w:noVBand="1" w:val="04A0"/>
      </w:tblPr>
      <w:tblGrid>
        <w:gridCol w:w="2154"/>
        <w:gridCol w:w="1701"/>
        <w:gridCol w:w="1927"/>
        <w:gridCol w:w="3572"/>
      </w:tblGrid>
      <w:tr>
        <w:tc>
          <w:tcPr>
            <w:tcW w:type="dxa" w:w="2154"/>
            <w:shd w:val="clear" w:color="auto" w:fill="1F3A5F"/>
          </w:tcPr>
          <w:p>
            <w:r/>
            <w:r>
              <w:rPr>
                <w:b/>
                <w:color w:val="FFFFFF"/>
                <w:sz w:val="19"/>
              </w:rPr>
              <w:t>Komponente</w:t>
            </w:r>
          </w:p>
        </w:tc>
        <w:tc>
          <w:tcPr>
            <w:tcW w:type="dxa" w:w="1701"/>
            <w:shd w:val="clear" w:color="auto" w:fill="1F3A5F"/>
          </w:tcPr>
          <w:p>
            <w:r/>
            <w:r>
              <w:rPr>
                <w:b/>
                <w:color w:val="FFFFFF"/>
                <w:sz w:val="19"/>
              </w:rPr>
              <w:t>Wo</w:t>
            </w:r>
          </w:p>
        </w:tc>
        <w:tc>
          <w:tcPr>
            <w:tcW w:type="dxa" w:w="1928"/>
            <w:shd w:val="clear" w:color="auto" w:fill="1F3A5F"/>
          </w:tcPr>
          <w:p>
            <w:r/>
            <w:r>
              <w:rPr>
                <w:b/>
                <w:color w:val="FFFFFF"/>
                <w:sz w:val="19"/>
              </w:rPr>
              <w:t>Konto</w:t>
            </w:r>
          </w:p>
        </w:tc>
        <w:tc>
          <w:tcPr>
            <w:tcW w:type="dxa" w:w="3572"/>
            <w:shd w:val="clear" w:color="auto" w:fill="1F3A5F"/>
          </w:tcPr>
          <w:p>
            <w:r/>
            <w:r>
              <w:rPr>
                <w:b/>
                <w:color w:val="FFFFFF"/>
                <w:sz w:val="19"/>
              </w:rPr>
              <w:t>Aufgabe</w:t>
            </w:r>
          </w:p>
        </w:tc>
      </w:tr>
      <w:tr>
        <w:tc>
          <w:tcPr>
            <w:tcW w:type="dxa" w:w="2154"/>
          </w:tcPr>
          <w:p>
            <w:r/>
            <w:r>
              <w:rPr>
                <w:sz w:val="19"/>
              </w:rPr>
              <w:t>ODA-Aufgaben ADAssessment + ADSecurityAssessment</w:t>
            </w:r>
          </w:p>
        </w:tc>
        <w:tc>
          <w:tcPr>
            <w:tcW w:type="dxa" w:w="1701"/>
          </w:tcPr>
          <w:p>
            <w:r/>
            <w:r>
              <w:rPr>
                <w:sz w:val="19"/>
              </w:rPr>
              <w:t>Collector</w:t>
            </w:r>
          </w:p>
        </w:tc>
        <w:tc>
          <w:tcPr>
            <w:tcW w:type="dxa" w:w="1928"/>
          </w:tcPr>
          <w:p>
            <w:r/>
            <w:r>
              <w:rPr>
                <w:sz w:val="19"/>
              </w:rPr>
              <w:t>ODA-gMSA (z. B. gMSA-ODA$)</w:t>
            </w:r>
          </w:p>
        </w:tc>
        <w:tc>
          <w:tcPr>
            <w:tcW w:type="dxa" w:w="3572"/>
          </w:tcPr>
          <w:p>
            <w:r/>
            <w:r>
              <w:rPr>
                <w:sz w:val="19"/>
              </w:rPr>
              <w:t>Unverändert. Nur der Zeitplan wird festgelegt: z. B. So 02:00 (AD) und So 02:30 (AD Security).</w:t>
            </w:r>
          </w:p>
        </w:tc>
      </w:tr>
      <w:tr>
        <w:tc>
          <w:tcPr>
            <w:tcW w:type="dxa" w:w="2154"/>
          </w:tcPr>
          <w:p>
            <w:r/>
            <w:r>
              <w:rPr>
                <w:sz w:val="19"/>
              </w:rPr>
              <w:t>Aufgabe „ODA-JIT-Grant“</w:t>
            </w:r>
          </w:p>
        </w:tc>
        <w:tc>
          <w:tcPr>
            <w:tcW w:type="dxa" w:w="1701"/>
          </w:tcPr>
          <w:p>
            <w:r/>
            <w:r>
              <w:rPr>
                <w:sz w:val="19"/>
              </w:rPr>
              <w:t>Tier-0-Host (PAW / Management-DC)</w:t>
            </w:r>
          </w:p>
        </w:tc>
        <w:tc>
          <w:tcPr>
            <w:tcW w:type="dxa" w:w="1928"/>
          </w:tcPr>
          <w:p>
            <w:r/>
            <w:r>
              <w:rPr>
                <w:sz w:val="19"/>
              </w:rPr>
              <w:t>svc-ODA-JIT$ (Automations-gMSA, Tier-0)</w:t>
            </w:r>
          </w:p>
        </w:tc>
        <w:tc>
          <w:tcPr>
            <w:tcW w:type="dxa" w:w="3572"/>
          </w:tcPr>
          <w:p>
            <w:r/>
            <w:r>
              <w:rPr>
                <w:sz w:val="19"/>
              </w:rPr>
              <w:t>So 01:00 (T-60 min): ODA-gMSA bzw. dessen Gruppe mit PAM-TTL 8 h in Enterprise Admins aufnehmen, auf die GCs im Standort des Collectors replizieren und prüfen.</w:t>
            </w:r>
          </w:p>
        </w:tc>
      </w:tr>
      <w:tr>
        <w:tc>
          <w:tcPr>
            <w:tcW w:type="dxa" w:w="2154"/>
          </w:tcPr>
          <w:p>
            <w:r/>
            <w:r>
              <w:rPr>
                <w:sz w:val="19"/>
              </w:rPr>
              <w:t>Aufgabe „ODA-JIT-Revoke“ (Watcher)</w:t>
            </w:r>
          </w:p>
        </w:tc>
        <w:tc>
          <w:tcPr>
            <w:tcW w:type="dxa" w:w="1701"/>
          </w:tcPr>
          <w:p>
            <w:r/>
            <w:r>
              <w:rPr>
                <w:sz w:val="19"/>
              </w:rPr>
              <w:t>Tier-0-Host</w:t>
            </w:r>
          </w:p>
        </w:tc>
        <w:tc>
          <w:tcPr>
            <w:tcW w:type="dxa" w:w="1928"/>
          </w:tcPr>
          <w:p>
            <w:r/>
            <w:r>
              <w:rPr>
                <w:sz w:val="19"/>
              </w:rPr>
              <w:t>svc-ODA-JIT$</w:t>
            </w:r>
          </w:p>
        </w:tc>
        <w:tc>
          <w:tcPr>
            <w:tcW w:type="dxa" w:w="3572"/>
          </w:tcPr>
          <w:p>
            <w:r/>
            <w:r>
              <w:rPr>
                <w:sz w:val="19"/>
              </w:rPr>
              <w:t>So 02:15 starten, alle 5 min T1/T3/T4 prüfen, nach dem Ende 30 min Karenz abwarten, dann entziehen. Deadline 08:00.</w:t>
            </w:r>
          </w:p>
        </w:tc>
      </w:tr>
      <w:tr>
        <w:tc>
          <w:tcPr>
            <w:tcW w:type="dxa" w:w="2154"/>
          </w:tcPr>
          <w:p>
            <w:r/>
            <w:r>
              <w:rPr>
                <w:sz w:val="19"/>
              </w:rPr>
              <w:t>Bestehendes Skript</w:t>
            </w:r>
          </w:p>
        </w:tc>
        <w:tc>
          <w:tcPr>
            <w:tcW w:type="dxa" w:w="1701"/>
          </w:tcPr>
          <w:p>
            <w:r/>
            <w:r>
              <w:rPr>
                <w:sz w:val="19"/>
              </w:rPr>
              <w:t>Tier-0-Host</w:t>
            </w:r>
          </w:p>
        </w:tc>
        <w:tc>
          <w:tcPr>
            <w:tcW w:type="dxa" w:w="1928"/>
          </w:tcPr>
          <w:p>
            <w:r/>
            <w:r>
              <w:rPr>
                <w:sz w:val="19"/>
              </w:rPr>
              <w:t>svc-ODA-JIT$</w:t>
            </w:r>
          </w:p>
        </w:tc>
        <w:tc>
          <w:tcPr>
            <w:tcW w:type="dxa" w:w="3572"/>
          </w:tcPr>
          <w:p>
            <w:r/>
            <w:r>
              <w:rPr>
                <w:sz w:val="19"/>
              </w:rPr>
              <w:t>Invoke-ODAJitDelegation.ps1 -Mode FullEA -operation add | delete (macht den eigentlichen EA-Toggle).</w:t>
            </w:r>
          </w:p>
        </w:tc>
      </w:tr>
      <w:tr>
        <w:tc>
          <w:tcPr>
            <w:tcW w:type="dxa" w:w="2154"/>
          </w:tcPr>
          <w:p>
            <w:r/>
            <w:r>
              <w:rPr>
                <w:sz w:val="19"/>
              </w:rPr>
              <w:t>Monitoring</w:t>
            </w:r>
          </w:p>
        </w:tc>
        <w:tc>
          <w:tcPr>
            <w:tcW w:type="dxa" w:w="1701"/>
          </w:tcPr>
          <w:p>
            <w:r/>
            <w:r>
              <w:rPr>
                <w:sz w:val="19"/>
              </w:rPr>
              <w:t>SIEM</w:t>
            </w:r>
          </w:p>
        </w:tc>
        <w:tc>
          <w:tcPr>
            <w:tcW w:type="dxa" w:w="1928"/>
          </w:tcPr>
          <w:p>
            <w:r/>
            <w:r>
              <w:rPr>
                <w:sz w:val="19"/>
              </w:rPr>
              <w:t>–</w:t>
            </w:r>
          </w:p>
        </w:tc>
        <w:tc>
          <w:tcPr>
            <w:tcW w:type="dxa" w:w="3572"/>
          </w:tcPr>
          <w:p>
            <w:r/>
            <w:r>
              <w:rPr>
                <w:sz w:val="19"/>
              </w:rPr>
              <w:t>Alarm auf 4756/4757 (Mitglied zu universeller Gruppe hinzugefügt/entfernt) für Enterprise Admins außerhalb des Fensters.</w:t>
            </w:r>
          </w:p>
        </w:tc>
      </w:tr>
    </w:tbl>
    <w:p>
      <w:pPr>
        <w:spacing w:after="40"/>
      </w:pPr>
    </w:p>
    <w:p>
      <w:pPr>
        <w:pStyle w:val="Heading2"/>
      </w:pPr>
      <w:r>
        <w:t>5.3 Ablauf (Beispiel Sonntag)</w:t>
      </w:r>
    </w:p>
    <w:tbl>
      <w:tblPr>
        <w:tblStyle w:val="TableGrid"/>
        <w:tblW w:type="auto" w:w="0"/>
        <w:jc w:val="center"/>
        <w:tblLayout w:type="fixed"/>
        <w:tblLook w:firstColumn="1" w:firstRow="1" w:lastColumn="0" w:lastRow="0" w:noHBand="0" w:noVBand="1" w:val="04A0"/>
      </w:tblPr>
      <w:tblGrid>
        <w:gridCol w:w="1134"/>
        <w:gridCol w:w="1701"/>
        <w:gridCol w:w="6520"/>
      </w:tblGrid>
      <w:tr>
        <w:tc>
          <w:tcPr>
            <w:tcW w:type="dxa" w:w="1134"/>
            <w:shd w:val="clear" w:color="auto" w:fill="1F3A5F"/>
          </w:tcPr>
          <w:p>
            <w:r/>
            <w:r>
              <w:rPr>
                <w:b/>
                <w:color w:val="FFFFFF"/>
                <w:sz w:val="19"/>
              </w:rPr>
              <w:t>Zeit</w:t>
            </w:r>
          </w:p>
        </w:tc>
        <w:tc>
          <w:tcPr>
            <w:tcW w:type="dxa" w:w="1701"/>
            <w:shd w:val="clear" w:color="auto" w:fill="1F3A5F"/>
          </w:tcPr>
          <w:p>
            <w:r/>
            <w:r>
              <w:rPr>
                <w:b/>
                <w:color w:val="FFFFFF"/>
                <w:sz w:val="19"/>
              </w:rPr>
              <w:t>Schritt</w:t>
            </w:r>
          </w:p>
        </w:tc>
        <w:tc>
          <w:tcPr>
            <w:tcW w:type="dxa" w:w="6520"/>
            <w:shd w:val="clear" w:color="auto" w:fill="1F3A5F"/>
          </w:tcPr>
          <w:p>
            <w:r/>
            <w:r>
              <w:rPr>
                <w:b/>
                <w:color w:val="FFFFFF"/>
                <w:sz w:val="19"/>
              </w:rPr>
              <w:t>Detail</w:t>
            </w:r>
          </w:p>
        </w:tc>
      </w:tr>
      <w:tr>
        <w:tc>
          <w:tcPr>
            <w:tcW w:type="dxa" w:w="1134"/>
          </w:tcPr>
          <w:p>
            <w:r/>
            <w:r>
              <w:rPr>
                <w:sz w:val="19"/>
              </w:rPr>
              <w:t>01:00</w:t>
            </w:r>
          </w:p>
        </w:tc>
        <w:tc>
          <w:tcPr>
            <w:tcW w:type="dxa" w:w="1701"/>
          </w:tcPr>
          <w:p>
            <w:r/>
            <w:r>
              <w:rPr>
                <w:sz w:val="19"/>
              </w:rPr>
              <w:t>Grant</w:t>
            </w:r>
          </w:p>
        </w:tc>
        <w:tc>
          <w:tcPr>
            <w:tcW w:type="dxa" w:w="6520"/>
          </w:tcPr>
          <w:p>
            <w:r/>
            <w:r>
              <w:rPr>
                <w:sz w:val="19"/>
              </w:rPr>
              <w:t>ODA-JIT-Grant: Add-ADGroupMember Enterprise Admins mit -MemberTimeToLive 8 h auf einem Forest-Root-DC. Danach Sync-ADObject auf die GCs im AD-Standort des Collectors und prüfen, dass die Mitgliedschaft dort sichtbar ist.</w:t>
            </w:r>
          </w:p>
        </w:tc>
      </w:tr>
      <w:tr>
        <w:tc>
          <w:tcPr>
            <w:tcW w:type="dxa" w:w="1134"/>
          </w:tcPr>
          <w:p>
            <w:r/>
            <w:r>
              <w:rPr>
                <w:sz w:val="19"/>
              </w:rPr>
              <w:t>02:00</w:t>
            </w:r>
          </w:p>
        </w:tc>
        <w:tc>
          <w:tcPr>
            <w:tcW w:type="dxa" w:w="1701"/>
          </w:tcPr>
          <w:p>
            <w:r/>
            <w:r>
              <w:rPr>
                <w:sz w:val="19"/>
              </w:rPr>
              <w:t>Start AD</w:t>
            </w:r>
          </w:p>
        </w:tc>
        <w:tc>
          <w:tcPr>
            <w:tcW w:type="dxa" w:w="6520"/>
          </w:tcPr>
          <w:p>
            <w:r/>
            <w:r>
              <w:rPr>
                <w:sz w:val="19"/>
              </w:rPr>
              <w:t>ODA-Aufgabe startet. Bei der Batch-Anmeldung bekommt das gMSA ein neues Kerberos-TGT, das die EA-SID enthält.</w:t>
            </w:r>
          </w:p>
        </w:tc>
      </w:tr>
      <w:tr>
        <w:tc>
          <w:tcPr>
            <w:tcW w:type="dxa" w:w="1134"/>
          </w:tcPr>
          <w:p>
            <w:r/>
            <w:r>
              <w:rPr>
                <w:sz w:val="19"/>
              </w:rPr>
              <w:t>02:30</w:t>
            </w:r>
          </w:p>
        </w:tc>
        <w:tc>
          <w:tcPr>
            <w:tcW w:type="dxa" w:w="1701"/>
          </w:tcPr>
          <w:p>
            <w:r/>
            <w:r>
              <w:rPr>
                <w:sz w:val="19"/>
              </w:rPr>
              <w:t>Start AD Security</w:t>
            </w:r>
          </w:p>
        </w:tc>
        <w:tc>
          <w:tcPr>
            <w:tcW w:type="dxa" w:w="6520"/>
          </w:tcPr>
          <w:p>
            <w:r/>
            <w:r>
              <w:rPr>
                <w:sz w:val="19"/>
              </w:rPr>
              <w:t>Zweite ODA-Aufgabe startet mit demselben gMSA.</w:t>
            </w:r>
          </w:p>
        </w:tc>
      </w:tr>
      <w:tr>
        <w:tc>
          <w:tcPr>
            <w:tcW w:type="dxa" w:w="1134"/>
          </w:tcPr>
          <w:p>
            <w:r/>
            <w:r>
              <w:rPr>
                <w:sz w:val="19"/>
              </w:rPr>
              <w:t>02:15 ff.</w:t>
            </w:r>
          </w:p>
        </w:tc>
        <w:tc>
          <w:tcPr>
            <w:tcW w:type="dxa" w:w="1701"/>
          </w:tcPr>
          <w:p>
            <w:r/>
            <w:r>
              <w:rPr>
                <w:sz w:val="19"/>
              </w:rPr>
              <w:t>Watcher</w:t>
            </w:r>
          </w:p>
        </w:tc>
        <w:tc>
          <w:tcPr>
            <w:tcW w:type="dxa" w:w="6520"/>
          </w:tcPr>
          <w:p>
            <w:r/>
            <w:r>
              <w:rPr>
                <w:sz w:val="19"/>
              </w:rPr>
              <w:t>Prüft alle 5 min: Sind beide Aufgaben im Fenster gelaufen und nicht mehr aktiv (T1)? Läuft kein OMSAssessment.exe mehr (T3)?</w:t>
            </w:r>
          </w:p>
        </w:tc>
      </w:tr>
      <w:tr>
        <w:tc>
          <w:tcPr>
            <w:tcW w:type="dxa" w:w="1134"/>
          </w:tcPr>
          <w:p>
            <w:r/>
            <w:r>
              <w:rPr>
                <w:sz w:val="19"/>
              </w:rPr>
              <w:t>≈ 04:00</w:t>
            </w:r>
          </w:p>
        </w:tc>
        <w:tc>
          <w:tcPr>
            <w:tcW w:type="dxa" w:w="1701"/>
          </w:tcPr>
          <w:p>
            <w:r/>
            <w:r>
              <w:rPr>
                <w:sz w:val="19"/>
              </w:rPr>
              <w:t>Ende erkannt</w:t>
            </w:r>
          </w:p>
        </w:tc>
        <w:tc>
          <w:tcPr>
            <w:tcW w:type="dxa" w:w="6520"/>
          </w:tcPr>
          <w:p>
            <w:r/>
            <w:r>
              <w:rPr>
                <w:sz w:val="19"/>
              </w:rPr>
              <w:t>Prüfen, ob neue *.recommendations.*-Dateien vorhanden sind (T4). Status ERFOLGREICH bzw. OHNE ERGEBNIS protokollieren.</w:t>
            </w:r>
          </w:p>
        </w:tc>
      </w:tr>
      <w:tr>
        <w:tc>
          <w:tcPr>
            <w:tcW w:type="dxa" w:w="1134"/>
          </w:tcPr>
          <w:p>
            <w:r/>
            <w:r>
              <w:rPr>
                <w:sz w:val="19"/>
              </w:rPr>
              <w:t>+30 min</w:t>
            </w:r>
          </w:p>
        </w:tc>
        <w:tc>
          <w:tcPr>
            <w:tcW w:type="dxa" w:w="1701"/>
          </w:tcPr>
          <w:p>
            <w:r/>
            <w:r>
              <w:rPr>
                <w:sz w:val="19"/>
              </w:rPr>
              <w:t>Karenzzeit</w:t>
            </w:r>
          </w:p>
        </w:tc>
        <w:tc>
          <w:tcPr>
            <w:tcW w:type="dxa" w:w="6520"/>
          </w:tcPr>
          <w:p>
            <w:r/>
            <w:r>
              <w:rPr>
                <w:sz w:val="19"/>
              </w:rPr>
              <w:t>Warten, dann T1/T3 erneut prüfen. Startet zwischendurch ein neuer Lauf, wird erneut gewartet.</w:t>
            </w:r>
          </w:p>
        </w:tc>
      </w:tr>
      <w:tr>
        <w:tc>
          <w:tcPr>
            <w:tcW w:type="dxa" w:w="1134"/>
          </w:tcPr>
          <w:p>
            <w:r/>
            <w:r>
              <w:rPr>
                <w:sz w:val="19"/>
              </w:rPr>
              <w:t>≈ 04:30</w:t>
            </w:r>
          </w:p>
        </w:tc>
        <w:tc>
          <w:tcPr>
            <w:tcW w:type="dxa" w:w="1701"/>
          </w:tcPr>
          <w:p>
            <w:r/>
            <w:r>
              <w:rPr>
                <w:sz w:val="19"/>
              </w:rPr>
              <w:t>Revoke</w:t>
            </w:r>
          </w:p>
        </w:tc>
        <w:tc>
          <w:tcPr>
            <w:tcW w:type="dxa" w:w="6520"/>
          </w:tcPr>
          <w:p>
            <w:r/>
            <w:r>
              <w:rPr>
                <w:sz w:val="19"/>
              </w:rPr>
              <w:t>Invoke-ODAJitDelegation.ps1 -operation delete -Mode FullEA. Entzug prüfen, Ereignis + Mail erzeugen.</w:t>
            </w:r>
          </w:p>
        </w:tc>
      </w:tr>
      <w:tr>
        <w:tc>
          <w:tcPr>
            <w:tcW w:type="dxa" w:w="1134"/>
          </w:tcPr>
          <w:p>
            <w:r/>
            <w:r>
              <w:rPr>
                <w:sz w:val="19"/>
              </w:rPr>
              <w:t>08:00</w:t>
            </w:r>
          </w:p>
        </w:tc>
        <w:tc>
          <w:tcPr>
            <w:tcW w:type="dxa" w:w="1701"/>
          </w:tcPr>
          <w:p>
            <w:r/>
            <w:r>
              <w:rPr>
                <w:sz w:val="19"/>
              </w:rPr>
              <w:t>Deadline</w:t>
            </w:r>
          </w:p>
        </w:tc>
        <w:tc>
          <w:tcPr>
            <w:tcW w:type="dxa" w:w="6520"/>
          </w:tcPr>
          <w:p>
            <w:r/>
            <w:r>
              <w:rPr>
                <w:sz w:val="19"/>
              </w:rPr>
              <w:t>Falls noch nicht entzogen: Entzug erzwingen + Alarm „ODA überschreitet Fenster“.</w:t>
            </w:r>
          </w:p>
        </w:tc>
      </w:tr>
      <w:tr>
        <w:tc>
          <w:tcPr>
            <w:tcW w:type="dxa" w:w="1134"/>
          </w:tcPr>
          <w:p>
            <w:r/>
            <w:r>
              <w:rPr>
                <w:sz w:val="19"/>
              </w:rPr>
              <w:t>09:00</w:t>
            </w:r>
          </w:p>
        </w:tc>
        <w:tc>
          <w:tcPr>
            <w:tcW w:type="dxa" w:w="1701"/>
          </w:tcPr>
          <w:p>
            <w:r/>
            <w:r>
              <w:rPr>
                <w:sz w:val="19"/>
              </w:rPr>
              <w:t>PAM-TTL</w:t>
            </w:r>
          </w:p>
        </w:tc>
        <w:tc>
          <w:tcPr>
            <w:tcW w:type="dxa" w:w="6520"/>
          </w:tcPr>
          <w:p>
            <w:r/>
            <w:r>
              <w:rPr>
                <w:sz w:val="19"/>
              </w:rPr>
              <w:t>Die Mitgliedschaft läuft automatisch ab (letzte Absicherung, auch wenn der Tier-0-Host ausgefallen ist).</w:t>
            </w:r>
          </w:p>
        </w:tc>
      </w:tr>
    </w:tbl>
    <w:p>
      <w:pPr>
        <w:spacing w:after="40"/>
      </w:pPr>
    </w:p>
    <w:p>
      <w:pPr>
        <w:pStyle w:val="Heading2"/>
      </w:pPr>
      <w:r>
        <w:t>5.4 Warum eine Karenzzeit (Empfehlung 30 min)?</w:t>
      </w:r>
    </w:p>
    <w:p>
      <w:pPr>
        <w:pStyle w:val="ListBullet"/>
        <w:spacing w:after="40"/>
      </w:pPr>
      <w:r>
        <w:t>Zwischen den beiden Assessments kann es kurz so aussehen, als liefe keine Aufgabe. Das darf nicht zum vorzeitigen Entzug führen.</w:t>
      </w:r>
    </w:p>
    <w:p>
      <w:pPr>
        <w:pStyle w:val="ListBullet"/>
        <w:spacing w:after="40"/>
      </w:pPr>
      <w:r>
        <w:t>Aufgaben-Wiederholungen (Neustart bei Fehler) oder Nachzügler-Prozesse sollen noch abgedeckt sein.</w:t>
      </w:r>
    </w:p>
    <w:p>
      <w:pPr>
        <w:pStyle w:val="ListBullet"/>
        <w:spacing w:after="40"/>
      </w:pPr>
      <w:r>
        <w:t>Das Sicherheitsrisiko ist gering: Nach dem Prozessende ist die Batch-Anmeldesitzung geschlossen. Die EA-Tickets auf dem Collector sind damit verworfen.</w:t>
      </w:r>
    </w:p>
    <w:p>
      <w:pPr>
        <w:pStyle w:val="ListBullet"/>
        <w:spacing w:after="40"/>
      </w:pPr>
      <w:r>
        <w:t>Die Karenzzeit kann nach 3–4 gemessenen Läufen auf 15 min reduziert werden.</w:t>
      </w:r>
    </w:p>
    <w:p>
      <w:pPr>
        <w:pStyle w:val="Heading2"/>
      </w:pPr>
      <w:r>
        <w:t>5.5 Warum der Grant 60 min vorher – und nicht beim Prozessstart?</w:t>
      </w:r>
    </w:p>
    <w:p>
      <w:pPr>
        <w:pStyle w:val="ListBullet"/>
        <w:spacing w:after="40"/>
      </w:pPr>
      <w:r>
        <w:t>Gruppenmitgliedschaften stehen im Kerberos-TGT, das bei der Anmeldung erzeugt wird. Wer erst beim Start von OMSAssessment.exe vergibt, kommt zu spät: Der Prozess läuft dann ohne EA.</w:t>
      </w:r>
    </w:p>
    <w:p>
      <w:pPr>
        <w:pStyle w:val="ListBullet"/>
        <w:spacing w:after="40"/>
      </w:pPr>
      <w:r>
        <w:t>Enterprise Admins ist eine universelle Gruppe in der Forest-Root-Domäne. Das TGT für das gMSA erstellt aber ein DC in der Domäne des gMSA. Dieser ermittelt die universellen Gruppen über einen Global Catalog. Deshalb muss die Änderung VOR dem Start auf dem GC im Standort des Collectors angekommen sein. Sync-ADObject macht das sofort, die 60 min sind Puffer.</w:t>
      </w:r>
    </w:p>
    <w:p>
      <w:pPr>
        <w:pStyle w:val="Heading2"/>
      </w:pPr>
      <w:r>
        <w:t>5.6 Warum nicht direkt nach dem Start entziehen?</w:t>
      </w:r>
    </w:p>
    <w:p>
      <w:pPr>
        <w:spacing w:after="80"/>
      </w:pPr>
      <w:r>
        <w:rPr>
          <w:i w:val="0"/>
        </w:rPr>
        <w:t>Technisch bleibt die EA-SID im bereits ausgestellten TGT, Kerberos-Zugriffe würden also weiter funktionieren. NTLM-Zugriffe (z. B. auf IP-Adressen), neue Anmeldungen von Kindprozessen und TGT-Erneuerungen werten die Gruppenmitgliedschaft aber neu aus. Das führt zu unvollständigen Daten, ohne dass ein klarer Fehler gemeldet wird. Deshalb wird erst nach dem Prozessende entzogen.</w:t>
      </w:r>
    </w:p>
    <w:p>
      <w:pPr>
        <w:pStyle w:val="Heading1"/>
      </w:pPr>
      <w:r>
        <w:t>6. Mehrere getrennte AD-Forests</w:t>
      </w:r>
    </w:p>
    <w:p>
      <w:pPr>
        <w:pStyle w:val="Heading2"/>
      </w:pPr>
      <w:r>
        <w:t>6.1 Grundsatz: eine vollständige Instanz pro Forest</w:t>
      </w:r>
    </w:p>
    <w:p>
      <w:pPr>
        <w:spacing w:after="80"/>
      </w:pPr>
      <w:r>
        <w:rPr>
          <w:i w:val="0"/>
        </w:rPr>
        <w:t>Der Kunde betreibt mehrere voneinander getrennte AD-Forests. Der Forest ist die Sicherheitsgrenze im AD. Deshalb wird die gesamte Lösung (Collector, ODA-gMSA, JIT-Executor, Tier-0-Host, Log Analytics Workspace) je Forest einmal aufgebaut. Gemeinsam genutzt werden nur die Azure-Subscription und die Skripte.</w:t>
      </w:r>
    </w:p>
    <w:p>
      <w:pPr>
        <w:pStyle w:val="ListBullet"/>
        <w:spacing w:after="40"/>
      </w:pPr>
      <w:r>
        <w:rPr>
          <w:b/>
        </w:rPr>
        <w:t xml:space="preserve">Collector je Forest: </w:t>
      </w:r>
      <w:r>
        <w:t>Der Collector muss Mitglied einer Domäne des zu prüfenden Forests sein (Prerequisites AD Assessment). Er braucht RPC, SMB, WMI, Remote Registry, LDAP und DCOM zu allen DCs. Ein Forest-übergreifender Collector ist daher nicht vorgesehen.</w:t>
      </w:r>
    </w:p>
    <w:p>
      <w:pPr>
        <w:pStyle w:val="ListBullet"/>
        <w:spacing w:after="40"/>
      </w:pPr>
      <w:r>
        <w:rPr>
          <w:b/>
        </w:rPr>
        <w:t xml:space="preserve">ODA-gMSA je Forest: </w:t>
      </w:r>
      <w:r>
        <w:t>Ein gMSA kann nur EA im eigenen Forest werden. Eine Vertrauensstellung zwischen den Forests wird nicht gebraucht und sollte dafür auch nicht angelegt werden.</w:t>
      </w:r>
    </w:p>
    <w:p>
      <w:pPr>
        <w:pStyle w:val="ListBullet"/>
        <w:spacing w:after="40"/>
      </w:pPr>
      <w:r>
        <w:rPr>
          <w:b/>
        </w:rPr>
        <w:t xml:space="preserve">JIT-Executor je Forest: </w:t>
      </w:r>
      <w:r>
        <w:t>svc-ODA-JIT$ und der Tier-0-Host gehören zum Tier 0 des jeweiligen Forests. Ein zentraler Executor für alle Forests würde die Forest-Trennung aufheben, weil ein einzelnes Konto dann in jedem Forest Tier-0 wäre.</w:t>
      </w:r>
    </w:p>
    <w:p>
      <w:pPr>
        <w:pStyle w:val="ListBullet"/>
        <w:spacing w:after="40"/>
      </w:pPr>
      <w:r>
        <w:rPr>
          <w:b/>
        </w:rPr>
        <w:t xml:space="preserve">Gleiche Skripte, eigene Konfiguration: </w:t>
      </w:r>
      <w:r>
        <w:t>Invoke-ODAJitDelegation.ps1, Grant und Watcher bleiben gleich. Je Forest gibt es eine eigene Parameterdatei (z. B. ODA-JIT.&lt;Forest&gt;.psd1) mit Root-DC, Standort-GCs, Gruppen-DN, Collector, WorkingDirectory und Zeitfenster.</w:t>
      </w:r>
    </w:p>
    <w:p>
      <w:pPr>
        <w:pStyle w:val="Heading2"/>
      </w:pPr>
      <w:r>
        <w:t>6.2 Azure- und Engage-Center-Zuordnung</w:t>
      </w:r>
    </w:p>
    <w:p>
      <w:pPr>
        <w:spacing w:after="80"/>
      </w:pPr>
      <w:r>
        <w:rPr>
          <w:i w:val="0"/>
        </w:rPr>
        <w:t>Laut Microsoft Learn (Engage Center Connector, Stand 09/2026) ist der Engage Center Connector eine Azure-Ressource (Resource Provider Microsoft.ServicesHub) in einer Subscription, die mit dem Unified-Vertrag verknüpft ist. Wichtig für mehrere Forests:</w:t>
      </w:r>
    </w:p>
    <w:p>
      <w:pPr>
        <w:pStyle w:val="ListBullet"/>
        <w:spacing w:after="40"/>
      </w:pPr>
      <w:r>
        <w:rPr>
          <w:b/>
        </w:rPr>
        <w:t xml:space="preserve">Ein Connector, mehrere LAWs: </w:t>
      </w:r>
      <w:r>
        <w:t>„You connect multiple LA workspaces to the same connector to separate data by business unit, environment, or resource group, and switch between them as needed.“ Das Portal zeigt immer genau einen aktiven Workspace an. Zwischen den Workspaces wird über ein Dropdown gewechselt.</w:t>
      </w:r>
    </w:p>
    <w:p>
      <w:pPr>
        <w:pStyle w:val="ListBullet"/>
        <w:spacing w:after="40"/>
      </w:pPr>
      <w:r>
        <w:rPr>
          <w:b/>
        </w:rPr>
        <w:t xml:space="preserve">Assessments je LAW: </w:t>
      </w:r>
      <w:r>
        <w:t>Assessments (AD, AD Security) werden im Kontext des gerade aktiven LAW hinzugefügt. Dabei werden Maschine (Arc-Server/Azure-VM) und Logging-Pfad (= WorkingDirectory) gewählt.</w:t>
      </w:r>
    </w:p>
    <w:p>
      <w:pPr>
        <w:pStyle w:val="ListBullet"/>
        <w:spacing w:after="40"/>
      </w:pPr>
      <w:r>
        <w:rPr>
          <w:b/>
        </w:rPr>
        <w:t xml:space="preserve">Collector in derselben RG wie der LAW: </w:t>
      </w:r>
      <w:r>
        <w:t>Die Maschinenauswahl zeigt nur Arc-Server bzw. VMs in derselben Subscription/Resource Group wie der aktive LAW. Wenn Collector und LAW eines Forests in einer eigenen RG liegen, kann man im Engage Center gar nicht versehentlich den Collector eines anderen Forests auswählen.</w:t>
      </w:r>
    </w:p>
    <w:p>
      <w:pPr>
        <w:pStyle w:val="ListBullet"/>
        <w:spacing w:after="40"/>
      </w:pPr>
      <w:r>
        <w:rPr>
          <w:b/>
        </w:rPr>
        <w:t xml:space="preserve">Sichtbarkeit nach RBAC: </w:t>
      </w:r>
      <w:r>
        <w:t>Man sieht nur die verbundenen LAWs, auf die man Rechte hat. Mit Azure-RBAC pro Forest-RG lässt sich das Team je Forest trennen.</w:t>
      </w:r>
    </w:p>
    <w:p>
      <w:pPr>
        <w:pStyle w:val="ListBullet"/>
        <w:spacing w:after="40"/>
      </w:pPr>
      <w:r>
        <w:rPr>
          <w:b/>
        </w:rPr>
        <w:t xml:space="preserve">Public Network Access: </w:t>
      </w:r>
      <w:r>
        <w:t>Der LAW muss „Public Network Access“ aktiviert haben. Sonst kann der Connector die Ergebnisse nicht abrufen.</w:t>
      </w:r>
    </w:p>
    <w:p>
      <w:pPr>
        <w:spacing w:after="80"/>
      </w:pPr>
      <w:r>
        <w:rPr>
          <w:i w:val="0"/>
        </w:rPr>
        <w:t>Empfohlen wird daher:</w:t>
      </w:r>
    </w:p>
    <w:tbl>
      <w:tblPr>
        <w:tblStyle w:val="TableGrid"/>
        <w:tblW w:type="auto" w:w="0"/>
        <w:jc w:val="center"/>
        <w:tblLayout w:type="fixed"/>
        <w:tblLook w:firstColumn="1" w:firstRow="1" w:lastColumn="0" w:lastRow="0" w:noHBand="0" w:noVBand="1" w:val="04A0"/>
      </w:tblPr>
      <w:tblGrid>
        <w:gridCol w:w="1927"/>
        <w:gridCol w:w="3572"/>
        <w:gridCol w:w="3855"/>
      </w:tblGrid>
      <w:tr>
        <w:tc>
          <w:tcPr>
            <w:tcW w:type="dxa" w:w="1928"/>
            <w:shd w:val="clear" w:color="auto" w:fill="1F3A5F"/>
          </w:tcPr>
          <w:p>
            <w:r/>
            <w:r>
              <w:rPr>
                <w:b/>
                <w:color w:val="FFFFFF"/>
                <w:sz w:val="19"/>
              </w:rPr>
              <w:t>Ebene</w:t>
            </w:r>
          </w:p>
        </w:tc>
        <w:tc>
          <w:tcPr>
            <w:tcW w:type="dxa" w:w="3572"/>
            <w:shd w:val="clear" w:color="auto" w:fill="1F3A5F"/>
          </w:tcPr>
          <w:p>
            <w:r/>
            <w:r>
              <w:rPr>
                <w:b/>
                <w:color w:val="FFFFFF"/>
                <w:sz w:val="19"/>
              </w:rPr>
              <w:t>Empfehlung</w:t>
            </w:r>
          </w:p>
        </w:tc>
        <w:tc>
          <w:tcPr>
            <w:tcW w:type="dxa" w:w="3855"/>
            <w:shd w:val="clear" w:color="auto" w:fill="1F3A5F"/>
          </w:tcPr>
          <w:p>
            <w:r/>
            <w:r>
              <w:rPr>
                <w:b/>
                <w:color w:val="FFFFFF"/>
                <w:sz w:val="19"/>
              </w:rPr>
              <w:t>Begründung</w:t>
            </w:r>
          </w:p>
        </w:tc>
      </w:tr>
      <w:tr>
        <w:tc>
          <w:tcPr>
            <w:tcW w:type="dxa" w:w="1928"/>
          </w:tcPr>
          <w:p>
            <w:r/>
            <w:r>
              <w:rPr>
                <w:sz w:val="19"/>
              </w:rPr>
              <w:t>Subscription</w:t>
            </w:r>
          </w:p>
        </w:tc>
        <w:tc>
          <w:tcPr>
            <w:tcW w:type="dxa" w:w="3572"/>
          </w:tcPr>
          <w:p>
            <w:r/>
            <w:r>
              <w:rPr>
                <w:sz w:val="19"/>
              </w:rPr>
              <w:t>Eine gemeinsame Subscription (mit dem Unified-Vertrag verknüpft) für alle Forests</w:t>
            </w:r>
          </w:p>
        </w:tc>
        <w:tc>
          <w:tcPr>
            <w:tcW w:type="dxa" w:w="3855"/>
          </w:tcPr>
          <w:p>
            <w:r/>
            <w:r>
              <w:rPr>
                <w:sz w:val="19"/>
              </w:rPr>
              <w:t>So wie vom Kunden geplant: einfache Abrechnung und Verwaltung</w:t>
            </w:r>
          </w:p>
        </w:tc>
      </w:tr>
      <w:tr>
        <w:tc>
          <w:tcPr>
            <w:tcW w:type="dxa" w:w="1928"/>
          </w:tcPr>
          <w:p>
            <w:r/>
            <w:r>
              <w:rPr>
                <w:sz w:val="19"/>
              </w:rPr>
              <w:t>Engage Center Connector</w:t>
            </w:r>
          </w:p>
        </w:tc>
        <w:tc>
          <w:tcPr>
            <w:tcW w:type="dxa" w:w="3572"/>
          </w:tcPr>
          <w:p>
            <w:r/>
            <w:r>
              <w:rPr>
                <w:sz w:val="19"/>
              </w:rPr>
              <w:t>EIN Connector (Azure-Ressource) für alle Forests</w:t>
            </w:r>
          </w:p>
        </w:tc>
        <w:tc>
          <w:tcPr>
            <w:tcW w:type="dxa" w:w="3855"/>
          </w:tcPr>
          <w:p>
            <w:r/>
            <w:r>
              <w:rPr>
                <w:sz w:val="19"/>
              </w:rPr>
              <w:t>Laut Microsoft Learn unterstützt: mehrere LAW-Verbindungen je Connector</w:t>
            </w:r>
          </w:p>
        </w:tc>
      </w:tr>
      <w:tr>
        <w:tc>
          <w:tcPr>
            <w:tcW w:type="dxa" w:w="1928"/>
          </w:tcPr>
          <w:p>
            <w:r/>
            <w:r>
              <w:rPr>
                <w:sz w:val="19"/>
              </w:rPr>
              <w:t>Resource Group</w:t>
            </w:r>
          </w:p>
        </w:tc>
        <w:tc>
          <w:tcPr>
            <w:tcW w:type="dxa" w:w="3572"/>
          </w:tcPr>
          <w:p>
            <w:r/>
            <w:r>
              <w:rPr>
                <w:sz w:val="19"/>
              </w:rPr>
              <w:t>Eine RG je Forest mit Arc-Collector, LAW und DCR</w:t>
            </w:r>
          </w:p>
        </w:tc>
        <w:tc>
          <w:tcPr>
            <w:tcW w:type="dxa" w:w="3855"/>
          </w:tcPr>
          <w:p>
            <w:r/>
            <w:r>
              <w:rPr>
                <w:sz w:val="19"/>
              </w:rPr>
              <w:t>Engage Center bietet nur Maschinen aus der RG des aktiven LAW an; Azure-RBAC je Forest</w:t>
            </w:r>
          </w:p>
        </w:tc>
      </w:tr>
      <w:tr>
        <w:tc>
          <w:tcPr>
            <w:tcW w:type="dxa" w:w="1928"/>
          </w:tcPr>
          <w:p>
            <w:r/>
            <w:r>
              <w:rPr>
                <w:sz w:val="19"/>
              </w:rPr>
              <w:t>Log Analytics Workspace</w:t>
            </w:r>
          </w:p>
        </w:tc>
        <w:tc>
          <w:tcPr>
            <w:tcW w:type="dxa" w:w="3572"/>
          </w:tcPr>
          <w:p>
            <w:r/>
            <w:r>
              <w:rPr>
                <w:sz w:val="19"/>
              </w:rPr>
              <w:t>Ein LAW je Forest, als Verbindung im Connector hinzugefügt</w:t>
            </w:r>
          </w:p>
        </w:tc>
        <w:tc>
          <w:tcPr>
            <w:tcW w:type="dxa" w:w="3855"/>
          </w:tcPr>
          <w:p>
            <w:r/>
            <w:r>
              <w:rPr>
                <w:sz w:val="19"/>
              </w:rPr>
              <w:t>Datentrennung, eigene Workbooks/Reports je Forest, Sichtbarkeit nach RBAC</w:t>
            </w:r>
          </w:p>
        </w:tc>
      </w:tr>
      <w:tr>
        <w:tc>
          <w:tcPr>
            <w:tcW w:type="dxa" w:w="1928"/>
          </w:tcPr>
          <w:p>
            <w:r/>
            <w:r>
              <w:rPr>
                <w:sz w:val="19"/>
              </w:rPr>
              <w:t>Assessments</w:t>
            </w:r>
          </w:p>
        </w:tc>
        <w:tc>
          <w:tcPr>
            <w:tcW w:type="dxa" w:w="3572"/>
          </w:tcPr>
          <w:p>
            <w:r/>
            <w:r>
              <w:rPr>
                <w:sz w:val="19"/>
              </w:rPr>
              <w:t>Je LAW: AD + AD Security mit dem Collector dieses Forests</w:t>
            </w:r>
          </w:p>
        </w:tc>
        <w:tc>
          <w:tcPr>
            <w:tcW w:type="dxa" w:w="3855"/>
          </w:tcPr>
          <w:p>
            <w:r/>
            <w:r>
              <w:rPr>
                <w:sz w:val="19"/>
              </w:rPr>
              <w:t>Ergebnisse und Remediation sind pro Forest getrennt</w:t>
            </w:r>
          </w:p>
        </w:tc>
      </w:tr>
      <w:tr>
        <w:tc>
          <w:tcPr>
            <w:tcW w:type="dxa" w:w="1928"/>
          </w:tcPr>
          <w:p>
            <w:r/>
            <w:r>
              <w:rPr>
                <w:sz w:val="19"/>
              </w:rPr>
              <w:t>Collector (Arc + AMA)</w:t>
            </w:r>
          </w:p>
        </w:tc>
        <w:tc>
          <w:tcPr>
            <w:tcW w:type="dxa" w:w="3572"/>
          </w:tcPr>
          <w:p>
            <w:r/>
            <w:r>
              <w:rPr>
                <w:sz w:val="19"/>
              </w:rPr>
              <w:t>Je Forest ein Arc-Server mit AMA-Extension und einer DCR auf den LAW dieses Forests</w:t>
            </w:r>
          </w:p>
        </w:tc>
        <w:tc>
          <w:tcPr>
            <w:tcW w:type="dxa" w:w="3855"/>
          </w:tcPr>
          <w:p>
            <w:r/>
            <w:r>
              <w:rPr>
                <w:sz w:val="19"/>
              </w:rPr>
              <w:t>Zuordnung Collector → LAW ist eindeutig</w:t>
            </w:r>
          </w:p>
        </w:tc>
      </w:tr>
    </w:tbl>
    <w:p>
      <w:pPr>
        <w:spacing w:after="40"/>
      </w:pP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118"/>
            <w:shd w:val="clear" w:color="auto" w:fill="1F3A5F"/>
          </w:tcPr>
          <w:p>
            <w:r/>
            <w:r>
              <w:rPr>
                <w:b/>
                <w:color w:val="FFFFFF"/>
                <w:sz w:val="19"/>
              </w:rPr>
              <w:t>Aktion</w:t>
            </w:r>
          </w:p>
        </w:tc>
        <w:tc>
          <w:tcPr>
            <w:tcW w:type="dxa" w:w="3118"/>
            <w:shd w:val="clear" w:color="auto" w:fill="1F3A5F"/>
          </w:tcPr>
          <w:p>
            <w:r/>
            <w:r>
              <w:rPr>
                <w:b/>
                <w:color w:val="FFFFFF"/>
                <w:sz w:val="19"/>
              </w:rPr>
              <w:t>Connector-Subscription</w:t>
            </w:r>
          </w:p>
        </w:tc>
        <w:tc>
          <w:tcPr>
            <w:tcW w:type="dxa" w:w="3118"/>
            <w:shd w:val="clear" w:color="auto" w:fill="1F3A5F"/>
          </w:tcPr>
          <w:p>
            <w:r/>
            <w:r>
              <w:rPr>
                <w:b/>
                <w:color w:val="FFFFFF"/>
                <w:sz w:val="19"/>
              </w:rPr>
              <w:t>LAW-Scope</w:t>
            </w:r>
          </w:p>
        </w:tc>
      </w:tr>
      <w:tr>
        <w:tc>
          <w:tcPr>
            <w:tcW w:type="dxa" w:w="3118"/>
          </w:tcPr>
          <w:p>
            <w:r/>
            <w:r>
              <w:rPr>
                <w:sz w:val="19"/>
              </w:rPr>
              <w:t>Connector anlegen (bestehender LAW)</w:t>
            </w:r>
          </w:p>
        </w:tc>
        <w:tc>
          <w:tcPr>
            <w:tcW w:type="dxa" w:w="3118"/>
          </w:tcPr>
          <w:p>
            <w:r/>
            <w:r>
              <w:rPr>
                <w:sz w:val="19"/>
              </w:rPr>
              <w:t>Owner / Contributor / Services Hub Operator</w:t>
            </w:r>
          </w:p>
        </w:tc>
        <w:tc>
          <w:tcPr>
            <w:tcW w:type="dxa" w:w="3118"/>
          </w:tcPr>
          <w:p>
            <w:r/>
            <w:r>
              <w:rPr>
                <w:sz w:val="19"/>
              </w:rPr>
              <w:t>Contributor</w:t>
            </w:r>
          </w:p>
        </w:tc>
      </w:tr>
      <w:tr>
        <w:tc>
          <w:tcPr>
            <w:tcW w:type="dxa" w:w="3118"/>
          </w:tcPr>
          <w:p>
            <w:r/>
            <w:r>
              <w:rPr>
                <w:sz w:val="19"/>
              </w:rPr>
              <w:t>Connector anlegen (neuer LAW)</w:t>
            </w:r>
          </w:p>
        </w:tc>
        <w:tc>
          <w:tcPr>
            <w:tcW w:type="dxa" w:w="3118"/>
          </w:tcPr>
          <w:p>
            <w:r/>
            <w:r>
              <w:rPr>
                <w:sz w:val="19"/>
              </w:rPr>
              <w:t>Owner / Contributor / Services Hub Operator</w:t>
            </w:r>
          </w:p>
        </w:tc>
        <w:tc>
          <w:tcPr>
            <w:tcW w:type="dxa" w:w="3118"/>
          </w:tcPr>
          <w:p>
            <w:r/>
            <w:r>
              <w:rPr>
                <w:sz w:val="19"/>
              </w:rPr>
              <w:t>Owner / Contributor</w:t>
            </w:r>
          </w:p>
        </w:tc>
      </w:tr>
      <w:tr>
        <w:tc>
          <w:tcPr>
            <w:tcW w:type="dxa" w:w="3118"/>
          </w:tcPr>
          <w:p>
            <w:r/>
            <w:r>
              <w:rPr>
                <w:sz w:val="19"/>
              </w:rPr>
              <w:t>Assessments hinzufügen/konfigurieren</w:t>
            </w:r>
          </w:p>
        </w:tc>
        <w:tc>
          <w:tcPr>
            <w:tcW w:type="dxa" w:w="3118"/>
          </w:tcPr>
          <w:p>
            <w:r/>
            <w:r>
              <w:rPr>
                <w:sz w:val="19"/>
              </w:rPr>
              <w:t>Owner / Contributor / Services Hub Operator</w:t>
            </w:r>
          </w:p>
        </w:tc>
        <w:tc>
          <w:tcPr>
            <w:tcW w:type="dxa" w:w="3118"/>
          </w:tcPr>
          <w:p>
            <w:r/>
            <w:r>
              <w:rPr>
                <w:sz w:val="19"/>
              </w:rPr>
              <w:t>Contributor (Owner/Contributor auf der RG)</w:t>
            </w:r>
          </w:p>
        </w:tc>
      </w:tr>
      <w:tr>
        <w:tc>
          <w:tcPr>
            <w:tcW w:type="dxa" w:w="3118"/>
          </w:tcPr>
          <w:p>
            <w:r/>
            <w:r>
              <w:rPr>
                <w:sz w:val="19"/>
              </w:rPr>
              <w:t>Assessments ansehen</w:t>
            </w:r>
          </w:p>
        </w:tc>
        <w:tc>
          <w:tcPr>
            <w:tcW w:type="dxa" w:w="3118"/>
          </w:tcPr>
          <w:p>
            <w:r/>
            <w:r>
              <w:rPr>
                <w:sz w:val="19"/>
              </w:rPr>
              <w:t>Services Hub Operator (least privilege)</w:t>
            </w:r>
          </w:p>
        </w:tc>
        <w:tc>
          <w:tcPr>
            <w:tcW w:type="dxa" w:w="3118"/>
          </w:tcPr>
          <w:p>
            <w:r/>
            <w:r>
              <w:rPr>
                <w:sz w:val="19"/>
              </w:rPr>
              <w:t>Contributor</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Hinweis: </w:t>
            </w:r>
            <w:r>
              <w:rPr>
                <w:sz w:val="19"/>
              </w:rPr>
              <w:t>Der ältere Setup Guide (Services Hub) sagt, dass alle Arc-Maschinen einer Subscription in jedem Workspace erscheinen. Im Engage Center Connector ist die Maschinenauswahl auf die Subscription/RG des aktiven LAW begrenzt. Eine eindeutige Namenskonvention (z. B. ODA-COL-&lt;FOREST&gt;) bleibt trotzdem sinnvoll. Die Rollen auf LAW-Ebene (Contributor) geben Schreibrechte auf die Forest-RG. Sie gehören deshalb nur dem Betriebsteam des jeweiligen Forests (siehe 6.3).</w:t>
            </w:r>
          </w:p>
        </w:tc>
      </w:tr>
    </w:tbl>
    <w:p>
      <w:pPr>
        <w:spacing w:after="40"/>
      </w:pPr>
    </w:p>
    <w:p>
      <w:pPr>
        <w:pStyle w:val="Heading2"/>
      </w:pPr>
      <w:r>
        <w:t>6.3 Sicherheit: Azure-Steuerungsebene der Collectors</w:t>
      </w:r>
    </w:p>
    <w:p>
      <w:pPr>
        <w:spacing w:after="80"/>
      </w:pPr>
      <w:r>
        <w:rPr>
          <w:i w:val="0"/>
        </w:rPr>
        <w:t>Ein Arc-Collector, auf dem ein gMSA zeitweise Enterprise Admin wird, ist ein Tier-0-Asset seines Forests. Wer in Azure Code auf dem Collector ausführen kann (Run Command, Extensions, Contributor auf der Arc-Ressource), kann während des Fensters EA-Rechte missbrauchen. Daher:</w:t>
      </w:r>
    </w:p>
    <w:p>
      <w:pPr>
        <w:pStyle w:val="ListBullet"/>
        <w:spacing w:after="40"/>
      </w:pPr>
      <w:r>
        <w:t>Azure-RBAC auf der RG eines Forests nur für die Tier-0-Administratoren dieses Forests vergeben. Keine Forest-übergreifenden Contributor-Rollen auf Subscription-Ebene für den Betrieb.</w:t>
      </w:r>
    </w:p>
    <w:p>
      <w:pPr>
        <w:pStyle w:val="ListBullet"/>
        <w:spacing w:after="40"/>
      </w:pPr>
      <w:r>
        <w:t>Auf dem Collector eine Extension-Allowlist setzen, z. B. azcmagent config set extensions.allowlist "Microsoft.Azure.Monitor/AzureMonitorWindowsAgent". Remote-Ausführung (Run Command) einschränken.</w:t>
      </w:r>
    </w:p>
    <w:p>
      <w:pPr>
        <w:pStyle w:val="ListBullet"/>
        <w:spacing w:after="40"/>
      </w:pPr>
      <w:r>
        <w:t>Der Zugriff von Microsoft (CSA/Engineer) erfolgt nur lesend über Log Analytics Reader auf dem LAW, nie über die Collector-Ressource.</w:t>
      </w:r>
    </w:p>
    <w:p>
      <w:pPr>
        <w:pStyle w:val="Heading2"/>
      </w:pPr>
      <w:r>
        <w:t>6.4 Planungsmatrix (je Forest auszufüllen)</w:t>
      </w:r>
    </w:p>
    <w:tbl>
      <w:tblPr>
        <w:tblStyle w:val="TableGrid"/>
        <w:tblW w:type="auto" w:w="0"/>
        <w:jc w:val="center"/>
        <w:tblLayout w:type="fixed"/>
        <w:tblLook w:firstColumn="1" w:firstRow="1" w:lastColumn="0" w:lastRow="0" w:noHBand="0" w:noVBand="1" w:val="04A0"/>
      </w:tblPr>
      <w:tblGrid>
        <w:gridCol w:w="1474"/>
        <w:gridCol w:w="1247"/>
        <w:gridCol w:w="1587"/>
        <w:gridCol w:w="1360"/>
        <w:gridCol w:w="1247"/>
        <w:gridCol w:w="1474"/>
        <w:gridCol w:w="1247"/>
      </w:tblGrid>
      <w:tr>
        <w:tc>
          <w:tcPr>
            <w:tcW w:type="dxa" w:w="1474"/>
            <w:shd w:val="clear" w:color="auto" w:fill="1F3A5F"/>
          </w:tcPr>
          <w:p>
            <w:r/>
            <w:r>
              <w:rPr>
                <w:b/>
                <w:color w:val="FFFFFF"/>
                <w:sz w:val="19"/>
              </w:rPr>
              <w:t>Forest</w:t>
            </w:r>
          </w:p>
        </w:tc>
        <w:tc>
          <w:tcPr>
            <w:tcW w:type="dxa" w:w="1247"/>
            <w:shd w:val="clear" w:color="auto" w:fill="1F3A5F"/>
          </w:tcPr>
          <w:p>
            <w:r/>
            <w:r>
              <w:rPr>
                <w:b/>
                <w:color w:val="FFFFFF"/>
                <w:sz w:val="19"/>
              </w:rPr>
              <w:t>Collector</w:t>
            </w:r>
          </w:p>
        </w:tc>
        <w:tc>
          <w:tcPr>
            <w:tcW w:type="dxa" w:w="1587"/>
            <w:shd w:val="clear" w:color="auto" w:fill="1F3A5F"/>
          </w:tcPr>
          <w:p>
            <w:r/>
            <w:r>
              <w:rPr>
                <w:b/>
                <w:color w:val="FFFFFF"/>
                <w:sz w:val="19"/>
              </w:rPr>
              <w:t>RG / LAW</w:t>
            </w:r>
          </w:p>
        </w:tc>
        <w:tc>
          <w:tcPr>
            <w:tcW w:type="dxa" w:w="1361"/>
            <w:shd w:val="clear" w:color="auto" w:fill="1F3A5F"/>
          </w:tcPr>
          <w:p>
            <w:r/>
            <w:r>
              <w:rPr>
                <w:b/>
                <w:color w:val="FFFFFF"/>
                <w:sz w:val="19"/>
              </w:rPr>
              <w:t>LAW-Verbindung im Connector</w:t>
            </w:r>
          </w:p>
        </w:tc>
        <w:tc>
          <w:tcPr>
            <w:tcW w:type="dxa" w:w="1247"/>
            <w:shd w:val="clear" w:color="auto" w:fill="1F3A5F"/>
          </w:tcPr>
          <w:p>
            <w:r/>
            <w:r>
              <w:rPr>
                <w:b/>
                <w:color w:val="FFFFFF"/>
                <w:sz w:val="19"/>
              </w:rPr>
              <w:t>ODA-gMSA</w:t>
            </w:r>
          </w:p>
        </w:tc>
        <w:tc>
          <w:tcPr>
            <w:tcW w:type="dxa" w:w="1474"/>
            <w:shd w:val="clear" w:color="auto" w:fill="1F3A5F"/>
          </w:tcPr>
          <w:p>
            <w:r/>
            <w:r>
              <w:rPr>
                <w:b/>
                <w:color w:val="FFFFFF"/>
                <w:sz w:val="19"/>
              </w:rPr>
              <w:t>JIT-Executor / Tier-0-Host</w:t>
            </w:r>
          </w:p>
        </w:tc>
        <w:tc>
          <w:tcPr>
            <w:tcW w:type="dxa" w:w="1247"/>
            <w:shd w:val="clear" w:color="auto" w:fill="1F3A5F"/>
          </w:tcPr>
          <w:p>
            <w:r/>
            <w:r>
              <w:rPr>
                <w:b/>
                <w:color w:val="FFFFFF"/>
                <w:sz w:val="19"/>
              </w:rPr>
              <w:t>Fenster (AD / AD Sec)</w:t>
            </w:r>
          </w:p>
        </w:tc>
      </w:tr>
      <w:tr>
        <w:tc>
          <w:tcPr>
            <w:tcW w:type="dxa" w:w="1474"/>
          </w:tcPr>
          <w:p>
            <w:r/>
            <w:r>
              <w:rPr>
                <w:sz w:val="19"/>
              </w:rPr>
              <w:t>forest-a.example</w:t>
            </w:r>
          </w:p>
        </w:tc>
        <w:tc>
          <w:tcPr>
            <w:tcW w:type="dxa" w:w="1247"/>
          </w:tcPr>
          <w:p>
            <w:r/>
            <w:r>
              <w:rPr>
                <w:sz w:val="19"/>
              </w:rPr>
              <w:t>ODA-COL-A</w:t>
            </w:r>
          </w:p>
        </w:tc>
        <w:tc>
          <w:tcPr>
            <w:tcW w:type="dxa" w:w="1587"/>
          </w:tcPr>
          <w:p>
            <w:r/>
            <w:r>
              <w:rPr>
                <w:sz w:val="19"/>
              </w:rPr>
              <w:t>rg-oda-a / law-oda-a</w:t>
            </w:r>
          </w:p>
        </w:tc>
        <w:tc>
          <w:tcPr>
            <w:tcW w:type="dxa" w:w="1361"/>
          </w:tcPr>
          <w:p>
            <w:r/>
            <w:r>
              <w:rPr>
                <w:sz w:val="19"/>
              </w:rPr>
              <w:t>ecc-connector → law-oda-a</w:t>
            </w:r>
          </w:p>
        </w:tc>
        <w:tc>
          <w:tcPr>
            <w:tcW w:type="dxa" w:w="1247"/>
          </w:tcPr>
          <w:p>
            <w:r/>
            <w:r>
              <w:rPr>
                <w:sz w:val="19"/>
              </w:rPr>
              <w:t>gMSA-ODA-A$</w:t>
            </w:r>
          </w:p>
        </w:tc>
        <w:tc>
          <w:tcPr>
            <w:tcW w:type="dxa" w:w="1474"/>
          </w:tcPr>
          <w:p>
            <w:r/>
            <w:r>
              <w:rPr>
                <w:sz w:val="19"/>
              </w:rPr>
              <w:t>svc-ODA-JIT$ @ PAW-A</w:t>
            </w:r>
          </w:p>
        </w:tc>
        <w:tc>
          <w:tcPr>
            <w:tcW w:type="dxa" w:w="1247"/>
          </w:tcPr>
          <w:p>
            <w:r/>
            <w:r>
              <w:rPr>
                <w:sz w:val="19"/>
              </w:rPr>
              <w:t>So 02:00 / 02:30</w:t>
            </w:r>
          </w:p>
        </w:tc>
      </w:tr>
      <w:tr>
        <w:tc>
          <w:tcPr>
            <w:tcW w:type="dxa" w:w="1474"/>
          </w:tcPr>
          <w:p>
            <w:r/>
            <w:r>
              <w:rPr>
                <w:sz w:val="19"/>
              </w:rPr>
              <w:t>forest-b.example</w:t>
            </w:r>
          </w:p>
        </w:tc>
        <w:tc>
          <w:tcPr>
            <w:tcW w:type="dxa" w:w="1247"/>
          </w:tcPr>
          <w:p>
            <w:r/>
            <w:r>
              <w:rPr>
                <w:sz w:val="19"/>
              </w:rPr>
              <w:t>ODA-COL-B</w:t>
            </w:r>
          </w:p>
        </w:tc>
        <w:tc>
          <w:tcPr>
            <w:tcW w:type="dxa" w:w="1587"/>
          </w:tcPr>
          <w:p>
            <w:r/>
            <w:r>
              <w:rPr>
                <w:sz w:val="19"/>
              </w:rPr>
              <w:t>rg-oda-b / law-oda-b</w:t>
            </w:r>
          </w:p>
        </w:tc>
        <w:tc>
          <w:tcPr>
            <w:tcW w:type="dxa" w:w="1361"/>
          </w:tcPr>
          <w:p>
            <w:r/>
            <w:r>
              <w:rPr>
                <w:sz w:val="19"/>
              </w:rPr>
              <w:t>ecc-connector → law-oda-b</w:t>
            </w:r>
          </w:p>
        </w:tc>
        <w:tc>
          <w:tcPr>
            <w:tcW w:type="dxa" w:w="1247"/>
          </w:tcPr>
          <w:p>
            <w:r/>
            <w:r>
              <w:rPr>
                <w:sz w:val="19"/>
              </w:rPr>
              <w:t>gMSA-ODA-B$</w:t>
            </w:r>
          </w:p>
        </w:tc>
        <w:tc>
          <w:tcPr>
            <w:tcW w:type="dxa" w:w="1474"/>
          </w:tcPr>
          <w:p>
            <w:r/>
            <w:r>
              <w:rPr>
                <w:sz w:val="19"/>
              </w:rPr>
              <w:t>svc-ODA-JIT$ @ PAW-B</w:t>
            </w:r>
          </w:p>
        </w:tc>
        <w:tc>
          <w:tcPr>
            <w:tcW w:type="dxa" w:w="1247"/>
          </w:tcPr>
          <w:p>
            <w:r/>
            <w:r>
              <w:rPr>
                <w:sz w:val="19"/>
              </w:rPr>
              <w:t>So 05:00 / 05:30</w:t>
            </w:r>
          </w:p>
        </w:tc>
      </w:tr>
      <w:tr>
        <w:tc>
          <w:tcPr>
            <w:tcW w:type="dxa" w:w="1474"/>
          </w:tcPr>
          <w:p>
            <w:r/>
            <w:r>
              <w:rPr>
                <w:sz w:val="19"/>
              </w:rPr>
              <w:t>…</w:t>
            </w:r>
          </w:p>
        </w:tc>
        <w:tc>
          <w:tcPr>
            <w:tcW w:type="dxa" w:w="1247"/>
          </w:tcPr>
          <w:p>
            <w:r/>
            <w:r>
              <w:rPr>
                <w:sz w:val="19"/>
              </w:rPr>
            </w:r>
          </w:p>
        </w:tc>
        <w:tc>
          <w:tcPr>
            <w:tcW w:type="dxa" w:w="1587"/>
          </w:tcPr>
          <w:p>
            <w:r/>
            <w:r>
              <w:rPr>
                <w:sz w:val="19"/>
              </w:rPr>
            </w:r>
          </w:p>
        </w:tc>
        <w:tc>
          <w:tcPr>
            <w:tcW w:type="dxa" w:w="1361"/>
          </w:tcPr>
          <w:p>
            <w:r/>
            <w:r>
              <w:rPr>
                <w:sz w:val="19"/>
              </w:rPr>
            </w:r>
          </w:p>
        </w:tc>
        <w:tc>
          <w:tcPr>
            <w:tcW w:type="dxa" w:w="1247"/>
          </w:tcPr>
          <w:p>
            <w:r/>
            <w:r>
              <w:rPr>
                <w:sz w:val="19"/>
              </w:rPr>
            </w:r>
          </w:p>
        </w:tc>
        <w:tc>
          <w:tcPr>
            <w:tcW w:type="dxa" w:w="1474"/>
          </w:tcPr>
          <w:p>
            <w:r/>
            <w:r>
              <w:rPr>
                <w:sz w:val="19"/>
              </w:rPr>
            </w:r>
          </w:p>
        </w:tc>
        <w:tc>
          <w:tcPr>
            <w:tcW w:type="dxa" w:w="1247"/>
          </w:tcPr>
          <w:p>
            <w:r/>
            <w:r>
              <w:rPr>
                <w:sz w:val="19"/>
              </w:rPr>
            </w:r>
          </w:p>
        </w:tc>
      </w:tr>
    </w:tbl>
    <w:p>
      <w:pPr>
        <w:spacing w:after="40"/>
      </w:pPr>
    </w:p>
    <w:p>
      <w:pPr>
        <w:spacing w:after="80"/>
      </w:pPr>
      <w:r>
        <w:rPr>
          <w:i w:val="0"/>
        </w:rPr>
        <w:t>Die Zeitfenster der Forests sind unabhängig voneinander. Gestaffelte Fenster erleichtern aber Monitoring und SIEM-Korrelation, denn zu jedem Zeitpunkt ist höchstens ein Forest „offen“.</w:t>
      </w:r>
    </w:p>
    <w:p>
      <w:pPr>
        <w:pStyle w:val="Heading1"/>
      </w:pPr>
      <w:r>
        <w:t>7. Voraussetzungen und Konfiguration</w:t>
      </w:r>
    </w:p>
    <w:tbl>
      <w:tblPr>
        <w:tblStyle w:val="TableGrid"/>
        <w:tblW w:type="auto" w:w="0"/>
        <w:jc w:val="center"/>
        <w:tblLayout w:type="fixed"/>
        <w:tblLook w:firstColumn="1" w:firstRow="1" w:lastColumn="0" w:lastRow="0" w:noHBand="0" w:noVBand="1" w:val="04A0"/>
      </w:tblPr>
      <w:tblGrid>
        <w:gridCol w:w="453"/>
        <w:gridCol w:w="2948"/>
        <w:gridCol w:w="5953"/>
      </w:tblGrid>
      <w:tr>
        <w:tc>
          <w:tcPr>
            <w:tcW w:type="dxa" w:w="454"/>
            <w:shd w:val="clear" w:color="auto" w:fill="1F3A5F"/>
          </w:tcPr>
          <w:p>
            <w:r/>
            <w:r>
              <w:rPr>
                <w:b/>
                <w:color w:val="FFFFFF"/>
                <w:sz w:val="19"/>
              </w:rPr>
              <w:t>#</w:t>
            </w:r>
          </w:p>
        </w:tc>
        <w:tc>
          <w:tcPr>
            <w:tcW w:type="dxa" w:w="2948"/>
            <w:shd w:val="clear" w:color="auto" w:fill="1F3A5F"/>
          </w:tcPr>
          <w:p>
            <w:r/>
            <w:r>
              <w:rPr>
                <w:b/>
                <w:color w:val="FFFFFF"/>
                <w:sz w:val="19"/>
              </w:rPr>
              <w:t>Maßnahme</w:t>
            </w:r>
          </w:p>
        </w:tc>
        <w:tc>
          <w:tcPr>
            <w:tcW w:type="dxa" w:w="5953"/>
            <w:shd w:val="clear" w:color="auto" w:fill="1F3A5F"/>
          </w:tcPr>
          <w:p>
            <w:r/>
            <w:r>
              <w:rPr>
                <w:b/>
                <w:color w:val="FFFFFF"/>
                <w:sz w:val="19"/>
              </w:rPr>
              <w:t>Hinweis</w:t>
            </w:r>
          </w:p>
        </w:tc>
      </w:tr>
      <w:tr>
        <w:tc>
          <w:tcPr>
            <w:tcW w:type="dxa" w:w="454"/>
          </w:tcPr>
          <w:p>
            <w:r/>
            <w:r>
              <w:rPr>
                <w:sz w:val="19"/>
              </w:rPr>
              <w:t>1</w:t>
            </w:r>
          </w:p>
        </w:tc>
        <w:tc>
          <w:tcPr>
            <w:tcW w:type="dxa" w:w="2948"/>
          </w:tcPr>
          <w:p>
            <w:r/>
            <w:r>
              <w:rPr>
                <w:sz w:val="19"/>
              </w:rPr>
              <w:t>Zeitplan der ODA-Aufgaben festlegen (gleicher Wochentag, AD vor AD Security)</w:t>
            </w:r>
          </w:p>
        </w:tc>
        <w:tc>
          <w:tcPr>
            <w:tcW w:type="dxa" w:w="5953"/>
          </w:tcPr>
          <w:p>
            <w:r/>
            <w:r>
              <w:rPr>
                <w:sz w:val="19"/>
              </w:rPr>
              <w:t>Vom Setup Guide erlaubt („The task can be modified to run on a different date/time“). Nach Agent-Updates prüfen.</w:t>
            </w:r>
          </w:p>
        </w:tc>
      </w:tr>
      <w:tr>
        <w:tc>
          <w:tcPr>
            <w:tcW w:type="dxa" w:w="454"/>
          </w:tcPr>
          <w:p>
            <w:r/>
            <w:r>
              <w:rPr>
                <w:sz w:val="19"/>
              </w:rPr>
              <w:t>2</w:t>
            </w:r>
          </w:p>
        </w:tc>
        <w:tc>
          <w:tcPr>
            <w:tcW w:type="dxa" w:w="2948"/>
          </w:tcPr>
          <w:p>
            <w:r/>
            <w:r>
              <w:rPr>
                <w:sz w:val="19"/>
              </w:rPr>
              <w:t>Automations-gMSA svc-ODA-JIT$ anlegen</w:t>
            </w:r>
          </w:p>
        </w:tc>
        <w:tc>
          <w:tcPr>
            <w:tcW w:type="dxa" w:w="5953"/>
          </w:tcPr>
          <w:p>
            <w:r/>
            <w:r>
              <w:rPr>
                <w:sz w:val="19"/>
              </w:rPr>
              <w:t>Dauerhaftes Tier-0-Konto (SDProp/AdminSDHolder lässt keine Delegation unterhalb von Tier-0 zu). Passwortabruf nur durch den Tier-0-Host, interaktive Anmeldung und RDP verweigert, nur Batch-Anmeldung. Netzwerkanmeldung NICHT verweigern.</w:t>
            </w:r>
          </w:p>
        </w:tc>
      </w:tr>
      <w:tr>
        <w:tc>
          <w:tcPr>
            <w:tcW w:type="dxa" w:w="454"/>
          </w:tcPr>
          <w:p>
            <w:r/>
            <w:r>
              <w:rPr>
                <w:sz w:val="19"/>
              </w:rPr>
              <w:t>3</w:t>
            </w:r>
          </w:p>
        </w:tc>
        <w:tc>
          <w:tcPr>
            <w:tcW w:type="dxa" w:w="2948"/>
          </w:tcPr>
          <w:p>
            <w:r/>
            <w:r>
              <w:rPr>
                <w:sz w:val="19"/>
              </w:rPr>
              <w:t>Leserechte des Watchers auf dem Collector</w:t>
            </w:r>
          </w:p>
        </w:tc>
        <w:tc>
          <w:tcPr>
            <w:tcW w:type="dxa" w:w="5953"/>
          </w:tcPr>
          <w:p>
            <w:r/>
            <w:r>
              <w:rPr>
                <w:sz w:val="19"/>
              </w:rPr>
              <w:t>Abfrage von Aufgabenstatus/Prozessen per CIM und Lesen von \\collector\C$\&lt;WorkingDirectory&gt;. Der Collector ist wegen des EA-fähigen gMSA ohnehin als Tier-0-Asset zu behandeln.</w:t>
            </w:r>
          </w:p>
        </w:tc>
      </w:tr>
      <w:tr>
        <w:tc>
          <w:tcPr>
            <w:tcW w:type="dxa" w:w="454"/>
          </w:tcPr>
          <w:p>
            <w:r/>
            <w:r>
              <w:rPr>
                <w:sz w:val="19"/>
              </w:rPr>
              <w:t>4</w:t>
            </w:r>
          </w:p>
        </w:tc>
        <w:tc>
          <w:tcPr>
            <w:tcW w:type="dxa" w:w="2948"/>
          </w:tcPr>
          <w:p>
            <w:r/>
            <w:r>
              <w:rPr>
                <w:sz w:val="19"/>
              </w:rPr>
              <w:t>PAM-Optional-Feature (empfohlen)</w:t>
            </w:r>
          </w:p>
        </w:tc>
        <w:tc>
          <w:tcPr>
            <w:tcW w:type="dxa" w:w="5953"/>
          </w:tcPr>
          <w:p>
            <w:r/>
            <w:r>
              <w:rPr>
                <w:sz w:val="19"/>
              </w:rPr>
              <w:t>Voraussetzung: Forest Functional Level 2016+. Die Aktivierung ist irreversibel. Bringt die TTL-Mitgliedschaft; laut Microsoft wird dadurch auch die Kerberos-Ticket-Lebensdauer an die Rest-TTL gekoppelt. Ohne PAM sind Deadline-Revoke und Monitoring der einzige Backstop.</w:t>
            </w:r>
          </w:p>
        </w:tc>
      </w:tr>
      <w:tr>
        <w:tc>
          <w:tcPr>
            <w:tcW w:type="dxa" w:w="454"/>
          </w:tcPr>
          <w:p>
            <w:r/>
            <w:r>
              <w:rPr>
                <w:sz w:val="19"/>
              </w:rPr>
              <w:t>5</w:t>
            </w:r>
          </w:p>
        </w:tc>
        <w:tc>
          <w:tcPr>
            <w:tcW w:type="dxa" w:w="2948"/>
          </w:tcPr>
          <w:p>
            <w:r/>
            <w:r>
              <w:rPr>
                <w:sz w:val="19"/>
              </w:rPr>
              <w:t>Task-Scheduler-Verlauf auf dem Collector aktivieren</w:t>
            </w:r>
          </w:p>
        </w:tc>
        <w:tc>
          <w:tcPr>
            <w:tcW w:type="dxa" w:w="5953"/>
          </w:tcPr>
          <w:p>
            <w:r/>
            <w:r>
              <w:rPr>
                <w:sz w:val="19"/>
              </w:rPr>
              <w:t>wevtutil sl Microsoft-Windows-TaskScheduler/Operational /e:true – für Nachweis und Audit (Ereignisse 100/102/201).</w:t>
            </w:r>
          </w:p>
        </w:tc>
      </w:tr>
      <w:tr>
        <w:tc>
          <w:tcPr>
            <w:tcW w:type="dxa" w:w="454"/>
          </w:tcPr>
          <w:p>
            <w:r/>
            <w:r>
              <w:rPr>
                <w:sz w:val="19"/>
              </w:rPr>
              <w:t>6</w:t>
            </w:r>
          </w:p>
        </w:tc>
        <w:tc>
          <w:tcPr>
            <w:tcW w:type="dxa" w:w="2948"/>
          </w:tcPr>
          <w:p>
            <w:r/>
            <w:r>
              <w:rPr>
                <w:sz w:val="19"/>
              </w:rPr>
              <w:t>Auditing / SIEM</w:t>
            </w:r>
          </w:p>
        </w:tc>
        <w:tc>
          <w:tcPr>
            <w:tcW w:type="dxa" w:w="5953"/>
          </w:tcPr>
          <w:p>
            <w:r/>
            <w:r>
              <w:rPr>
                <w:sz w:val="19"/>
              </w:rPr>
              <w:t>„Audit Security Group Management“ auf den DCs aktivieren. Alarm auf 4756/4757 für Enterprise Admins außerhalb des Fensters und auf jede EA-Änderung, die nicht von svc-ODA-JIT$ kommt.</w:t>
            </w:r>
          </w:p>
        </w:tc>
      </w:tr>
      <w:tr>
        <w:tc>
          <w:tcPr>
            <w:tcW w:type="dxa" w:w="454"/>
          </w:tcPr>
          <w:p>
            <w:r/>
            <w:r>
              <w:rPr>
                <w:sz w:val="19"/>
              </w:rPr>
              <w:t>7</w:t>
            </w:r>
          </w:p>
        </w:tc>
        <w:tc>
          <w:tcPr>
            <w:tcW w:type="dxa" w:w="2948"/>
          </w:tcPr>
          <w:p>
            <w:r/>
            <w:r>
              <w:rPr>
                <w:sz w:val="19"/>
              </w:rPr>
              <w:t>Optional: Authentication Policy für das ODA-gMSA</w:t>
            </w:r>
          </w:p>
        </w:tc>
        <w:tc>
          <w:tcPr>
            <w:tcW w:type="dxa" w:w="5953"/>
          </w:tcPr>
          <w:p>
            <w:r/>
            <w:r>
              <w:rPr>
                <w:sz w:val="19"/>
              </w:rPr>
              <w:t>TGT-Lebensdauer auf z. B. 4 h begrenzen und Anmeldung nur vom Collector zulassen. Begrenzt die Nutzbarkeit gestohlener Tickets.</w:t>
            </w:r>
          </w:p>
        </w:tc>
      </w:tr>
      <w:tr>
        <w:tc>
          <w:tcPr>
            <w:tcW w:type="dxa" w:w="454"/>
          </w:tcPr>
          <w:p>
            <w:r/>
            <w:r>
              <w:rPr>
                <w:sz w:val="19"/>
              </w:rPr>
              <w:t>8</w:t>
            </w:r>
          </w:p>
        </w:tc>
        <w:tc>
          <w:tcPr>
            <w:tcW w:type="dxa" w:w="2948"/>
          </w:tcPr>
          <w:p>
            <w:r/>
            <w:r>
              <w:rPr>
                <w:sz w:val="19"/>
              </w:rPr>
              <w:t>Manueller Lauf außerhalb des Fensters</w:t>
            </w:r>
          </w:p>
        </w:tc>
        <w:tc>
          <w:tcPr>
            <w:tcW w:type="dxa" w:w="5953"/>
          </w:tcPr>
          <w:p>
            <w:r/>
            <w:r>
              <w:rPr>
                <w:sz w:val="19"/>
              </w:rPr>
              <w:t>Nicht „Ausführen“ in der Aufgabenplanung nutzen. Stattdessen Grant → Replikation prüfen → Start-ScheduledTask → Watcher (kleines Wrapper-Skript).</w:t>
            </w:r>
          </w:p>
        </w:tc>
      </w:tr>
    </w:tbl>
    <w:p>
      <w:pPr>
        <w:spacing w:after="40"/>
      </w:pPr>
    </w:p>
    <w:p>
      <w:pPr>
        <w:pStyle w:val="Heading1"/>
      </w:pPr>
      <w:r>
        <w:t>8. Risiken und Gegenmaßnahmen</w:t>
      </w:r>
    </w:p>
    <w:tbl>
      <w:tblPr>
        <w:tblStyle w:val="TableGrid"/>
        <w:tblW w:type="auto" w:w="0"/>
        <w:jc w:val="center"/>
        <w:tblLayout w:type="fixed"/>
        <w:tblLook w:firstColumn="1" w:firstRow="1" w:lastColumn="0" w:lastRow="0" w:noHBand="0" w:noVBand="1" w:val="04A0"/>
      </w:tblPr>
      <w:tblGrid>
        <w:gridCol w:w="2608"/>
        <w:gridCol w:w="2608"/>
        <w:gridCol w:w="4139"/>
      </w:tblGrid>
      <w:tr>
        <w:tc>
          <w:tcPr>
            <w:tcW w:type="dxa" w:w="2608"/>
            <w:shd w:val="clear" w:color="auto" w:fill="1F3A5F"/>
          </w:tcPr>
          <w:p>
            <w:r/>
            <w:r>
              <w:rPr>
                <w:b/>
                <w:color w:val="FFFFFF"/>
                <w:sz w:val="19"/>
              </w:rPr>
              <w:t>Risiko</w:t>
            </w:r>
          </w:p>
        </w:tc>
        <w:tc>
          <w:tcPr>
            <w:tcW w:type="dxa" w:w="2608"/>
            <w:shd w:val="clear" w:color="auto" w:fill="1F3A5F"/>
          </w:tcPr>
          <w:p>
            <w:r/>
            <w:r>
              <w:rPr>
                <w:b/>
                <w:color w:val="FFFFFF"/>
                <w:sz w:val="19"/>
              </w:rPr>
              <w:t>Auswirkung</w:t>
            </w:r>
          </w:p>
        </w:tc>
        <w:tc>
          <w:tcPr>
            <w:tcW w:type="dxa" w:w="4139"/>
            <w:shd w:val="clear" w:color="auto" w:fill="1F3A5F"/>
          </w:tcPr>
          <w:p>
            <w:r/>
            <w:r>
              <w:rPr>
                <w:b/>
                <w:color w:val="FFFFFF"/>
                <w:sz w:val="19"/>
              </w:rPr>
              <w:t>Gegenmaßnahme</w:t>
            </w:r>
          </w:p>
        </w:tc>
      </w:tr>
      <w:tr>
        <w:tc>
          <w:tcPr>
            <w:tcW w:type="dxa" w:w="2608"/>
          </w:tcPr>
          <w:p>
            <w:r/>
            <w:r>
              <w:rPr>
                <w:sz w:val="19"/>
              </w:rPr>
              <w:t>Replikation der EA-Mitgliedschaft noch nicht auf dem GC</w:t>
            </w:r>
          </w:p>
        </w:tc>
        <w:tc>
          <w:tcPr>
            <w:tcW w:type="dxa" w:w="2608"/>
          </w:tcPr>
          <w:p>
            <w:r/>
            <w:r>
              <w:rPr>
                <w:sz w:val="19"/>
              </w:rPr>
              <w:t>gMSA läuft ohne EA → unvollständige Daten ohne Fehlermeldung</w:t>
            </w:r>
          </w:p>
        </w:tc>
        <w:tc>
          <w:tcPr>
            <w:tcW w:type="dxa" w:w="4139"/>
          </w:tcPr>
          <w:p>
            <w:r/>
            <w:r>
              <w:rPr>
                <w:sz w:val="19"/>
              </w:rPr>
              <w:t>Sync-ADObject auf die Standort-GCs + Prüfung im Grant-Skript; 60 min Vorlauf</w:t>
            </w:r>
          </w:p>
        </w:tc>
      </w:tr>
      <w:tr>
        <w:tc>
          <w:tcPr>
            <w:tcW w:type="dxa" w:w="2608"/>
          </w:tcPr>
          <w:p>
            <w:r/>
            <w:r>
              <w:rPr>
                <w:sz w:val="19"/>
              </w:rPr>
              <w:t>Assessment dauert länger als die Deadline</w:t>
            </w:r>
          </w:p>
        </w:tc>
        <w:tc>
          <w:tcPr>
            <w:tcW w:type="dxa" w:w="2608"/>
          </w:tcPr>
          <w:p>
            <w:r/>
            <w:r>
              <w:rPr>
                <w:sz w:val="19"/>
              </w:rPr>
              <w:t>Entzug während der Sammlung → Teildaten</w:t>
            </w:r>
          </w:p>
        </w:tc>
        <w:tc>
          <w:tcPr>
            <w:tcW w:type="dxa" w:w="4139"/>
          </w:tcPr>
          <w:p>
            <w:r/>
            <w:r>
              <w:rPr>
                <w:sz w:val="19"/>
              </w:rPr>
              <w:t>Deadline = 3× längste gemessene Laufzeit; Alarm bei Deadline-Revoke</w:t>
            </w:r>
          </w:p>
        </w:tc>
      </w:tr>
      <w:tr>
        <w:tc>
          <w:tcPr>
            <w:tcW w:type="dxa" w:w="2608"/>
          </w:tcPr>
          <w:p>
            <w:r/>
            <w:r>
              <w:rPr>
                <w:sz w:val="19"/>
              </w:rPr>
              <w:t>Manueller oder vom Agenten verschobener Lauf außerhalb des Fensters</w:t>
            </w:r>
          </w:p>
        </w:tc>
        <w:tc>
          <w:tcPr>
            <w:tcW w:type="dxa" w:w="2608"/>
          </w:tcPr>
          <w:p>
            <w:r/>
            <w:r>
              <w:rPr>
                <w:sz w:val="19"/>
              </w:rPr>
              <w:t>Lauf ohne EA → Teildaten (kein Sicherheitsproblem)</w:t>
            </w:r>
          </w:p>
        </w:tc>
        <w:tc>
          <w:tcPr>
            <w:tcW w:type="dxa" w:w="4139"/>
          </w:tcPr>
          <w:p>
            <w:r/>
            <w:r>
              <w:rPr>
                <w:sz w:val="19"/>
              </w:rPr>
              <w:t>Wrapper für manuelle Läufe; Zeitplan nach Agent-Updates prüfen</w:t>
            </w:r>
          </w:p>
        </w:tc>
      </w:tr>
      <w:tr>
        <w:tc>
          <w:tcPr>
            <w:tcW w:type="dxa" w:w="2608"/>
          </w:tcPr>
          <w:p>
            <w:r/>
            <w:r>
              <w:rPr>
                <w:sz w:val="19"/>
              </w:rPr>
              <w:t>Agent-Update ändert Aufgabennamen/-pfad</w:t>
            </w:r>
          </w:p>
        </w:tc>
        <w:tc>
          <w:tcPr>
            <w:tcW w:type="dxa" w:w="2608"/>
          </w:tcPr>
          <w:p>
            <w:r/>
            <w:r>
              <w:rPr>
                <w:sz w:val="19"/>
              </w:rPr>
              <w:t>Watcher findet die Aufgabe nicht</w:t>
            </w:r>
          </w:p>
        </w:tc>
        <w:tc>
          <w:tcPr>
            <w:tcW w:type="dxa" w:w="4139"/>
          </w:tcPr>
          <w:p>
            <w:r/>
            <w:r>
              <w:rPr>
                <w:sz w:val="19"/>
              </w:rPr>
              <w:t>Aufgaben über die Aktion OMSAssessment.exe finden statt über den Namen; Deadline greift trotzdem</w:t>
            </w:r>
          </w:p>
        </w:tc>
      </w:tr>
      <w:tr>
        <w:tc>
          <w:tcPr>
            <w:tcW w:type="dxa" w:w="2608"/>
          </w:tcPr>
          <w:p>
            <w:r/>
            <w:r>
              <w:rPr>
                <w:sz w:val="19"/>
              </w:rPr>
              <w:t>Ticket-Diebstahl während des Fensters</w:t>
            </w:r>
          </w:p>
        </w:tc>
        <w:tc>
          <w:tcPr>
            <w:tcW w:type="dxa" w:w="2608"/>
          </w:tcPr>
          <w:p>
            <w:r/>
            <w:r>
              <w:rPr>
                <w:sz w:val="19"/>
              </w:rPr>
              <w:t>EA-Missbrauch bis zum Ablauf des TGT</w:t>
            </w:r>
          </w:p>
        </w:tc>
        <w:tc>
          <w:tcPr>
            <w:tcW w:type="dxa" w:w="4139"/>
          </w:tcPr>
          <w:p>
            <w:r/>
            <w:r>
              <w:rPr>
                <w:sz w:val="19"/>
              </w:rPr>
              <w:t>PAM-TTL / Authentication Policy (kurze TGT-Lebensdauer), Collector als Tier-0 härten</w:t>
            </w:r>
          </w:p>
        </w:tc>
      </w:tr>
      <w:tr>
        <w:tc>
          <w:tcPr>
            <w:tcW w:type="dxa" w:w="2608"/>
          </w:tcPr>
          <w:p>
            <w:r/>
            <w:r>
              <w:rPr>
                <w:sz w:val="19"/>
              </w:rPr>
              <w:t>Kompromittierung des Automations-gMSA</w:t>
            </w:r>
          </w:p>
        </w:tc>
        <w:tc>
          <w:tcPr>
            <w:tcW w:type="dxa" w:w="2608"/>
          </w:tcPr>
          <w:p>
            <w:r/>
            <w:r>
              <w:rPr>
                <w:sz w:val="19"/>
              </w:rPr>
              <w:t>Dauerhafte EA-Schreibrechte</w:t>
            </w:r>
          </w:p>
        </w:tc>
        <w:tc>
          <w:tcPr>
            <w:tcW w:type="dxa" w:w="4139"/>
          </w:tcPr>
          <w:p>
            <w:r/>
            <w:r>
              <w:rPr>
                <w:sz w:val="19"/>
              </w:rPr>
              <w:t>Nur auf Tier-0-Host, Passwortabruf nur dort, Alarm auf EA-Änderungen</w:t>
            </w:r>
          </w:p>
        </w:tc>
      </w:tr>
      <w:tr>
        <w:tc>
          <w:tcPr>
            <w:tcW w:type="dxa" w:w="2608"/>
          </w:tcPr>
          <w:p>
            <w:r/>
            <w:r>
              <w:rPr>
                <w:sz w:val="19"/>
              </w:rPr>
              <w:t>Ausfall des Tier-0-Hosts</w:t>
            </w:r>
          </w:p>
        </w:tc>
        <w:tc>
          <w:tcPr>
            <w:tcW w:type="dxa" w:w="2608"/>
          </w:tcPr>
          <w:p>
            <w:r/>
            <w:r>
              <w:rPr>
                <w:sz w:val="19"/>
              </w:rPr>
              <w:t>Kein Revoke</w:t>
            </w:r>
          </w:p>
        </w:tc>
        <w:tc>
          <w:tcPr>
            <w:tcW w:type="dxa" w:w="4139"/>
          </w:tcPr>
          <w:p>
            <w:r/>
            <w:r>
              <w:rPr>
                <w:sz w:val="19"/>
              </w:rPr>
              <w:t>PAM-TTL entzieht automatisch; SIEM-Alarm</w:t>
            </w:r>
          </w:p>
        </w:tc>
      </w:tr>
      <w:tr>
        <w:tc>
          <w:tcPr>
            <w:tcW w:type="dxa" w:w="2608"/>
          </w:tcPr>
          <w:p>
            <w:r/>
            <w:r>
              <w:rPr>
                <w:sz w:val="19"/>
              </w:rPr>
              <w:t>Mehrere Forests: falscher Collector/LAW im Engage Center gewählt</w:t>
            </w:r>
          </w:p>
        </w:tc>
        <w:tc>
          <w:tcPr>
            <w:tcW w:type="dxa" w:w="2608"/>
          </w:tcPr>
          <w:p>
            <w:r/>
            <w:r>
              <w:rPr>
                <w:sz w:val="19"/>
              </w:rPr>
              <w:t>Daten landen im falschen LAW bzw. Assessment läuft im falschen Forest</w:t>
            </w:r>
          </w:p>
        </w:tc>
        <w:tc>
          <w:tcPr>
            <w:tcW w:type="dxa" w:w="4139"/>
          </w:tcPr>
          <w:p>
            <w:r/>
            <w:r>
              <w:rPr>
                <w:sz w:val="19"/>
              </w:rPr>
              <w:t>Collector und LAW je Forest in einer eigenen RG (Engage Center zeigt nur Maschinen der RG des aktiven LAW); Namenskonvention; Planungsmatrix (6.4)</w:t>
            </w:r>
          </w:p>
        </w:tc>
      </w:tr>
      <w:tr>
        <w:tc>
          <w:tcPr>
            <w:tcW w:type="dxa" w:w="2608"/>
          </w:tcPr>
          <w:p>
            <w:r/>
            <w:r>
              <w:rPr>
                <w:sz w:val="19"/>
              </w:rPr>
              <w:t>LAW ohne Public Network Access (Private Link only)</w:t>
            </w:r>
          </w:p>
        </w:tc>
        <w:tc>
          <w:tcPr>
            <w:tcW w:type="dxa" w:w="2608"/>
          </w:tcPr>
          <w:p>
            <w:r/>
            <w:r>
              <w:rPr>
                <w:sz w:val="19"/>
              </w:rPr>
              <w:t>Connector kann keine Ergebnisse abrufen</w:t>
            </w:r>
          </w:p>
        </w:tc>
        <w:tc>
          <w:tcPr>
            <w:tcW w:type="dxa" w:w="4139"/>
          </w:tcPr>
          <w:p>
            <w:r/>
            <w:r>
              <w:rPr>
                <w:sz w:val="19"/>
              </w:rPr>
              <w:t>Public Network Access am LAW aktiviert lassen (Voraussetzung laut Microsoft Learn)</w:t>
            </w:r>
          </w:p>
        </w:tc>
      </w:tr>
      <w:tr>
        <w:tc>
          <w:tcPr>
            <w:tcW w:type="dxa" w:w="2608"/>
          </w:tcPr>
          <w:p>
            <w:r/>
            <w:r>
              <w:rPr>
                <w:sz w:val="19"/>
              </w:rPr>
              <w:t>Mehrere Forests: zentraler Executor oder Azure-Admin über alle Forests</w:t>
            </w:r>
          </w:p>
        </w:tc>
        <w:tc>
          <w:tcPr>
            <w:tcW w:type="dxa" w:w="2608"/>
          </w:tcPr>
          <w:p>
            <w:r/>
            <w:r>
              <w:rPr>
                <w:sz w:val="19"/>
              </w:rPr>
              <w:t>Forest-Trennung wird aufgehoben</w:t>
            </w:r>
          </w:p>
        </w:tc>
        <w:tc>
          <w:tcPr>
            <w:tcW w:type="dxa" w:w="4139"/>
          </w:tcPr>
          <w:p>
            <w:r/>
            <w:r>
              <w:rPr>
                <w:sz w:val="19"/>
              </w:rPr>
              <w:t>Executor, Tier-0-Host und Azure-RBAC je Forest (6.1, 6.3)</w:t>
            </w:r>
          </w:p>
        </w:tc>
      </w:tr>
    </w:tbl>
    <w:p>
      <w:pPr>
        <w:spacing w:after="40"/>
      </w:pPr>
    </w:p>
    <w:p>
      <w:pPr>
        <w:pStyle w:val="Heading1"/>
      </w:pPr>
      <w:r>
        <w:t>9. Einführung in 5 Schritten (je Forest)</w:t>
      </w:r>
    </w:p>
    <w:p>
      <w:pPr>
        <w:spacing w:after="80"/>
      </w:pPr>
      <w:r>
        <w:rPr>
          <w:i w:val="0"/>
        </w:rPr>
        <w:t>Zuerst mit einem Pilot-Forest beginnen. Danach jeden weiteren Forest mit derselben Vorlage ausrollen.</w:t>
      </w:r>
    </w:p>
    <w:p>
      <w:pPr>
        <w:pStyle w:val="ListNumber"/>
        <w:spacing w:after="40"/>
      </w:pPr>
      <w:r>
        <w:rPr>
          <w:b/>
        </w:rPr>
        <w:t xml:space="preserve">Messen: </w:t>
      </w:r>
      <w:r>
        <w:t>2–3 Läufe mit dauerhaftem EA protokollieren (Task-Verlauf + Sirona-Trace) und Laufzeiten von AD und AD Security ermitteln.</w:t>
      </w:r>
    </w:p>
    <w:p>
      <w:pPr>
        <w:pStyle w:val="ListNumber"/>
        <w:spacing w:after="40"/>
      </w:pPr>
      <w:r>
        <w:rPr>
          <w:b/>
        </w:rPr>
        <w:t xml:space="preserve">Vorbereiten: </w:t>
      </w:r>
      <w:r>
        <w:t>svc-ODA-JIT$ anlegen, Tier-0-Host festlegen, ggf. PAM aktivieren, Auditing einschalten, Zeitplan der ODA-Aufgaben fixieren.</w:t>
      </w:r>
    </w:p>
    <w:p>
      <w:pPr>
        <w:pStyle w:val="ListNumber"/>
        <w:spacing w:after="40"/>
      </w:pPr>
      <w:r>
        <w:rPr>
          <w:b/>
        </w:rPr>
        <w:t xml:space="preserve">Testlauf: </w:t>
      </w:r>
      <w:r>
        <w:t>Grant und Watcher in einer Testumgebung ausführen. Dabei prüfen: EA-SID im Token (whoami /groups im gMSA-Kontext bzw. 4624/4672), vollständige Ergebnisse, Entzug.</w:t>
      </w:r>
    </w:p>
    <w:p>
      <w:pPr>
        <w:pStyle w:val="ListNumber"/>
        <w:spacing w:after="40"/>
      </w:pPr>
      <w:r>
        <w:rPr>
          <w:b/>
        </w:rPr>
        <w:t xml:space="preserve">Umstellen: </w:t>
      </w:r>
      <w:r>
        <w:t>Dauerhafte EA-Mitgliedschaft des ODA-gMSA entfernen, JIT-Aufgaben aktivieren.</w:t>
      </w:r>
    </w:p>
    <w:p>
      <w:pPr>
        <w:pStyle w:val="ListNumber"/>
        <w:spacing w:after="40"/>
      </w:pPr>
      <w:r>
        <w:rPr>
          <w:b/>
        </w:rPr>
        <w:t xml:space="preserve">Prüfen: </w:t>
      </w:r>
      <w:r>
        <w:t>Nach jedem Lauf die Excel-/Workbook-Ergebnisse mit der Baseline vergleichen (keine leeren Tabellenblätter) und Watcher-Log/SIEM kontrollieren.</w:t>
      </w:r>
    </w:p>
    <w:p>
      <w:pPr>
        <w:pStyle w:val="Heading1"/>
      </w:pPr>
      <w:r>
        <w:t>Anhang A – Umsetzung im Repository (ODA Delegation Toolkit)</w:t>
      </w:r>
    </w:p>
    <w:p>
      <w:pPr>
        <w:spacing w:after="80"/>
      </w:pPr>
      <w:r>
        <w:rPr>
          <w:i w:val="0"/>
        </w:rPr>
        <w:t>Die Variante ist als Skripte umgesetzt. Diese laufen unter Windows PowerShell 5.1 und PowerShell 7 und sind mit Pester-Tests abgesichert (Konfiguration, Zeitfenster, Ende-Erkennung, Karenzzeit, Deadline):</w:t>
      </w:r>
    </w:p>
    <w:tbl>
      <w:tblPr>
        <w:tblStyle w:val="TableGrid"/>
        <w:tblW w:type="auto" w:w="0"/>
        <w:jc w:val="center"/>
        <w:tblLayout w:type="fixed"/>
        <w:tblLook w:firstColumn="1" w:firstRow="1" w:lastColumn="0" w:lastRow="0" w:noHBand="0" w:noVBand="1" w:val="04A0"/>
      </w:tblPr>
      <w:tblGrid>
        <w:gridCol w:w="2948"/>
        <w:gridCol w:w="6407"/>
      </w:tblGrid>
      <w:tr>
        <w:tc>
          <w:tcPr>
            <w:tcW w:type="dxa" w:w="2948"/>
            <w:shd w:val="clear" w:color="auto" w:fill="1F3A5F"/>
          </w:tcPr>
          <w:p>
            <w:r/>
            <w:r>
              <w:rPr>
                <w:b/>
                <w:color w:val="FFFFFF"/>
                <w:sz w:val="19"/>
              </w:rPr>
              <w:t>Datei</w:t>
            </w:r>
          </w:p>
        </w:tc>
        <w:tc>
          <w:tcPr>
            <w:tcW w:type="dxa" w:w="6406"/>
            <w:shd w:val="clear" w:color="auto" w:fill="1F3A5F"/>
          </w:tcPr>
          <w:p>
            <w:r/>
            <w:r>
              <w:rPr>
                <w:b/>
                <w:color w:val="FFFFFF"/>
                <w:sz w:val="19"/>
              </w:rPr>
              <w:t>Zweck</w:t>
            </w:r>
          </w:p>
        </w:tc>
      </w:tr>
      <w:tr>
        <w:tc>
          <w:tcPr>
            <w:tcW w:type="dxa" w:w="2948"/>
          </w:tcPr>
          <w:p>
            <w:r/>
            <w:r>
              <w:rPr>
                <w:sz w:val="19"/>
              </w:rPr>
              <w:t>ODA-JIT.example.psd1</w:t>
            </w:r>
          </w:p>
        </w:tc>
        <w:tc>
          <w:tcPr>
            <w:tcW w:type="dxa" w:w="6406"/>
          </w:tcPr>
          <w:p>
            <w:r/>
            <w:r>
              <w:rPr>
                <w:sz w:val="19"/>
              </w:rPr>
              <w:t>Konfigurationsvorlage – eine Datei je Forest (Root-DC, Gruppen-DN, Standort-GCs, Collector, WorkingDirectory, Zeitfenster, Karenz, Deadline, TTL)</w:t>
            </w:r>
          </w:p>
        </w:tc>
      </w:tr>
      <w:tr>
        <w:tc>
          <w:tcPr>
            <w:tcW w:type="dxa" w:w="2948"/>
          </w:tcPr>
          <w:p>
            <w:r/>
            <w:r>
              <w:rPr>
                <w:sz w:val="19"/>
              </w:rPr>
              <w:t>Register-ODAJitTasks.ps1</w:t>
            </w:r>
          </w:p>
        </w:tc>
        <w:tc>
          <w:tcPr>
            <w:tcW w:type="dxa" w:w="6406"/>
          </w:tcPr>
          <w:p>
            <w:r/>
            <w:r>
              <w:rPr>
                <w:sz w:val="19"/>
              </w:rPr>
              <w:t>Legt auf dem Tier-0-Host die Aufgaben \ODA-JIT\ODA-JIT-Grant-&lt;Forest&gt; und ODA-JIT-Revoke-&lt;Forest&gt; an (gMSA-Principal, Tageswechsel, Ereignisquelle). Vergleicht den Zeitplan mit den ODA-Aufgaben auf dem Collector.</w:t>
            </w:r>
          </w:p>
        </w:tc>
      </w:tr>
      <w:tr>
        <w:tc>
          <w:tcPr>
            <w:tcW w:type="dxa" w:w="2948"/>
          </w:tcPr>
          <w:p>
            <w:r/>
            <w:r>
              <w:rPr>
                <w:sz w:val="19"/>
              </w:rPr>
              <w:t>Start-ODAJitGrant.ps1</w:t>
            </w:r>
          </w:p>
        </w:tc>
        <w:tc>
          <w:tcPr>
            <w:tcW w:type="dxa" w:w="6406"/>
          </w:tcPr>
          <w:p>
            <w:r/>
            <w:r>
              <w:rPr>
                <w:sz w:val="19"/>
              </w:rPr>
              <w:t>EA-Grant mit PAM-TTL, Sync-ADObject auf die Standort-GCs, Prüfung über GC-Port 3268. Optional -StartOdaTasks für manuelle Läufe.</w:t>
            </w:r>
          </w:p>
        </w:tc>
      </w:tr>
      <w:tr>
        <w:tc>
          <w:tcPr>
            <w:tcW w:type="dxa" w:w="2948"/>
          </w:tcPr>
          <w:p>
            <w:r/>
            <w:r>
              <w:rPr>
                <w:sz w:val="19"/>
              </w:rPr>
              <w:t>Start-ODAJitRevokeWatcher.ps1</w:t>
            </w:r>
          </w:p>
        </w:tc>
        <w:tc>
          <w:tcPr>
            <w:tcW w:type="dxa" w:w="6406"/>
          </w:tcPr>
          <w:p>
            <w:r/>
            <w:r>
              <w:rPr>
                <w:sz w:val="19"/>
              </w:rPr>
              <w:t>Watcher (T1/T3 per CIM, T4 über C$), Karenzzeit, No-Start-Timeout, Deadline. Revoke mit Prüfung und 3 Versuchen. -RevokeNow für den Notfall, -WhatIf für einen Trockenlauf.</w:t>
            </w:r>
          </w:p>
        </w:tc>
      </w:tr>
      <w:tr>
        <w:tc>
          <w:tcPr>
            <w:tcW w:type="dxa" w:w="2948"/>
          </w:tcPr>
          <w:p>
            <w:r/>
            <w:r>
              <w:rPr>
                <w:sz w:val="19"/>
              </w:rPr>
              <w:t>Invoke-ODAJitDelegation.ps1 -Mode FullEA</w:t>
            </w:r>
          </w:p>
        </w:tc>
        <w:tc>
          <w:tcPr>
            <w:tcW w:type="dxa" w:w="6406"/>
          </w:tcPr>
          <w:p>
            <w:r/>
            <w:r>
              <w:rPr>
                <w:sz w:val="19"/>
              </w:rPr>
              <w:t>Eigentlicher Toggle: EA über die SID &lt;RootDomainSID&gt;-519 (unabhängig von der Sprache), Mitglied wird in der eigenen Domäne aufgelöst, Änderung wird verifiziert, Exit-Code.</w:t>
            </w:r>
          </w:p>
        </w:tc>
      </w:tr>
      <w:tr>
        <w:tc>
          <w:tcPr>
            <w:tcW w:type="dxa" w:w="2948"/>
          </w:tcPr>
          <w:p>
            <w:r/>
            <w:r>
              <w:rPr>
                <w:sz w:val="19"/>
              </w:rPr>
              <w:t>ODAJit.Common.psm1 / Tests\ODAJit.Common.Tests.ps1</w:t>
            </w:r>
          </w:p>
        </w:tc>
        <w:tc>
          <w:tcPr>
            <w:tcW w:type="dxa" w:w="6406"/>
          </w:tcPr>
          <w:p>
            <w:r/>
            <w:r>
              <w:rPr>
                <w:sz w:val="19"/>
              </w:rPr>
              <w:t>Gemeinsame Logik und Pester-Tests</w:t>
            </w:r>
          </w:p>
        </w:tc>
      </w:tr>
    </w:tbl>
    <w:p>
      <w:pPr>
        <w:spacing w:after="40"/>
      </w:pPr>
    </w:p>
    <w:tbl>
      <w:tblPr>
        <w:tblStyle w:val="TableGrid"/>
        <w:tblW w:type="auto" w:w="0"/>
        <w:jc w:val="center"/>
        <w:tblLayout w:type="fixed"/>
        <w:tblLook w:firstColumn="1" w:firstRow="1" w:lastColumn="0" w:lastRow="0" w:noHBand="0" w:noVBand="1" w:val="04A0"/>
      </w:tblPr>
      <w:tblGrid>
        <w:gridCol w:w="2948"/>
        <w:gridCol w:w="6407"/>
      </w:tblGrid>
      <w:tr>
        <w:tc>
          <w:tcPr>
            <w:tcW w:type="dxa" w:w="2948"/>
            <w:shd w:val="clear" w:color="auto" w:fill="1F3A5F"/>
          </w:tcPr>
          <w:p>
            <w:r/>
            <w:r>
              <w:rPr>
                <w:b/>
                <w:color w:val="FFFFFF"/>
                <w:sz w:val="19"/>
              </w:rPr>
              <w:t>Event-ID (Application, Quelle ODA-JIT)</w:t>
            </w:r>
          </w:p>
        </w:tc>
        <w:tc>
          <w:tcPr>
            <w:tcW w:type="dxa" w:w="6406"/>
            <w:shd w:val="clear" w:color="auto" w:fill="1F3A5F"/>
          </w:tcPr>
          <w:p>
            <w:r/>
            <w:r>
              <w:rPr>
                <w:b/>
                <w:color w:val="FFFFFF"/>
                <w:sz w:val="19"/>
              </w:rPr>
              <w:t>Bedeutung</w:t>
            </w:r>
          </w:p>
        </w:tc>
      </w:tr>
      <w:tr>
        <w:tc>
          <w:tcPr>
            <w:tcW w:type="dxa" w:w="2948"/>
          </w:tcPr>
          <w:p>
            <w:r/>
            <w:r>
              <w:rPr>
                <w:sz w:val="19"/>
              </w:rPr>
              <w:t>1000 / 1001</w:t>
            </w:r>
          </w:p>
        </w:tc>
        <w:tc>
          <w:tcPr>
            <w:tcW w:type="dxa" w:w="6406"/>
          </w:tcPr>
          <w:p>
            <w:r/>
            <w:r>
              <w:rPr>
                <w:sz w:val="19"/>
              </w:rPr>
              <w:t>Grant OK / Grant fehlgeschlagen oder nicht auf den Standort-GCs sichtbar</w:t>
            </w:r>
          </w:p>
        </w:tc>
      </w:tr>
      <w:tr>
        <w:tc>
          <w:tcPr>
            <w:tcW w:type="dxa" w:w="2948"/>
          </w:tcPr>
          <w:p>
            <w:r/>
            <w:r>
              <w:rPr>
                <w:sz w:val="19"/>
              </w:rPr>
              <w:t>1010</w:t>
            </w:r>
          </w:p>
        </w:tc>
        <w:tc>
          <w:tcPr>
            <w:tcW w:type="dxa" w:w="6406"/>
          </w:tcPr>
          <w:p>
            <w:r/>
            <w:r>
              <w:rPr>
                <w:sz w:val="19"/>
              </w:rPr>
              <w:t>Revoke nach erfolgreichem Lauf (Empfehlungen in allen Assessment-Ordnern)</w:t>
            </w:r>
          </w:p>
        </w:tc>
      </w:tr>
      <w:tr>
        <w:tc>
          <w:tcPr>
            <w:tcW w:type="dxa" w:w="2948"/>
          </w:tcPr>
          <w:p>
            <w:r/>
            <w:r>
              <w:rPr>
                <w:sz w:val="19"/>
              </w:rPr>
              <w:t>1011</w:t>
            </w:r>
          </w:p>
        </w:tc>
        <w:tc>
          <w:tcPr>
            <w:tcW w:type="dxa" w:w="6406"/>
          </w:tcPr>
          <w:p>
            <w:r/>
            <w:r>
              <w:rPr>
                <w:sz w:val="19"/>
              </w:rPr>
              <w:t>Revoke – Lauf unvollständig, ohne Ergebnis oder manuell</w:t>
            </w:r>
          </w:p>
        </w:tc>
      </w:tr>
      <w:tr>
        <w:tc>
          <w:tcPr>
            <w:tcW w:type="dxa" w:w="2948"/>
          </w:tcPr>
          <w:p>
            <w:r/>
            <w:r>
              <w:rPr>
                <w:sz w:val="19"/>
              </w:rPr>
              <w:t>1012</w:t>
            </w:r>
          </w:p>
        </w:tc>
        <w:tc>
          <w:tcPr>
            <w:tcW w:type="dxa" w:w="6406"/>
          </w:tcPr>
          <w:p>
            <w:r/>
            <w:r>
              <w:rPr>
                <w:sz w:val="19"/>
              </w:rPr>
              <w:t>Revoke an der Deadline</w:t>
            </w:r>
          </w:p>
        </w:tc>
      </w:tr>
      <w:tr>
        <w:tc>
          <w:tcPr>
            <w:tcW w:type="dxa" w:w="2948"/>
          </w:tcPr>
          <w:p>
            <w:r/>
            <w:r>
              <w:rPr>
                <w:sz w:val="19"/>
              </w:rPr>
              <w:t>1013</w:t>
            </w:r>
          </w:p>
        </w:tc>
        <w:tc>
          <w:tcPr>
            <w:tcW w:type="dxa" w:w="6406"/>
          </w:tcPr>
          <w:p>
            <w:r/>
            <w:r>
              <w:rPr>
                <w:sz w:val="19"/>
              </w:rPr>
              <w:t>Revoke FEHLGESCHLAGEN (PAM-TTL bleibt als Backstop)</w:t>
            </w:r>
          </w:p>
        </w:tc>
      </w:tr>
    </w:tbl>
    <w:p>
      <w:pPr>
        <w:spacing w:after="40"/>
      </w:pPr>
    </w:p>
    <w:p>
      <w:pPr>
        <w:spacing w:after="0" w:before="0"/>
        <w:ind w:left="170"/>
        <w:shd w:val="clear" w:color="auto" w:fill="F2F2F2"/>
      </w:pPr>
      <w:r>
        <w:rPr>
          <w:rFonts w:ascii="Consolas" w:hAnsi="Consolas" w:eastAsia="Consolas"/>
          <w:sz w:val="17"/>
        </w:rPr>
        <w:t># Einmalig je Forest auf dem Tier-0-Host (als Administrator)</w:t>
      </w:r>
    </w:p>
    <w:p>
      <w:pPr>
        <w:spacing w:after="0" w:before="0"/>
        <w:ind w:left="170"/>
        <w:shd w:val="clear" w:color="auto" w:fill="F2F2F2"/>
      </w:pPr>
      <w:r>
        <w:rPr>
          <w:rFonts w:ascii="Consolas" w:hAnsi="Consolas" w:eastAsia="Consolas"/>
          <w:sz w:val="17"/>
        </w:rPr>
        <w:t>Copy-Item .\ODA-JIT.example.psd1 C:\ODA-JIT\ODA-JIT.forest-a.psd1   # anpassen</w:t>
      </w:r>
    </w:p>
    <w:p>
      <w:pPr>
        <w:spacing w:after="0" w:before="0"/>
        <w:ind w:left="170"/>
        <w:shd w:val="clear" w:color="auto" w:fill="F2F2F2"/>
      </w:pPr>
      <w:r>
        <w:rPr>
          <w:rFonts w:ascii="Consolas" w:hAnsi="Consolas" w:eastAsia="Consolas"/>
          <w:sz w:val="17"/>
        </w:rPr>
        <w:t>.\Register-ODAJitTasks.ps1 -ConfigPath C:\ODA-JIT\ODA-JIT.forest-a.psd1</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 Trockenlauf des Watchers (nur Erkennung, kein Revoke)</w:t>
      </w:r>
    </w:p>
    <w:p>
      <w:pPr>
        <w:spacing w:after="0" w:before="0"/>
        <w:ind w:left="170"/>
        <w:shd w:val="clear" w:color="auto" w:fill="F2F2F2"/>
      </w:pPr>
      <w:r>
        <w:rPr>
          <w:rFonts w:ascii="Consolas" w:hAnsi="Consolas" w:eastAsia="Consolas"/>
          <w:sz w:val="17"/>
        </w:rPr>
        <w:t>.\Start-ODAJitRevokeWatcher.ps1 -ConfigPath C:\ODA-JIT\ODA-JIT.forest-a.psd1 -WhatIf</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 Manueller Lauf außerhalb des Fensters</w:t>
      </w:r>
    </w:p>
    <w:p>
      <w:pPr>
        <w:spacing w:after="0" w:before="0"/>
        <w:ind w:left="170"/>
        <w:shd w:val="clear" w:color="auto" w:fill="F2F2F2"/>
      </w:pPr>
      <w:r>
        <w:rPr>
          <w:rFonts w:ascii="Consolas" w:hAnsi="Consolas" w:eastAsia="Consolas"/>
          <w:sz w:val="17"/>
        </w:rPr>
        <w:t>.\Start-ODAJitGrant.ps1 -ConfigPath C:\ODA-JIT\ODA-JIT.forest-a.psd1 -StartOdaTasks</w:t>
      </w:r>
    </w:p>
    <w:p>
      <w:pPr>
        <w:spacing w:after="0" w:before="0"/>
        <w:ind w:left="170"/>
        <w:shd w:val="clear" w:color="auto" w:fill="F2F2F2"/>
      </w:pPr>
      <w:r>
        <w:rPr>
          <w:rFonts w:ascii="Consolas" w:hAnsi="Consolas" w:eastAsia="Consolas"/>
          <w:sz w:val="17"/>
        </w:rPr>
        <w:t>.\Start-ODAJitRevokeWatcher.ps1 -ConfigPath C:\ODA-JIT\ODA-JIT.forest-a.psd1 -WindowStart (Get-Date)</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 Notfall: sofort entziehen</w:t>
      </w:r>
    </w:p>
    <w:p>
      <w:pPr>
        <w:spacing w:after="0" w:before="0"/>
        <w:ind w:left="170"/>
        <w:shd w:val="clear" w:color="auto" w:fill="F2F2F2"/>
      </w:pPr>
      <w:r>
        <w:rPr>
          <w:rFonts w:ascii="Consolas" w:hAnsi="Consolas" w:eastAsia="Consolas"/>
          <w:sz w:val="17"/>
        </w:rPr>
        <w:t>.\Start-ODAJitRevokeWatcher.ps1 -ConfigPath C:\ODA-JIT\ODA-JIT.forest-a.psd1 -RevokeNow</w:t>
      </w:r>
    </w:p>
    <w:p>
      <w:pPr>
        <w:spacing w:after="40"/>
      </w:pPr>
    </w:p>
    <w:p>
      <w:pPr>
        <w:pStyle w:val="Heading1"/>
      </w:pPr>
      <w:r>
        <w:t>Anhang B – Ausbaustufe: ereignisbasierter Revoke</w:t>
      </w:r>
    </w:p>
    <w:p>
      <w:pPr>
        <w:spacing w:after="80"/>
      </w:pPr>
      <w:r>
        <w:rPr>
          <w:i w:val="0"/>
        </w:rPr>
        <w:t>Statt zu pollen, kann der Revoke auch durch Ereignisse ausgelöst werden: TaskScheduler/Operational 102 bzw. 201 (gefiltert auf die ODA-Aufgabe) oder Security 4689 für OMSAssessment.exe. Damit die Entzugsrechte nicht auf dem Collector liegen müssen, werden die Ereignisse per Windows Event Forwarding (WEF) an den Tier-0-Host weitergeleitet. Dort löst eine Aufgabe mit Ereignis-Trigger den Revoke aus. Vorteil: schnellere Reaktion. Nachteil: mehr Bausteine (WEF-Abonnement, Audit-Policy, Task-Verlauf). Die Karenzzeit, PAM-TTL und Deadline bleiben auch in dieser Variante Pflicht.</w:t>
      </w:r>
    </w:p>
    <w:p>
      <w:pPr>
        <w:pStyle w:val="Heading1"/>
      </w:pPr>
      <w:r>
        <w:t>Anhang C – Quellen</w:t>
      </w:r>
    </w:p>
    <w:p>
      <w:pPr>
        <w:pStyle w:val="ListBullet"/>
        <w:spacing w:after="40"/>
      </w:pPr>
      <w:r>
        <w:t>Microsoft: ODA Setup Guide (oda-setup-guide.pdf): Abschnitte „Creation of the Assessment Scheduled Task“, „Validate Successful Assessment“ (new.* → processed.*), Offline-Szenario (OMSAssessment.exe, &lt;WorkingDirectory&gt;\XXAssessment)</w:t>
      </w:r>
    </w:p>
    <w:p>
      <w:pPr>
        <w:pStyle w:val="ListBullet"/>
        <w:spacing w:after="40"/>
      </w:pPr>
      <w:r>
        <w:t>Microsoft: ODA Setup Assessment (ODA setupassessment.pdf): Berechtigungsmatrix je Assessment, GPO „Do not forcefully unload the users registry at user logoff“, Validierung über new.*-Dateien, Verknüpfung Subscription + LAW mit dem Services-Hub-Workspace, Hinweis „All Azure Arc enrolled machines … will show up in your Services Hub Workspace(s)“</w:t>
      </w:r>
    </w:p>
    <w:p>
      <w:pPr>
        <w:pStyle w:val="ListBullet"/>
        <w:spacing w:after="40"/>
      </w:pPr>
      <w:r>
        <w:t>Microsoft: Prerequisites AD Assessment (prereqsadassessment (AD).pdf): Konto-Voraussetzungen (Enterprise Admin, Batch-Logon), Add-ADAssessmentTask, Aufgabe „ADAssessment“ innerhalb 1 h und danach alle 7 Tage</w:t>
      </w:r>
    </w:p>
    <w:p>
      <w:pPr>
        <w:pStyle w:val="ListBullet"/>
        <w:spacing w:after="40"/>
      </w:pPr>
      <w:r>
        <w:t>Microsoft: Prerequisites AD Security Assessment: geschützt (IRM), nicht ausgewertet</w:t>
      </w:r>
    </w:p>
    <w:p>
      <w:pPr>
        <w:pStyle w:val="ListBullet"/>
        <w:spacing w:after="40"/>
      </w:pPr>
      <w:r>
        <w:t>Microsoft Learn: Getting started – On-Demand Assessment Active Directory / Active Directory Security (Prerequisites)</w:t>
      </w:r>
    </w:p>
    <w:p>
      <w:pPr>
        <w:pStyle w:val="ListBullet"/>
        <w:spacing w:after="40"/>
      </w:pPr>
      <w:r>
        <w:t>Microsoft Learn: Engage Center Connector – connector-overview, connector-get-started, manage-log-analytics („Can I connect multiple workspaces to a single connector? Yes.“), manage-assessments (Maschinenauswahl je Subscription/RG des LAW)</w:t>
      </w:r>
    </w:p>
    <w:p>
      <w:pPr>
        <w:pStyle w:val="ListBullet"/>
        <w:spacing w:after="40"/>
      </w:pPr>
      <w:r>
        <w:t>Microsoft Learn: Privileged Access Management for Active Directory Domain Services (zeitgebundene Gruppenmitgliedschaft)</w:t>
      </w:r>
    </w:p>
    <w:p>
      <w:pPr>
        <w:pStyle w:val="ListBullet"/>
        <w:spacing w:after="40"/>
      </w:pPr>
      <w:r>
        <w:t>Referenzlauf: Sirona-Trace eines AD-Assessments (Testumgebung, 6 Domänen, 12 DCs): Phasen und Laufzeiten</w:t>
      </w:r>
    </w:p>
    <w:p>
      <w:pPr>
        <w:pStyle w:val="ListBullet"/>
        <w:spacing w:after="40"/>
      </w:pPr>
      <w:r>
        <w:t>ODA Delegation Toolkit: Invoke-ODAJitDelegation.ps1 (-Mode FullEA), README-Abschnitt JIT, Guide Kapitel 10.13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