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2"/>
        </w:rPr>
        <w:t>Setup-Leitfaden: ODA Active Directory &amp; AD Security für mehrere AD-Forests</w:t>
      </w:r>
    </w:p>
    <w:p>
      <w:r>
        <w:rPr>
          <w:color w:val="595959"/>
          <w:sz w:val="25"/>
        </w:rPr>
        <w:t>Engage Center Connector · ein Log Analytics Workspace je Forest · On-Prem-Collector je Forest (Azure Arc)</w:t>
      </w:r>
    </w:p>
    <w:tbl>
      <w:tblPr>
        <w:tblStyle w:val="TableGrid"/>
        <w:tblW w:type="auto" w:w="0"/>
        <w:jc w:val="center"/>
        <w:tblLayout w:type="fixed"/>
        <w:tblLook w:firstColumn="1" w:firstRow="1" w:lastColumn="0" w:lastRow="0" w:noHBand="0" w:noVBand="1" w:val="04A0"/>
      </w:tblPr>
      <w:tblGrid>
        <w:gridCol w:w="2268"/>
        <w:gridCol w:w="7087"/>
      </w:tblGrid>
      <w:tr>
        <w:tc>
          <w:tcPr>
            <w:tcW w:type="dxa" w:w="2268"/>
            <w:shd w:val="clear" w:color="auto" w:fill="1F3A5F"/>
          </w:tcPr>
          <w:p>
            <w:r/>
            <w:r>
              <w:rPr>
                <w:b/>
                <w:color w:val="FFFFFF"/>
                <w:sz w:val="19"/>
              </w:rPr>
              <w:t>Eigenschaft</w:t>
            </w:r>
          </w:p>
        </w:tc>
        <w:tc>
          <w:tcPr>
            <w:tcW w:type="dxa" w:w="7087"/>
            <w:shd w:val="clear" w:color="auto" w:fill="1F3A5F"/>
          </w:tcPr>
          <w:p>
            <w:r/>
            <w:r>
              <w:rPr>
                <w:b/>
                <w:color w:val="FFFFFF"/>
                <w:sz w:val="19"/>
              </w:rPr>
              <w:t>Wert</w:t>
            </w:r>
          </w:p>
        </w:tc>
      </w:tr>
      <w:tr>
        <w:tc>
          <w:tcPr>
            <w:tcW w:type="dxa" w:w="2268"/>
          </w:tcPr>
          <w:p>
            <w:r/>
            <w:r>
              <w:rPr>
                <w:sz w:val="19"/>
              </w:rPr>
              <w:t>Dokument</w:t>
            </w:r>
          </w:p>
        </w:tc>
        <w:tc>
          <w:tcPr>
            <w:tcW w:type="dxa" w:w="7087"/>
          </w:tcPr>
          <w:p>
            <w:r/>
            <w:r>
              <w:rPr>
                <w:sz w:val="19"/>
              </w:rPr>
              <w:t>ODA-MultiForest-Setup-Leitfaden</w:t>
            </w:r>
          </w:p>
        </w:tc>
      </w:tr>
      <w:tr>
        <w:tc>
          <w:tcPr>
            <w:tcW w:type="dxa" w:w="2268"/>
          </w:tcPr>
          <w:p>
            <w:r/>
            <w:r>
              <w:rPr>
                <w:sz w:val="19"/>
              </w:rPr>
              <w:t>Version / Status</w:t>
            </w:r>
          </w:p>
        </w:tc>
        <w:tc>
          <w:tcPr>
            <w:tcW w:type="dxa" w:w="7087"/>
          </w:tcPr>
          <w:p>
            <w:r/>
            <w:r>
              <w:rPr>
                <w:sz w:val="19"/>
              </w:rPr>
              <w:t>1.0 – zur Abstimmung mit dem Kunden</w:t>
            </w:r>
          </w:p>
        </w:tc>
      </w:tr>
      <w:tr>
        <w:tc>
          <w:tcPr>
            <w:tcW w:type="dxa" w:w="2268"/>
          </w:tcPr>
          <w:p>
            <w:r/>
            <w:r>
              <w:rPr>
                <w:sz w:val="19"/>
              </w:rPr>
              <w:t>Datum</w:t>
            </w:r>
          </w:p>
        </w:tc>
        <w:tc>
          <w:tcPr>
            <w:tcW w:type="dxa" w:w="7087"/>
          </w:tcPr>
          <w:p>
            <w:r/>
            <w:r>
              <w:rPr>
                <w:sz w:val="19"/>
              </w:rPr>
              <w:t>05.10.2026</w:t>
            </w:r>
          </w:p>
        </w:tc>
      </w:tr>
      <w:tr>
        <w:tc>
          <w:tcPr>
            <w:tcW w:type="dxa" w:w="2268"/>
          </w:tcPr>
          <w:p>
            <w:r/>
            <w:r>
              <w:rPr>
                <w:sz w:val="19"/>
              </w:rPr>
              <w:t>Zielgruppe</w:t>
            </w:r>
          </w:p>
        </w:tc>
        <w:tc>
          <w:tcPr>
            <w:tcW w:type="dxa" w:w="7087"/>
          </w:tcPr>
          <w:p>
            <w:r/>
            <w:r>
              <w:rPr>
                <w:sz w:val="19"/>
              </w:rPr>
              <w:t>Azure-Subscription-Owner des Kunden, AD-Administratoren je Forest, Microsoft CSA/Engineer</w:t>
            </w:r>
          </w:p>
        </w:tc>
      </w:tr>
      <w:tr>
        <w:tc>
          <w:tcPr>
            <w:tcW w:type="dxa" w:w="2268"/>
          </w:tcPr>
          <w:p>
            <w:r/>
            <w:r>
              <w:rPr>
                <w:sz w:val="19"/>
              </w:rPr>
              <w:t>Geltungsbereich</w:t>
            </w:r>
          </w:p>
        </w:tc>
        <w:tc>
          <w:tcPr>
            <w:tcW w:type="dxa" w:w="7087"/>
          </w:tcPr>
          <w:p>
            <w:r/>
            <w:r>
              <w:rPr>
                <w:sz w:val="19"/>
              </w:rPr>
              <w:t>On-Demand Assessments (ODA) Active Directory und Active Directory Security über den Microsoft Engage Center Connector</w:t>
            </w:r>
          </w:p>
        </w:tc>
      </w:tr>
      <w:tr>
        <w:tc>
          <w:tcPr>
            <w:tcW w:type="dxa" w:w="2268"/>
          </w:tcPr>
          <w:p>
            <w:r/>
            <w:r>
              <w:rPr>
                <w:sz w:val="19"/>
              </w:rPr>
              <w:t>Grundlage</w:t>
            </w:r>
          </w:p>
        </w:tc>
        <w:tc>
          <w:tcPr>
            <w:tcW w:type="dxa" w:w="7087"/>
          </w:tcPr>
          <w:p>
            <w:r/>
            <w:r>
              <w:rPr>
                <w:sz w:val="19"/>
              </w:rPr>
              <w:t>Microsoft Learn – Microsoft Engage Center (Stand 09/2026), ODA Setup-Dokumente, Projekterfahrung</w:t>
            </w:r>
          </w:p>
        </w:tc>
      </w:tr>
    </w:tbl>
    <w:p>
      <w:pPr>
        <w:spacing w:after="40"/>
      </w:pPr>
    </w:p>
    <w:p>
      <w:pPr>
        <w:pStyle w:val="Heading1"/>
      </w:pPr>
      <w:r>
        <w:t>1. Zielbild</w:t>
      </w:r>
    </w:p>
    <w:p>
      <w:pPr>
        <w:spacing w:after="80"/>
      </w:pPr>
      <w:r>
        <w:rPr>
          <w:i w:val="0"/>
        </w:rPr>
        <w:t>Der Kunde betreibt mehrere voneinander getrennte AD-Forests. Für jeden Forest werden die Assessments AD und AD Security von einem eigenen Collector-Server ausgeführt. Der Collector ist Mitgliedsserver in genau diesem Forest. Die Ergebnisse landen in einem eigenen Log Analytics Workspace (LAW) je Forest. Alle LAWs liegen in der Azure-Subscription des Kunden und hängen an EINEM Engage Center Connector.</w:t>
      </w:r>
    </w:p>
    <w:tbl>
      <w:tblPr>
        <w:tblStyle w:val="TableGrid"/>
        <w:tblW w:type="auto" w:w="0"/>
        <w:jc w:val="center"/>
        <w:tblLayout w:type="fixed"/>
        <w:tblLook w:firstColumn="1" w:firstRow="1" w:lastColumn="0" w:lastRow="0" w:noHBand="0" w:noVBand="1" w:val="04A0"/>
      </w:tblPr>
      <w:tblGrid>
        <w:gridCol w:w="2041"/>
        <w:gridCol w:w="1134"/>
        <w:gridCol w:w="2948"/>
        <w:gridCol w:w="3231"/>
      </w:tblGrid>
      <w:tr>
        <w:tc>
          <w:tcPr>
            <w:tcW w:type="dxa" w:w="2041"/>
            <w:shd w:val="clear" w:color="auto" w:fill="1F3A5F"/>
          </w:tcPr>
          <w:p>
            <w:r/>
            <w:r>
              <w:rPr>
                <w:b/>
                <w:color w:val="FFFFFF"/>
                <w:sz w:val="19"/>
              </w:rPr>
              <w:t>Ebene</w:t>
            </w:r>
          </w:p>
        </w:tc>
        <w:tc>
          <w:tcPr>
            <w:tcW w:type="dxa" w:w="1134"/>
            <w:shd w:val="clear" w:color="auto" w:fill="1F3A5F"/>
          </w:tcPr>
          <w:p>
            <w:r/>
            <w:r>
              <w:rPr>
                <w:b/>
                <w:color w:val="FFFFFF"/>
                <w:sz w:val="19"/>
              </w:rPr>
              <w:t>Anzahl</w:t>
            </w:r>
          </w:p>
        </w:tc>
        <w:tc>
          <w:tcPr>
            <w:tcW w:type="dxa" w:w="2948"/>
            <w:shd w:val="clear" w:color="auto" w:fill="1F3A5F"/>
          </w:tcPr>
          <w:p>
            <w:r/>
            <w:r>
              <w:rPr>
                <w:b/>
                <w:color w:val="FFFFFF"/>
                <w:sz w:val="19"/>
              </w:rPr>
              <w:t>Beispielname</w:t>
            </w:r>
          </w:p>
        </w:tc>
        <w:tc>
          <w:tcPr>
            <w:tcW w:type="dxa" w:w="3231"/>
            <w:shd w:val="clear" w:color="auto" w:fill="1F3A5F"/>
          </w:tcPr>
          <w:p>
            <w:r/>
            <w:r>
              <w:rPr>
                <w:b/>
                <w:color w:val="FFFFFF"/>
                <w:sz w:val="19"/>
              </w:rPr>
              <w:t>Zweck</w:t>
            </w:r>
          </w:p>
        </w:tc>
      </w:tr>
      <w:tr>
        <w:tc>
          <w:tcPr>
            <w:tcW w:type="dxa" w:w="2041"/>
          </w:tcPr>
          <w:p>
            <w:r/>
            <w:r>
              <w:rPr>
                <w:sz w:val="19"/>
              </w:rPr>
              <w:t>Azure-Subscription</w:t>
            </w:r>
          </w:p>
        </w:tc>
        <w:tc>
          <w:tcPr>
            <w:tcW w:type="dxa" w:w="1134"/>
          </w:tcPr>
          <w:p>
            <w:r/>
            <w:r>
              <w:rPr>
                <w:sz w:val="19"/>
              </w:rPr>
              <w:t>1</w:t>
            </w:r>
          </w:p>
        </w:tc>
        <w:tc>
          <w:tcPr>
            <w:tcW w:type="dxa" w:w="2948"/>
          </w:tcPr>
          <w:p>
            <w:r/>
            <w:r>
              <w:rPr>
                <w:sz w:val="19"/>
              </w:rPr>
              <w:t>(vorhanden, Kunde ist Owner, vom CSAM mit dem Unified-Vertrag verknüpft)</w:t>
            </w:r>
          </w:p>
        </w:tc>
        <w:tc>
          <w:tcPr>
            <w:tcW w:type="dxa" w:w="3231"/>
          </w:tcPr>
          <w:p>
            <w:r/>
            <w:r>
              <w:rPr>
                <w:sz w:val="19"/>
              </w:rPr>
              <w:t>Trägt alle ODA-Ressourcen</w:t>
            </w:r>
          </w:p>
        </w:tc>
      </w:tr>
      <w:tr>
        <w:tc>
          <w:tcPr>
            <w:tcW w:type="dxa" w:w="2041"/>
          </w:tcPr>
          <w:p>
            <w:r/>
            <w:r>
              <w:rPr>
                <w:sz w:val="19"/>
              </w:rPr>
              <w:t>Resource Group Connector</w:t>
            </w:r>
          </w:p>
        </w:tc>
        <w:tc>
          <w:tcPr>
            <w:tcW w:type="dxa" w:w="1134"/>
          </w:tcPr>
          <w:p>
            <w:r/>
            <w:r>
              <w:rPr>
                <w:sz w:val="19"/>
              </w:rPr>
              <w:t>1</w:t>
            </w:r>
          </w:p>
        </w:tc>
        <w:tc>
          <w:tcPr>
            <w:tcW w:type="dxa" w:w="2948"/>
          </w:tcPr>
          <w:p>
            <w:r/>
            <w:r>
              <w:rPr>
                <w:sz w:val="19"/>
              </w:rPr>
              <w:t>rg-oda-connector</w:t>
            </w:r>
          </w:p>
        </w:tc>
        <w:tc>
          <w:tcPr>
            <w:tcW w:type="dxa" w:w="3231"/>
          </w:tcPr>
          <w:p>
            <w:r/>
            <w:r>
              <w:rPr>
                <w:sz w:val="19"/>
              </w:rPr>
              <w:t>Enthält den Engage Center Connector</w:t>
            </w:r>
          </w:p>
        </w:tc>
      </w:tr>
      <w:tr>
        <w:tc>
          <w:tcPr>
            <w:tcW w:type="dxa" w:w="2041"/>
          </w:tcPr>
          <w:p>
            <w:r/>
            <w:r>
              <w:rPr>
                <w:sz w:val="19"/>
              </w:rPr>
              <w:t>Engage Center Connector</w:t>
            </w:r>
          </w:p>
        </w:tc>
        <w:tc>
          <w:tcPr>
            <w:tcW w:type="dxa" w:w="1134"/>
          </w:tcPr>
          <w:p>
            <w:r/>
            <w:r>
              <w:rPr>
                <w:sz w:val="19"/>
              </w:rPr>
              <w:t>1</w:t>
            </w:r>
          </w:p>
        </w:tc>
        <w:tc>
          <w:tcPr>
            <w:tcW w:type="dxa" w:w="2948"/>
          </w:tcPr>
          <w:p>
            <w:r/>
            <w:r>
              <w:rPr>
                <w:sz w:val="19"/>
              </w:rPr>
              <w:t>ecc-oda-&lt;kunde&gt;</w:t>
            </w:r>
          </w:p>
        </w:tc>
        <w:tc>
          <w:tcPr>
            <w:tcW w:type="dxa" w:w="3231"/>
          </w:tcPr>
          <w:p>
            <w:r/>
            <w:r>
              <w:rPr>
                <w:sz w:val="19"/>
              </w:rPr>
              <w:t>Zentrale Sicht auf alle ODA-Ergebnisse, verwaltet mehrere LAW-Verbindungen</w:t>
            </w:r>
          </w:p>
        </w:tc>
      </w:tr>
      <w:tr>
        <w:tc>
          <w:tcPr>
            <w:tcW w:type="dxa" w:w="2041"/>
          </w:tcPr>
          <w:p>
            <w:r/>
            <w:r>
              <w:rPr>
                <w:sz w:val="19"/>
              </w:rPr>
              <w:t>Resource Group je Forest</w:t>
            </w:r>
          </w:p>
        </w:tc>
        <w:tc>
          <w:tcPr>
            <w:tcW w:type="dxa" w:w="1134"/>
          </w:tcPr>
          <w:p>
            <w:r/>
            <w:r>
              <w:rPr>
                <w:sz w:val="19"/>
              </w:rPr>
              <w:t>1 je Forest</w:t>
            </w:r>
          </w:p>
        </w:tc>
        <w:tc>
          <w:tcPr>
            <w:tcW w:type="dxa" w:w="2948"/>
          </w:tcPr>
          <w:p>
            <w:r/>
            <w:r>
              <w:rPr>
                <w:sz w:val="19"/>
              </w:rPr>
              <w:t>rg-oda-&lt;forest&gt;</w:t>
            </w:r>
          </w:p>
        </w:tc>
        <w:tc>
          <w:tcPr>
            <w:tcW w:type="dxa" w:w="3231"/>
          </w:tcPr>
          <w:p>
            <w:r/>
            <w:r>
              <w:rPr>
                <w:sz w:val="19"/>
              </w:rPr>
              <w:t>Enthält LAW und Arc-Collector dieses Forests; Rechte je Forest</w:t>
            </w:r>
          </w:p>
        </w:tc>
      </w:tr>
      <w:tr>
        <w:tc>
          <w:tcPr>
            <w:tcW w:type="dxa" w:w="2041"/>
          </w:tcPr>
          <w:p>
            <w:r/>
            <w:r>
              <w:rPr>
                <w:sz w:val="19"/>
              </w:rPr>
              <w:t>Log Analytics Workspace</w:t>
            </w:r>
          </w:p>
        </w:tc>
        <w:tc>
          <w:tcPr>
            <w:tcW w:type="dxa" w:w="1134"/>
          </w:tcPr>
          <w:p>
            <w:r/>
            <w:r>
              <w:rPr>
                <w:sz w:val="19"/>
              </w:rPr>
              <w:t>1 je Forest</w:t>
            </w:r>
          </w:p>
        </w:tc>
        <w:tc>
          <w:tcPr>
            <w:tcW w:type="dxa" w:w="2948"/>
          </w:tcPr>
          <w:p>
            <w:r/>
            <w:r>
              <w:rPr>
                <w:sz w:val="19"/>
              </w:rPr>
              <w:t>law-oda-&lt;forest&gt;</w:t>
            </w:r>
          </w:p>
        </w:tc>
        <w:tc>
          <w:tcPr>
            <w:tcW w:type="dxa" w:w="3231"/>
          </w:tcPr>
          <w:p>
            <w:r/>
            <w:r>
              <w:rPr>
                <w:sz w:val="19"/>
              </w:rPr>
              <w:t>Speichert die Assessment-Ergebnisse dieses Forests</w:t>
            </w:r>
          </w:p>
        </w:tc>
      </w:tr>
      <w:tr>
        <w:tc>
          <w:tcPr>
            <w:tcW w:type="dxa" w:w="2041"/>
          </w:tcPr>
          <w:p>
            <w:r/>
            <w:r>
              <w:rPr>
                <w:sz w:val="19"/>
              </w:rPr>
              <w:t>Collector (On-Prem)</w:t>
            </w:r>
          </w:p>
        </w:tc>
        <w:tc>
          <w:tcPr>
            <w:tcW w:type="dxa" w:w="1134"/>
          </w:tcPr>
          <w:p>
            <w:r/>
            <w:r>
              <w:rPr>
                <w:sz w:val="19"/>
              </w:rPr>
              <w:t>1 je Forest</w:t>
            </w:r>
          </w:p>
        </w:tc>
        <w:tc>
          <w:tcPr>
            <w:tcW w:type="dxa" w:w="2948"/>
          </w:tcPr>
          <w:p>
            <w:r/>
            <w:r>
              <w:rPr>
                <w:sz w:val="19"/>
              </w:rPr>
              <w:t>ODA-COL-&lt;FOREST&gt;</w:t>
            </w:r>
          </w:p>
        </w:tc>
        <w:tc>
          <w:tcPr>
            <w:tcW w:type="dxa" w:w="3231"/>
          </w:tcPr>
          <w:p>
            <w:r/>
            <w:r>
              <w:rPr>
                <w:sz w:val="19"/>
              </w:rPr>
              <w:t>Mitgliedsserver im Forest; per Azure Arc + Azure Monitor Agent angebunden</w:t>
            </w:r>
          </w:p>
        </w:tc>
      </w:tr>
      <w:tr>
        <w:tc>
          <w:tcPr>
            <w:tcW w:type="dxa" w:w="2041"/>
          </w:tcPr>
          <w:p>
            <w:r/>
            <w:r>
              <w:rPr>
                <w:sz w:val="19"/>
              </w:rPr>
              <w:t>Assessment-Konto</w:t>
            </w:r>
          </w:p>
        </w:tc>
        <w:tc>
          <w:tcPr>
            <w:tcW w:type="dxa" w:w="1134"/>
          </w:tcPr>
          <w:p>
            <w:r/>
            <w:r>
              <w:rPr>
                <w:sz w:val="19"/>
              </w:rPr>
              <w:t>1 je Forest</w:t>
            </w:r>
          </w:p>
        </w:tc>
        <w:tc>
          <w:tcPr>
            <w:tcW w:type="dxa" w:w="2948"/>
          </w:tcPr>
          <w:p>
            <w:r/>
            <w:r>
              <w:rPr>
                <w:sz w:val="19"/>
              </w:rPr>
              <w:t>&lt;FOREST&gt;\gMSA-ODA$</w:t>
            </w:r>
          </w:p>
        </w:tc>
        <w:tc>
          <w:tcPr>
            <w:tcW w:type="dxa" w:w="3231"/>
          </w:tcPr>
          <w:p>
            <w:r/>
            <w:r>
              <w:rPr>
                <w:sz w:val="19"/>
              </w:rPr>
              <w:t>Führt AD und AD Security auf dem Collector aus</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DEEBF7"/>
          </w:tcPr>
          <w:p>
            <w:r/>
            <w:r>
              <w:rPr>
                <w:b/>
                <w:sz w:val="19"/>
              </w:rPr>
              <w:t xml:space="preserve">Warum diese Aufteilung? </w:t>
            </w:r>
            <w:r>
              <w:rPr>
                <w:sz w:val="19"/>
              </w:rPr>
              <w:t>Laut Microsoft Learn kann ein Engage Center Connector mehrere LAWs verbinden („Can I connect multiple workspaces to a single connector? Yes.“). Beim Hinzufügen eines Assessments werden nur Maschinen aus derselben Subscription/Resource Group wie der gerade aktive LAW angeboten. Deshalb gehören LAW und Collector eines Forests in dieselbe Resource Group. So kann man nicht versehentlich den Collector eines anderen Forests wählen.</w:t>
            </w:r>
          </w:p>
        </w:tc>
      </w:tr>
    </w:tbl>
    <w:p>
      <w:pPr>
        <w:spacing w:after="40"/>
      </w:pPr>
    </w:p>
    <w:p>
      <w:pPr>
        <w:pStyle w:val="Heading2"/>
      </w:pPr>
      <w:r>
        <w:t>1.1 Ablauf im Überblick</w:t>
      </w:r>
    </w:p>
    <w:tbl>
      <w:tblPr>
        <w:tblStyle w:val="TableGrid"/>
        <w:tblW w:type="auto" w:w="0"/>
        <w:jc w:val="center"/>
        <w:tblLayout w:type="fixed"/>
        <w:tblLook w:firstColumn="1" w:firstRow="1" w:lastColumn="0" w:lastRow="0" w:noHBand="0" w:noVBand="1" w:val="04A0"/>
      </w:tblPr>
      <w:tblGrid>
        <w:gridCol w:w="907"/>
        <w:gridCol w:w="3402"/>
        <w:gridCol w:w="1871"/>
        <w:gridCol w:w="1871"/>
        <w:gridCol w:w="1304"/>
      </w:tblGrid>
      <w:tr>
        <w:tc>
          <w:tcPr>
            <w:tcW w:type="dxa" w:w="907"/>
            <w:shd w:val="clear" w:color="auto" w:fill="1F3A5F"/>
          </w:tcPr>
          <w:p>
            <w:r/>
            <w:r>
              <w:rPr>
                <w:b/>
                <w:color w:val="FFFFFF"/>
                <w:sz w:val="19"/>
              </w:rPr>
              <w:t>Phase</w:t>
            </w:r>
          </w:p>
        </w:tc>
        <w:tc>
          <w:tcPr>
            <w:tcW w:type="dxa" w:w="3402"/>
            <w:shd w:val="clear" w:color="auto" w:fill="1F3A5F"/>
          </w:tcPr>
          <w:p>
            <w:r/>
            <w:r>
              <w:rPr>
                <w:b/>
                <w:color w:val="FFFFFF"/>
                <w:sz w:val="19"/>
              </w:rPr>
              <w:t>Was</w:t>
            </w:r>
          </w:p>
        </w:tc>
        <w:tc>
          <w:tcPr>
            <w:tcW w:type="dxa" w:w="1871"/>
            <w:shd w:val="clear" w:color="auto" w:fill="1F3A5F"/>
          </w:tcPr>
          <w:p>
            <w:r/>
            <w:r>
              <w:rPr>
                <w:b/>
                <w:color w:val="FFFFFF"/>
                <w:sz w:val="19"/>
              </w:rPr>
              <w:t>Wer</w:t>
            </w:r>
          </w:p>
        </w:tc>
        <w:tc>
          <w:tcPr>
            <w:tcW w:type="dxa" w:w="1871"/>
            <w:shd w:val="clear" w:color="auto" w:fill="1F3A5F"/>
          </w:tcPr>
          <w:p>
            <w:r/>
            <w:r>
              <w:rPr>
                <w:b/>
                <w:color w:val="FFFFFF"/>
                <w:sz w:val="19"/>
              </w:rPr>
              <w:t>Wo</w:t>
            </w:r>
          </w:p>
        </w:tc>
        <w:tc>
          <w:tcPr>
            <w:tcW w:type="dxa" w:w="1304"/>
            <w:shd w:val="clear" w:color="auto" w:fill="1F3A5F"/>
          </w:tcPr>
          <w:p>
            <w:r/>
            <w:r>
              <w:rPr>
                <w:b/>
                <w:color w:val="FFFFFF"/>
                <w:sz w:val="19"/>
              </w:rPr>
              <w:t>Wie oft</w:t>
            </w:r>
          </w:p>
        </w:tc>
      </w:tr>
      <w:tr>
        <w:tc>
          <w:tcPr>
            <w:tcW w:type="dxa" w:w="907"/>
          </w:tcPr>
          <w:p>
            <w:r/>
            <w:r>
              <w:rPr>
                <w:sz w:val="19"/>
              </w:rPr>
              <w:t>A</w:t>
            </w:r>
          </w:p>
        </w:tc>
        <w:tc>
          <w:tcPr>
            <w:tcW w:type="dxa" w:w="3402"/>
          </w:tcPr>
          <w:p>
            <w:r/>
            <w:r>
              <w:rPr>
                <w:sz w:val="19"/>
              </w:rPr>
              <w:t>Azure-Grundlagen: Resource Provider, Resource Groups, LAWs, Engage Center Connector, Rechte</w:t>
            </w:r>
          </w:p>
        </w:tc>
        <w:tc>
          <w:tcPr>
            <w:tcW w:type="dxa" w:w="1871"/>
          </w:tcPr>
          <w:p>
            <w:r/>
            <w:r>
              <w:rPr>
                <w:sz w:val="19"/>
              </w:rPr>
              <w:t>Azure-Owner des Kunden</w:t>
            </w:r>
          </w:p>
        </w:tc>
        <w:tc>
          <w:tcPr>
            <w:tcW w:type="dxa" w:w="1871"/>
          </w:tcPr>
          <w:p>
            <w:r/>
            <w:r>
              <w:rPr>
                <w:sz w:val="19"/>
              </w:rPr>
              <w:t>Azure-Portal / Az PowerShell</w:t>
            </w:r>
          </w:p>
        </w:tc>
        <w:tc>
          <w:tcPr>
            <w:tcW w:type="dxa" w:w="1304"/>
          </w:tcPr>
          <w:p>
            <w:r/>
            <w:r>
              <w:rPr>
                <w:sz w:val="19"/>
              </w:rPr>
              <w:t>einmalig (LAW + RG je Forest)</w:t>
            </w:r>
          </w:p>
        </w:tc>
      </w:tr>
      <w:tr>
        <w:tc>
          <w:tcPr>
            <w:tcW w:type="dxa" w:w="907"/>
          </w:tcPr>
          <w:p>
            <w:r/>
            <w:r>
              <w:rPr>
                <w:sz w:val="19"/>
              </w:rPr>
              <w:t>B</w:t>
            </w:r>
          </w:p>
        </w:tc>
        <w:tc>
          <w:tcPr>
            <w:tcW w:type="dxa" w:w="3402"/>
          </w:tcPr>
          <w:p>
            <w:r/>
            <w:r>
              <w:rPr>
                <w:sz w:val="19"/>
              </w:rPr>
              <w:t>Collector vorbereiten: Server, Netzwerk, GPO, Assessment-Konto, Azure Arc, Azure Monitor Agent</w:t>
            </w:r>
          </w:p>
        </w:tc>
        <w:tc>
          <w:tcPr>
            <w:tcW w:type="dxa" w:w="1871"/>
          </w:tcPr>
          <w:p>
            <w:r/>
            <w:r>
              <w:rPr>
                <w:sz w:val="19"/>
              </w:rPr>
              <w:t>AD-/Server-Admin des Forests</w:t>
            </w:r>
          </w:p>
        </w:tc>
        <w:tc>
          <w:tcPr>
            <w:tcW w:type="dxa" w:w="1871"/>
          </w:tcPr>
          <w:p>
            <w:r/>
            <w:r>
              <w:rPr>
                <w:sz w:val="19"/>
              </w:rPr>
              <w:t>On-Prem (Collector, AD)</w:t>
            </w:r>
          </w:p>
        </w:tc>
        <w:tc>
          <w:tcPr>
            <w:tcW w:type="dxa" w:w="1304"/>
          </w:tcPr>
          <w:p>
            <w:r/>
            <w:r>
              <w:rPr>
                <w:sz w:val="19"/>
              </w:rPr>
              <w:t>je Forest</w:t>
            </w:r>
          </w:p>
        </w:tc>
      </w:tr>
      <w:tr>
        <w:tc>
          <w:tcPr>
            <w:tcW w:type="dxa" w:w="907"/>
          </w:tcPr>
          <w:p>
            <w:r/>
            <w:r>
              <w:rPr>
                <w:sz w:val="19"/>
              </w:rPr>
              <w:t>C</w:t>
            </w:r>
          </w:p>
        </w:tc>
        <w:tc>
          <w:tcPr>
            <w:tcW w:type="dxa" w:w="3402"/>
          </w:tcPr>
          <w:p>
            <w:r/>
            <w:r>
              <w:rPr>
                <w:sz w:val="19"/>
              </w:rPr>
              <w:t>Assessments einrichten: im Connector hinzufügen, auf dem Collector registrieren</w:t>
            </w:r>
          </w:p>
        </w:tc>
        <w:tc>
          <w:tcPr>
            <w:tcW w:type="dxa" w:w="1871"/>
          </w:tcPr>
          <w:p>
            <w:r/>
            <w:r>
              <w:rPr>
                <w:sz w:val="19"/>
              </w:rPr>
              <w:t>Forest-Admin + Azure-Owner</w:t>
            </w:r>
          </w:p>
        </w:tc>
        <w:tc>
          <w:tcPr>
            <w:tcW w:type="dxa" w:w="1871"/>
          </w:tcPr>
          <w:p>
            <w:r/>
            <w:r>
              <w:rPr>
                <w:sz w:val="19"/>
              </w:rPr>
              <w:t>Azure-Portal + Collector</w:t>
            </w:r>
          </w:p>
        </w:tc>
        <w:tc>
          <w:tcPr>
            <w:tcW w:type="dxa" w:w="1304"/>
          </w:tcPr>
          <w:p>
            <w:r/>
            <w:r>
              <w:rPr>
                <w:sz w:val="19"/>
              </w:rPr>
              <w:t>je Forest</w:t>
            </w:r>
          </w:p>
        </w:tc>
      </w:tr>
      <w:tr>
        <w:tc>
          <w:tcPr>
            <w:tcW w:type="dxa" w:w="907"/>
          </w:tcPr>
          <w:p>
            <w:r/>
            <w:r>
              <w:rPr>
                <w:sz w:val="19"/>
              </w:rPr>
              <w:t>D</w:t>
            </w:r>
          </w:p>
        </w:tc>
        <w:tc>
          <w:tcPr>
            <w:tcW w:type="dxa" w:w="3402"/>
          </w:tcPr>
          <w:p>
            <w:r/>
            <w:r>
              <w:rPr>
                <w:sz w:val="19"/>
              </w:rPr>
              <w:t>Validieren: erster Lauf, Dateien, Daten im LAW, Ansicht im Engage Center</w:t>
            </w:r>
          </w:p>
        </w:tc>
        <w:tc>
          <w:tcPr>
            <w:tcW w:type="dxa" w:w="1871"/>
          </w:tcPr>
          <w:p>
            <w:r/>
            <w:r>
              <w:rPr>
                <w:sz w:val="19"/>
              </w:rPr>
              <w:t>Forest-Admin, CSA</w:t>
            </w:r>
          </w:p>
        </w:tc>
        <w:tc>
          <w:tcPr>
            <w:tcW w:type="dxa" w:w="1871"/>
          </w:tcPr>
          <w:p>
            <w:r/>
            <w:r>
              <w:rPr>
                <w:sz w:val="19"/>
              </w:rPr>
              <w:t>Collector, Azure-Portal, Engage Center</w:t>
            </w:r>
          </w:p>
        </w:tc>
        <w:tc>
          <w:tcPr>
            <w:tcW w:type="dxa" w:w="1304"/>
          </w:tcPr>
          <w:p>
            <w:r/>
            <w:r>
              <w:rPr>
                <w:sz w:val="19"/>
              </w:rPr>
              <w:t>je Forest</w:t>
            </w:r>
          </w:p>
        </w:tc>
      </w:tr>
      <w:tr>
        <w:tc>
          <w:tcPr>
            <w:tcW w:type="dxa" w:w="907"/>
          </w:tcPr>
          <w:p>
            <w:r/>
            <w:r>
              <w:rPr>
                <w:sz w:val="19"/>
              </w:rPr>
              <w:t>E</w:t>
            </w:r>
          </w:p>
        </w:tc>
        <w:tc>
          <w:tcPr>
            <w:tcW w:type="dxa" w:w="3402"/>
          </w:tcPr>
          <w:p>
            <w:r/>
            <w:r>
              <w:rPr>
                <w:sz w:val="19"/>
              </w:rPr>
              <w:t>Betrieb: wöchentliche Läufe, Überwachung, weiterer Forest</w:t>
            </w:r>
          </w:p>
        </w:tc>
        <w:tc>
          <w:tcPr>
            <w:tcW w:type="dxa" w:w="1871"/>
          </w:tcPr>
          <w:p>
            <w:r/>
            <w:r>
              <w:rPr>
                <w:sz w:val="19"/>
              </w:rPr>
              <w:t>Betrieb</w:t>
            </w:r>
          </w:p>
        </w:tc>
        <w:tc>
          <w:tcPr>
            <w:tcW w:type="dxa" w:w="1871"/>
          </w:tcPr>
          <w:p>
            <w:r/>
            <w:r>
              <w:rPr>
                <w:sz w:val="19"/>
              </w:rPr>
              <w:t>–</w:t>
            </w:r>
          </w:p>
        </w:tc>
        <w:tc>
          <w:tcPr>
            <w:tcW w:type="dxa" w:w="1304"/>
          </w:tcPr>
          <w:p>
            <w:r/>
            <w:r>
              <w:rPr>
                <w:sz w:val="19"/>
              </w:rPr>
              <w:t>laufend</w:t>
            </w:r>
          </w:p>
        </w:tc>
      </w:tr>
    </w:tbl>
    <w:p>
      <w:pPr>
        <w:spacing w:after="40"/>
      </w:pPr>
    </w:p>
    <w:p>
      <w:pPr>
        <w:pStyle w:val="Heading1"/>
      </w:pPr>
      <w:r>
        <w:t>2. Vorab klären (Checkliste)</w:t>
      </w:r>
    </w:p>
    <w:tbl>
      <w:tblPr>
        <w:tblStyle w:val="TableGrid"/>
        <w:tblW w:type="auto" w:w="0"/>
        <w:jc w:val="center"/>
        <w:tblLayout w:type="fixed"/>
        <w:tblLook w:firstColumn="1" w:firstRow="1" w:lastColumn="0" w:lastRow="0" w:noHBand="0" w:noVBand="1" w:val="04A0"/>
      </w:tblPr>
      <w:tblGrid>
        <w:gridCol w:w="453"/>
        <w:gridCol w:w="3175"/>
        <w:gridCol w:w="5726"/>
      </w:tblGrid>
      <w:tr>
        <w:tc>
          <w:tcPr>
            <w:tcW w:type="dxa" w:w="454"/>
            <w:shd w:val="clear" w:color="auto" w:fill="1F3A5F"/>
          </w:tcPr>
          <w:p>
            <w:r/>
            <w:r>
              <w:rPr>
                <w:b/>
                <w:color w:val="FFFFFF"/>
                <w:sz w:val="19"/>
              </w:rPr>
              <w:t>#</w:t>
            </w:r>
          </w:p>
        </w:tc>
        <w:tc>
          <w:tcPr>
            <w:tcW w:type="dxa" w:w="3175"/>
            <w:shd w:val="clear" w:color="auto" w:fill="1F3A5F"/>
          </w:tcPr>
          <w:p>
            <w:r/>
            <w:r>
              <w:rPr>
                <w:b/>
                <w:color w:val="FFFFFF"/>
                <w:sz w:val="19"/>
              </w:rPr>
              <w:t>Punkt</w:t>
            </w:r>
          </w:p>
        </w:tc>
        <w:tc>
          <w:tcPr>
            <w:tcW w:type="dxa" w:w="5726"/>
            <w:shd w:val="clear" w:color="auto" w:fill="1F3A5F"/>
          </w:tcPr>
          <w:p>
            <w:r/>
            <w:r>
              <w:rPr>
                <w:b/>
                <w:color w:val="FFFFFF"/>
                <w:sz w:val="19"/>
              </w:rPr>
              <w:t>Status / Hinweis</w:t>
            </w:r>
          </w:p>
        </w:tc>
      </w:tr>
      <w:tr>
        <w:tc>
          <w:tcPr>
            <w:tcW w:type="dxa" w:w="454"/>
          </w:tcPr>
          <w:p>
            <w:r/>
            <w:r>
              <w:rPr>
                <w:sz w:val="19"/>
              </w:rPr>
              <w:t>1</w:t>
            </w:r>
          </w:p>
        </w:tc>
        <w:tc>
          <w:tcPr>
            <w:tcW w:type="dxa" w:w="3175"/>
          </w:tcPr>
          <w:p>
            <w:r/>
            <w:r>
              <w:rPr>
                <w:sz w:val="19"/>
              </w:rPr>
              <w:t>Azure-Subscription ist mit dem Unified-Vertrag verknüpft</w:t>
            </w:r>
          </w:p>
        </w:tc>
        <w:tc>
          <w:tcPr>
            <w:tcW w:type="dxa" w:w="5726"/>
          </w:tcPr>
          <w:p>
            <w:r/>
            <w:r>
              <w:rPr>
                <w:sz w:val="19"/>
              </w:rPr>
              <w:t>Erledigt (CSAM). Sonst erscheinen beim Anlegen des Connectors zwei Optionen „Services Hub“ / „Engage Center“ (siehe Fehlerbehebung).</w:t>
            </w:r>
          </w:p>
        </w:tc>
      </w:tr>
      <w:tr>
        <w:tc>
          <w:tcPr>
            <w:tcW w:type="dxa" w:w="454"/>
          </w:tcPr>
          <w:p>
            <w:r/>
            <w:r>
              <w:rPr>
                <w:sz w:val="19"/>
              </w:rPr>
              <w:t>2</w:t>
            </w:r>
          </w:p>
        </w:tc>
        <w:tc>
          <w:tcPr>
            <w:tcW w:type="dxa" w:w="3175"/>
          </w:tcPr>
          <w:p>
            <w:r/>
            <w:r>
              <w:rPr>
                <w:sz w:val="19"/>
              </w:rPr>
              <w:t>Kunde ist Owner der Subscription</w:t>
            </w:r>
          </w:p>
        </w:tc>
        <w:tc>
          <w:tcPr>
            <w:tcW w:type="dxa" w:w="5726"/>
          </w:tcPr>
          <w:p>
            <w:r/>
            <w:r>
              <w:rPr>
                <w:sz w:val="19"/>
              </w:rPr>
              <w:t>Erledigt. Darf Resource Provider registrieren, RGs/LAWs/Connector anlegen und Rechte vergeben.</w:t>
            </w:r>
          </w:p>
        </w:tc>
      </w:tr>
      <w:tr>
        <w:tc>
          <w:tcPr>
            <w:tcW w:type="dxa" w:w="454"/>
          </w:tcPr>
          <w:p>
            <w:r/>
            <w:r>
              <w:rPr>
                <w:sz w:val="19"/>
              </w:rPr>
              <w:t>3</w:t>
            </w:r>
          </w:p>
        </w:tc>
        <w:tc>
          <w:tcPr>
            <w:tcW w:type="dxa" w:w="3175"/>
          </w:tcPr>
          <w:p>
            <w:r/>
            <w:r>
              <w:rPr>
                <w:sz w:val="19"/>
              </w:rPr>
              <w:t>Benutzer im Engage Center registriert, Rolle „Health“</w:t>
            </w:r>
          </w:p>
        </w:tc>
        <w:tc>
          <w:tcPr>
            <w:tcW w:type="dxa" w:w="5726"/>
          </w:tcPr>
          <w:p>
            <w:r/>
            <w:r>
              <w:rPr>
                <w:sz w:val="19"/>
              </w:rPr>
              <w:t>Azure-Owner und ggf. Microsoft-Engineer werden vom Services Admin / CSAM eingeladen.</w:t>
            </w:r>
          </w:p>
        </w:tc>
      </w:tr>
      <w:tr>
        <w:tc>
          <w:tcPr>
            <w:tcW w:type="dxa" w:w="454"/>
          </w:tcPr>
          <w:p>
            <w:r/>
            <w:r>
              <w:rPr>
                <w:sz w:val="19"/>
              </w:rPr>
              <w:t>4</w:t>
            </w:r>
          </w:p>
        </w:tc>
        <w:tc>
          <w:tcPr>
            <w:tcW w:type="dxa" w:w="3175"/>
          </w:tcPr>
          <w:p>
            <w:r/>
            <w:r>
              <w:rPr>
                <w:sz w:val="19"/>
              </w:rPr>
              <w:t>Azure-Region festlegen</w:t>
            </w:r>
          </w:p>
        </w:tc>
        <w:tc>
          <w:tcPr>
            <w:tcW w:type="dxa" w:w="5726"/>
          </w:tcPr>
          <w:p>
            <w:r/>
            <w:r>
              <w:rPr>
                <w:sz w:val="19"/>
              </w:rPr>
              <w:t>Beispiel: Germany West Central (für Connector, LAWs und Arc-Ressourcen gleich wählen).</w:t>
            </w:r>
          </w:p>
        </w:tc>
      </w:tr>
      <w:tr>
        <w:tc>
          <w:tcPr>
            <w:tcW w:type="dxa" w:w="454"/>
          </w:tcPr>
          <w:p>
            <w:r/>
            <w:r>
              <w:rPr>
                <w:sz w:val="19"/>
              </w:rPr>
              <w:t>5</w:t>
            </w:r>
          </w:p>
        </w:tc>
        <w:tc>
          <w:tcPr>
            <w:tcW w:type="dxa" w:w="3175"/>
          </w:tcPr>
          <w:p>
            <w:r/>
            <w:r>
              <w:rPr>
                <w:sz w:val="19"/>
              </w:rPr>
              <w:t>Azure Policy der Subscription (zentrales Azure-Team)</w:t>
            </w:r>
          </w:p>
        </w:tc>
        <w:tc>
          <w:tcPr>
            <w:tcW w:type="dxa" w:w="5726"/>
          </w:tcPr>
          <w:p>
            <w:r/>
            <w:r>
              <w:rPr>
                <w:sz w:val="19"/>
              </w:rPr>
              <w:t>Ressourcentypen Microsoft.OperationalInsights, Microsoft.OperationsManagement, Microsoft.HybridCompute, Microsoft.ServicesHub und die Region müssen erlaubt sein; Tag-Pflichten beachten.</w:t>
            </w:r>
          </w:p>
        </w:tc>
      </w:tr>
      <w:tr>
        <w:tc>
          <w:tcPr>
            <w:tcW w:type="dxa" w:w="454"/>
          </w:tcPr>
          <w:p>
            <w:r/>
            <w:r>
              <w:rPr>
                <w:sz w:val="19"/>
              </w:rPr>
              <w:t>6</w:t>
            </w:r>
          </w:p>
        </w:tc>
        <w:tc>
          <w:tcPr>
            <w:tcW w:type="dxa" w:w="3175"/>
          </w:tcPr>
          <w:p>
            <w:r/>
            <w:r>
              <w:rPr>
                <w:sz w:val="19"/>
              </w:rPr>
              <w:t>Ausgehende Internetverbindung der Collectors</w:t>
            </w:r>
          </w:p>
        </w:tc>
        <w:tc>
          <w:tcPr>
            <w:tcW w:type="dxa" w:w="5726"/>
          </w:tcPr>
          <w:p>
            <w:r/>
            <w:r>
              <w:rPr>
                <w:sz w:val="19"/>
              </w:rPr>
              <w:t>HTTPS 443 zu den Arc-/AMA-Endpunkten, direkt oder über Proxy; KEINE HTTPS-Inspection (Abschnitt B2).</w:t>
            </w:r>
          </w:p>
        </w:tc>
      </w:tr>
      <w:tr>
        <w:tc>
          <w:tcPr>
            <w:tcW w:type="dxa" w:w="454"/>
          </w:tcPr>
          <w:p>
            <w:r/>
            <w:r>
              <w:rPr>
                <w:sz w:val="19"/>
              </w:rPr>
              <w:t>7</w:t>
            </w:r>
          </w:p>
        </w:tc>
        <w:tc>
          <w:tcPr>
            <w:tcW w:type="dxa" w:w="3175"/>
          </w:tcPr>
          <w:p>
            <w:r/>
            <w:r>
              <w:rPr>
                <w:sz w:val="19"/>
              </w:rPr>
              <w:t>Je Forest ein Collector-Server</w:t>
            </w:r>
          </w:p>
        </w:tc>
        <w:tc>
          <w:tcPr>
            <w:tcW w:type="dxa" w:w="5726"/>
          </w:tcPr>
          <w:p>
            <w:r/>
            <w:r>
              <w:rPr>
                <w:sz w:val="19"/>
              </w:rPr>
              <w:t>Mitgliedsserver im Forest, unterstützte OS-Version, 16 GB RAM (Abschnitt B1).</w:t>
            </w:r>
          </w:p>
        </w:tc>
      </w:tr>
      <w:tr>
        <w:tc>
          <w:tcPr>
            <w:tcW w:type="dxa" w:w="454"/>
          </w:tcPr>
          <w:p>
            <w:r/>
            <w:r>
              <w:rPr>
                <w:sz w:val="19"/>
              </w:rPr>
              <w:t>8</w:t>
            </w:r>
          </w:p>
        </w:tc>
        <w:tc>
          <w:tcPr>
            <w:tcW w:type="dxa" w:w="3175"/>
          </w:tcPr>
          <w:p>
            <w:r/>
            <w:r>
              <w:rPr>
                <w:sz w:val="19"/>
              </w:rPr>
              <w:t>Je Forest ein Assessment-Konto und Rechtekonzept</w:t>
            </w:r>
          </w:p>
        </w:tc>
        <w:tc>
          <w:tcPr>
            <w:tcW w:type="dxa" w:w="5726"/>
          </w:tcPr>
          <w:p>
            <w:r/>
            <w:r>
              <w:rPr>
                <w:sz w:val="19"/>
              </w:rPr>
              <w:t>Empfehlung gMSA. Enterprise Admin dauerhaft oder Just-in-Time (separates Konzept „JIT Enterprise Admin“).</w:t>
            </w:r>
          </w:p>
        </w:tc>
      </w:tr>
      <w:tr>
        <w:tc>
          <w:tcPr>
            <w:tcW w:type="dxa" w:w="454"/>
          </w:tcPr>
          <w:p>
            <w:r/>
            <w:r>
              <w:rPr>
                <w:sz w:val="19"/>
              </w:rPr>
              <w:t>9</w:t>
            </w:r>
          </w:p>
        </w:tc>
        <w:tc>
          <w:tcPr>
            <w:tcW w:type="dxa" w:w="3175"/>
          </w:tcPr>
          <w:p>
            <w:r/>
            <w:r>
              <w:rPr>
                <w:sz w:val="19"/>
              </w:rPr>
              <w:t>Namenskonvention und Planungsmatrix</w:t>
            </w:r>
          </w:p>
        </w:tc>
        <w:tc>
          <w:tcPr>
            <w:tcW w:type="dxa" w:w="5726"/>
          </w:tcPr>
          <w:p>
            <w:r/>
            <w:r>
              <w:rPr>
                <w:sz w:val="19"/>
              </w:rPr>
              <w:t>Anhang A ausfüllen, bevor mit Phase A begonnen wird.</w:t>
            </w:r>
          </w:p>
        </w:tc>
      </w:tr>
    </w:tbl>
    <w:p>
      <w:pPr>
        <w:spacing w:after="40"/>
      </w:pPr>
    </w:p>
    <w:p>
      <w:pPr>
        <w:pStyle w:val="Heading1"/>
      </w:pPr>
      <w:r>
        <w:t>Teil A – Azure-Seite</w:t>
      </w:r>
    </w:p>
    <w:p>
      <w:pPr>
        <w:spacing w:after="80"/>
      </w:pPr>
      <w:r>
        <w:rPr>
          <w:i w:val="0"/>
        </w:rPr>
        <w:t>Alle Schritte in Teil A führt der Azure-Owner des Kunden aus, entweder im Azure-Portal oder mit Az PowerShell (Module Az.Accounts, Az.Resources, Az.OperationalInsights, Az.ConnectedMachine). Die Schritte A1, A2 (Connector-RG) und A4 sind einmalig. A2 (Forest-RG), A3, A5 und A6 werden für jeden Forest wiederholt.</w:t>
      </w:r>
    </w:p>
    <w:p>
      <w:pPr>
        <w:pStyle w:val="Heading2"/>
      </w:pPr>
      <w:r>
        <w:t>A1. Resource Provider registrieren (einmalig)</w:t>
      </w:r>
    </w:p>
    <w:p>
      <w:pPr>
        <w:spacing w:after="80"/>
      </w:pPr>
      <w:r>
        <w:rPr>
          <w:i w:val="0"/>
        </w:rPr>
        <w:t>Portal: Subscriptions → &lt;Subscription&gt; → Resource providers → jeweils suchen → Register.</w:t>
      </w:r>
    </w:p>
    <w:p>
      <w:pPr>
        <w:spacing w:after="0" w:before="0"/>
        <w:ind w:left="170"/>
        <w:shd w:val="clear" w:color="auto" w:fill="F2F2F2"/>
      </w:pPr>
      <w:r>
        <w:rPr>
          <w:rFonts w:ascii="Consolas" w:hAnsi="Consolas" w:eastAsia="Consolas"/>
          <w:sz w:val="17"/>
        </w:rPr>
        <w:t>Connect-AzAccount -Tenant &lt;TenantId&gt;</w:t>
      </w:r>
    </w:p>
    <w:p>
      <w:pPr>
        <w:spacing w:after="0" w:before="0"/>
        <w:ind w:left="170"/>
        <w:shd w:val="clear" w:color="auto" w:fill="F2F2F2"/>
      </w:pPr>
      <w:r>
        <w:rPr>
          <w:rFonts w:ascii="Consolas" w:hAnsi="Consolas" w:eastAsia="Consolas"/>
          <w:sz w:val="17"/>
        </w:rPr>
        <w:t>Set-AzContext -Subscription &lt;SubscriptionId&gt;</w:t>
      </w:r>
    </w:p>
    <w:p>
      <w:pPr>
        <w:spacing w:after="0" w:before="0"/>
        <w:ind w:left="170"/>
        <w:shd w:val="clear" w:color="auto" w:fill="F2F2F2"/>
      </w:pPr>
      <w:r>
        <w:rPr>
          <w:rFonts w:ascii="Consolas" w:hAnsi="Consolas" w:eastAsia="Consolas"/>
          <w:sz w:val="17"/>
        </w:rPr>
        <w:t xml:space="preserve"> </w:t>
      </w:r>
    </w:p>
    <w:p>
      <w:pPr>
        <w:spacing w:after="0" w:before="0"/>
        <w:ind w:left="170"/>
        <w:shd w:val="clear" w:color="auto" w:fill="F2F2F2"/>
      </w:pPr>
      <w:r>
        <w:rPr>
          <w:rFonts w:ascii="Consolas" w:hAnsi="Consolas" w:eastAsia="Consolas"/>
          <w:sz w:val="17"/>
        </w:rPr>
        <w:t>'Microsoft.ServicesHub', 'Microsoft.Insights', 'Microsoft.OperationalInsights',</w:t>
      </w:r>
    </w:p>
    <w:p>
      <w:pPr>
        <w:spacing w:after="0" w:before="0"/>
        <w:ind w:left="170"/>
        <w:shd w:val="clear" w:color="auto" w:fill="F2F2F2"/>
      </w:pPr>
      <w:r>
        <w:rPr>
          <w:rFonts w:ascii="Consolas" w:hAnsi="Consolas" w:eastAsia="Consolas"/>
          <w:sz w:val="17"/>
        </w:rPr>
        <w:t>'Microsoft.OperationsManagement', 'Microsoft.HybridCompute', 'Microsoft.GuestConfiguration',</w:t>
      </w:r>
    </w:p>
    <w:p>
      <w:pPr>
        <w:spacing w:after="0" w:before="0"/>
        <w:ind w:left="170"/>
        <w:shd w:val="clear" w:color="auto" w:fill="F2F2F2"/>
      </w:pPr>
      <w:r>
        <w:rPr>
          <w:rFonts w:ascii="Consolas" w:hAnsi="Consolas" w:eastAsia="Consolas"/>
          <w:sz w:val="17"/>
        </w:rPr>
        <w:t>'Microsoft.HybridConnectivity' | ForEach-Object { Register-AzResourceProvider -ProviderNamespace $_ }</w:t>
      </w:r>
    </w:p>
    <w:p>
      <w:pPr>
        <w:spacing w:after="0" w:before="0"/>
        <w:ind w:left="170"/>
        <w:shd w:val="clear" w:color="auto" w:fill="F2F2F2"/>
      </w:pPr>
      <w:r>
        <w:rPr>
          <w:rFonts w:ascii="Consolas" w:hAnsi="Consolas" w:eastAsia="Consolas"/>
          <w:sz w:val="17"/>
        </w:rPr>
        <w:t xml:space="preserve"> </w:t>
      </w:r>
    </w:p>
    <w:p>
      <w:pPr>
        <w:spacing w:after="0" w:before="0"/>
        <w:ind w:left="170"/>
        <w:shd w:val="clear" w:color="auto" w:fill="F2F2F2"/>
      </w:pPr>
      <w:r>
        <w:rPr>
          <w:rFonts w:ascii="Consolas" w:hAnsi="Consolas" w:eastAsia="Consolas"/>
          <w:sz w:val="17"/>
        </w:rPr>
        <w:t># Status prüfen (alle müssen 'Registered' sein)</w:t>
      </w:r>
    </w:p>
    <w:p>
      <w:pPr>
        <w:spacing w:after="0" w:before="0"/>
        <w:ind w:left="170"/>
        <w:shd w:val="clear" w:color="auto" w:fill="F2F2F2"/>
      </w:pPr>
      <w:r>
        <w:rPr>
          <w:rFonts w:ascii="Consolas" w:hAnsi="Consolas" w:eastAsia="Consolas"/>
          <w:sz w:val="17"/>
        </w:rPr>
        <w:t>Get-AzResourceProvider -ProviderNamespace Microsoft.ServicesHub, Microsoft.HybridCompute |</w:t>
      </w:r>
    </w:p>
    <w:p>
      <w:pPr>
        <w:spacing w:after="0" w:before="0"/>
        <w:ind w:left="170"/>
        <w:shd w:val="clear" w:color="auto" w:fill="F2F2F2"/>
      </w:pPr>
      <w:r>
        <w:rPr>
          <w:rFonts w:ascii="Consolas" w:hAnsi="Consolas" w:eastAsia="Consolas"/>
          <w:sz w:val="17"/>
        </w:rPr>
        <w:t xml:space="preserve">    Select-Object ProviderNamespace, RegistrationState -Unique</w:t>
      </w:r>
    </w:p>
    <w:p>
      <w:pPr>
        <w:spacing w:after="40"/>
      </w:pPr>
    </w:p>
    <w:p>
      <w:pPr>
        <w:pStyle w:val="Heading2"/>
      </w:pPr>
      <w:r>
        <w:t>A2. Resource Groups anlegen</w:t>
      </w:r>
    </w:p>
    <w:p>
      <w:pPr>
        <w:spacing w:after="0" w:before="0"/>
        <w:ind w:left="170"/>
        <w:shd w:val="clear" w:color="auto" w:fill="F2F2F2"/>
      </w:pPr>
      <w:r>
        <w:rPr>
          <w:rFonts w:ascii="Consolas" w:hAnsi="Consolas" w:eastAsia="Consolas"/>
          <w:sz w:val="17"/>
        </w:rPr>
        <w:t>$location = 'germanywestcentral'</w:t>
      </w:r>
    </w:p>
    <w:p>
      <w:pPr>
        <w:spacing w:after="0" w:before="0"/>
        <w:ind w:left="170"/>
        <w:shd w:val="clear" w:color="auto" w:fill="F2F2F2"/>
      </w:pPr>
      <w:r>
        <w:rPr>
          <w:rFonts w:ascii="Consolas" w:hAnsi="Consolas" w:eastAsia="Consolas"/>
          <w:sz w:val="17"/>
        </w:rPr>
        <w:t>New-AzResourceGroup -Name 'rg-oda-connector' -Location $location -Tag @{ Workload = 'ODA' }</w:t>
      </w:r>
    </w:p>
    <w:p>
      <w:pPr>
        <w:spacing w:after="0" w:before="0"/>
        <w:ind w:left="170"/>
        <w:shd w:val="clear" w:color="auto" w:fill="F2F2F2"/>
      </w:pPr>
      <w:r>
        <w:rPr>
          <w:rFonts w:ascii="Consolas" w:hAnsi="Consolas" w:eastAsia="Consolas"/>
          <w:sz w:val="17"/>
        </w:rPr>
        <w:t xml:space="preserve"> </w:t>
      </w:r>
    </w:p>
    <w:p>
      <w:pPr>
        <w:spacing w:after="0" w:before="0"/>
        <w:ind w:left="170"/>
        <w:shd w:val="clear" w:color="auto" w:fill="F2F2F2"/>
      </w:pPr>
      <w:r>
        <w:rPr>
          <w:rFonts w:ascii="Consolas" w:hAnsi="Consolas" w:eastAsia="Consolas"/>
          <w:sz w:val="17"/>
        </w:rPr>
        <w:t># je Forest</w:t>
      </w:r>
    </w:p>
    <w:p>
      <w:pPr>
        <w:spacing w:after="0" w:before="0"/>
        <w:ind w:left="170"/>
        <w:shd w:val="clear" w:color="auto" w:fill="F2F2F2"/>
      </w:pPr>
      <w:r>
        <w:rPr>
          <w:rFonts w:ascii="Consolas" w:hAnsi="Consolas" w:eastAsia="Consolas"/>
          <w:sz w:val="17"/>
        </w:rPr>
        <w:t>New-AzResourceGroup -Name 'rg-oda-foresta' -Location $location -Tag @{ Workload = 'ODA'; Forest = 'forest-a.example' }</w:t>
      </w:r>
    </w:p>
    <w:p>
      <w:pPr>
        <w:spacing w:after="0" w:before="0"/>
        <w:ind w:left="170"/>
        <w:shd w:val="clear" w:color="auto" w:fill="F2F2F2"/>
      </w:pPr>
      <w:r>
        <w:rPr>
          <w:rFonts w:ascii="Consolas" w:hAnsi="Consolas" w:eastAsia="Consolas"/>
          <w:sz w:val="17"/>
        </w:rPr>
        <w:t>New-AzResourceGroup -Name 'rg-oda-forestb' -Location $location -Tag @{ Workload = 'ODA'; Forest = 'forest-b.example' }</w:t>
      </w:r>
    </w:p>
    <w:p>
      <w:pPr>
        <w:spacing w:after="40"/>
      </w:pPr>
    </w:p>
    <w:p>
      <w:pPr>
        <w:pStyle w:val="Heading2"/>
      </w:pPr>
      <w:r>
        <w:t>A3. Log Analytics Workspace je Forest anlegen</w:t>
      </w:r>
    </w:p>
    <w:p>
      <w:pPr>
        <w:pStyle w:val="ListNumber"/>
        <w:spacing w:after="40"/>
      </w:pPr>
      <w:r>
        <w:t>Portal: Log Analytics workspaces → Create → Resource Group rg-oda-&lt;forest&gt;, Name law-oda-&lt;forest&gt;, Region wie oben.</w:t>
      </w:r>
    </w:p>
    <w:p>
      <w:pPr>
        <w:pStyle w:val="ListNumber"/>
        <w:spacing w:after="40"/>
      </w:pPr>
      <w:r>
        <w:t>Unter „Network Isolation“ den öffentlichen Zugriff für Erfassung (Ingestion) UND Abfrage (Query) aktiviert lassen. Pflicht laut Microsoft: Sonst kann der Connector keine Ergebnisse lesen.</w:t>
      </w:r>
    </w:p>
    <w:p>
      <w:pPr>
        <w:pStyle w:val="ListNumber"/>
        <w:spacing w:after="40"/>
      </w:pPr>
      <w:r>
        <w:t>Aufbewahrung (Retention): Empfehlung 90 Tage, damit mehrere wöchentliche Läufe vergleichbar bleiben. Kosten mit dem Kunden abstimmen.</w:t>
      </w:r>
    </w:p>
    <w:p>
      <w:pPr>
        <w:pStyle w:val="ListNumber"/>
        <w:spacing w:after="40"/>
      </w:pPr>
      <w:r>
        <w:t>Workspace ID notieren (LAW → Overview → Workspace ID). Sie wird in Teil C auf dem Collector gebraucht.</w:t>
      </w:r>
    </w:p>
    <w:p>
      <w:pPr>
        <w:spacing w:after="0" w:before="0"/>
        <w:ind w:left="170"/>
        <w:shd w:val="clear" w:color="auto" w:fill="F2F2F2"/>
      </w:pPr>
      <w:r>
        <w:rPr>
          <w:rFonts w:ascii="Consolas" w:hAnsi="Consolas" w:eastAsia="Consolas"/>
          <w:sz w:val="17"/>
        </w:rPr>
        <w:t>$law = New-AzOperationalInsightsWorkspace -ResourceGroupName 'rg-oda-foresta' -Name 'law-oda-foresta' `</w:t>
      </w:r>
    </w:p>
    <w:p>
      <w:pPr>
        <w:spacing w:after="0" w:before="0"/>
        <w:ind w:left="170"/>
        <w:shd w:val="clear" w:color="auto" w:fill="F2F2F2"/>
      </w:pPr>
      <w:r>
        <w:rPr>
          <w:rFonts w:ascii="Consolas" w:hAnsi="Consolas" w:eastAsia="Consolas"/>
          <w:sz w:val="17"/>
        </w:rPr>
        <w:t xml:space="preserve">    -Location $location -Sku PerGB2018 -RetentionInDays 90 `</w:t>
      </w:r>
    </w:p>
    <w:p>
      <w:pPr>
        <w:spacing w:after="0" w:before="0"/>
        <w:ind w:left="170"/>
        <w:shd w:val="clear" w:color="auto" w:fill="F2F2F2"/>
      </w:pPr>
      <w:r>
        <w:rPr>
          <w:rFonts w:ascii="Consolas" w:hAnsi="Consolas" w:eastAsia="Consolas"/>
          <w:sz w:val="17"/>
        </w:rPr>
        <w:t xml:space="preserve">    -PublicNetworkAccessForIngestion Enabled -PublicNetworkAccessForQuery Enabled `</w:t>
      </w:r>
    </w:p>
    <w:p>
      <w:pPr>
        <w:spacing w:after="0" w:before="0"/>
        <w:ind w:left="170"/>
        <w:shd w:val="clear" w:color="auto" w:fill="F2F2F2"/>
      </w:pPr>
      <w:r>
        <w:rPr>
          <w:rFonts w:ascii="Consolas" w:hAnsi="Consolas" w:eastAsia="Consolas"/>
          <w:sz w:val="17"/>
        </w:rPr>
        <w:t xml:space="preserve">    -Tag @{ Workload = 'ODA'; Forest = 'forest-a.example' }</w:t>
      </w:r>
    </w:p>
    <w:p>
      <w:pPr>
        <w:spacing w:after="0" w:before="0"/>
        <w:ind w:left="170"/>
        <w:shd w:val="clear" w:color="auto" w:fill="F2F2F2"/>
      </w:pPr>
      <w:r>
        <w:rPr>
          <w:rFonts w:ascii="Consolas" w:hAnsi="Consolas" w:eastAsia="Consolas"/>
          <w:sz w:val="17"/>
        </w:rPr>
        <w:t xml:space="preserve"> </w:t>
      </w:r>
    </w:p>
    <w:p>
      <w:pPr>
        <w:spacing w:after="0" w:before="0"/>
        <w:ind w:left="170"/>
        <w:shd w:val="clear" w:color="auto" w:fill="F2F2F2"/>
      </w:pPr>
      <w:r>
        <w:rPr>
          <w:rFonts w:ascii="Consolas" w:hAnsi="Consolas" w:eastAsia="Consolas"/>
          <w:sz w:val="17"/>
        </w:rPr>
        <w:t>$law.CustomerId     # = Workspace ID für Add-ADAssessmentTask (Teil C)</w:t>
      </w:r>
    </w:p>
    <w:p>
      <w:pPr>
        <w:spacing w:after="0" w:before="0"/>
        <w:ind w:left="170"/>
        <w:shd w:val="clear" w:color="auto" w:fill="F2F2F2"/>
      </w:pPr>
      <w:r>
        <w:rPr>
          <w:rFonts w:ascii="Consolas" w:hAnsi="Consolas" w:eastAsia="Consolas"/>
          <w:sz w:val="17"/>
        </w:rPr>
        <w:t>$law.ResourceId     # = Scope für Rollenzuweisungen</w:t>
      </w:r>
    </w:p>
    <w:p>
      <w:pPr>
        <w:spacing w:after="40"/>
      </w:pPr>
    </w:p>
    <w:p>
      <w:pPr>
        <w:pStyle w:val="Heading2"/>
      </w:pPr>
      <w:r>
        <w:t>A4. Engage Center Connector anlegen (einmalig)</w:t>
      </w:r>
    </w:p>
    <w:p>
      <w:pPr>
        <w:spacing w:after="80"/>
      </w:pPr>
      <w:r>
        <w:rPr>
          <w:i w:val="0"/>
        </w:rPr>
        <w:t>Der Connector wird im Azure-Portal angelegt. Dabei wird der LAW des ersten Forests verknüpft. Die übrigen LAWs werden in A5 ergänzt.</w:t>
      </w:r>
    </w:p>
    <w:p>
      <w:pPr>
        <w:pStyle w:val="ListNumber"/>
        <w:spacing w:after="40"/>
      </w:pPr>
      <w:r>
        <w:t>Azure-Portal → oben „Engage Center Connector“ suchen → Create.</w:t>
      </w:r>
    </w:p>
    <w:p>
      <w:pPr>
        <w:pStyle w:val="ListNumber"/>
        <w:spacing w:after="40"/>
      </w:pPr>
      <w:r>
        <w:t>Basics: Subscription = die mit dem Unified-Vertrag verknüpfte Subscription; Resource Group = rg-oda-connector; Connector name = z. B. ecc-oda-&lt;kunde&gt;; Region = unterstützte Region (z. B. Germany West Central).</w:t>
      </w:r>
    </w:p>
    <w:p>
      <w:pPr>
        <w:pStyle w:val="ListNumber"/>
        <w:spacing w:after="40"/>
      </w:pPr>
      <w:r>
        <w:t>Log Analytics: Subscription des LAW und den LAW des ersten Forests (law-oda-&lt;forest-a&gt;) auswählen.</w:t>
      </w:r>
    </w:p>
    <w:p>
      <w:pPr>
        <w:pStyle w:val="ListNumber"/>
        <w:spacing w:after="40"/>
      </w:pPr>
      <w:r>
        <w:t>Optional Tags setzen → Review + create → Create.</w:t>
      </w:r>
    </w:p>
    <w:p>
      <w:pPr>
        <w:pStyle w:val="ListNumber"/>
        <w:spacing w:after="40"/>
      </w:pPr>
      <w:r>
        <w:t>Nach dem Deployment: Deployment details → Ressource öffnen → Overview. Es kann bis zu 24 h dauern, bis der Connector überall im Portal sichtbar ist.</w:t>
      </w:r>
    </w:p>
    <w:tbl>
      <w:tblPr>
        <w:tblStyle w:val="TableGrid"/>
        <w:tblW w:type="auto" w:w="0"/>
        <w:tblLook w:firstColumn="1" w:firstRow="1" w:lastColumn="0" w:lastRow="0" w:noHBand="0" w:noVBand="1" w:val="04A0"/>
      </w:tblPr>
      <w:tblGrid>
        <w:gridCol w:w="9746"/>
      </w:tblGrid>
      <w:tr>
        <w:tc>
          <w:tcPr>
            <w:tcW w:type="dxa" w:w="9746"/>
            <w:shd w:val="clear" w:color="auto" w:fill="DEEBF7"/>
          </w:tcPr>
          <w:p>
            <w:r/>
            <w:r>
              <w:rPr>
                <w:b/>
                <w:sz w:val="19"/>
              </w:rPr>
              <w:t xml:space="preserve">Achtung: </w:t>
            </w:r>
            <w:r>
              <w:rPr>
                <w:sz w:val="19"/>
              </w:rPr>
              <w:t>Wenn auf der Basics-Seite zwei Optionen „Services Hub“ und „Engage Center“ erscheinen, ist die Subscription NICHT mit dem Unified-Vertrag verknüpft. Dann abbrechen und mit dem CSAM klären. Laut Microsoft auf keinen Fall „Engage Center“ wählen: Der Connector wird zwar angelegt, lädt dann aber endlos.</w:t>
            </w:r>
          </w:p>
        </w:tc>
      </w:tr>
    </w:tbl>
    <w:p>
      <w:pPr>
        <w:spacing w:after="40"/>
      </w:pPr>
    </w:p>
    <w:p>
      <w:pPr>
        <w:pStyle w:val="Heading2"/>
      </w:pPr>
      <w:r>
        <w:t>A5. Weitere LAWs mit dem Connector verbinden (je weiterem Forest)</w:t>
      </w:r>
    </w:p>
    <w:p>
      <w:pPr>
        <w:pStyle w:val="ListNumber"/>
        <w:spacing w:after="40"/>
      </w:pPr>
      <w:r>
        <w:t>Connector öffnen → Bereich On-Demand Assessments → „Manage Connections“.</w:t>
      </w:r>
    </w:p>
    <w:p>
      <w:pPr>
        <w:pStyle w:val="ListNumber"/>
        <w:spacing w:after="40"/>
      </w:pPr>
      <w:r>
        <w:t>Add → Subscription filtern → law-oda-&lt;forest&gt; auswählen → Add.</w:t>
      </w:r>
    </w:p>
    <w:p>
      <w:pPr>
        <w:pStyle w:val="ListNumber"/>
        <w:spacing w:after="40"/>
      </w:pPr>
      <w:r>
        <w:t>Der neue LAW wird zum aktiven Workspace. Über das Dropdown (▼) wechselt man zwischen den Forests. Es ist immer genau ein LAW aktiv.</w:t>
      </w:r>
    </w:p>
    <w:p>
      <w:pPr>
        <w:pStyle w:val="Heading2"/>
      </w:pPr>
      <w:r>
        <w:t>A6. Rechte (Azure RBAC) vergeben</w:t>
      </w:r>
    </w:p>
    <w:p>
      <w:pPr>
        <w:spacing w:after="80"/>
      </w:pPr>
      <w:r>
        <w:rPr>
          <w:i w:val="0"/>
        </w:rPr>
        <w:t>Least Privilege: Rechte immer auf die Resource Group des jeweiligen Forests vergeben, nicht auf die ganze Subscription. Dann sieht und ändert jedes Team nur seinen Forest.</w:t>
      </w:r>
    </w:p>
    <w:tbl>
      <w:tblPr>
        <w:tblStyle w:val="TableGrid"/>
        <w:tblW w:type="auto" w:w="0"/>
        <w:jc w:val="center"/>
        <w:tblLayout w:type="fixed"/>
        <w:tblLook w:firstColumn="1" w:firstRow="1" w:lastColumn="0" w:lastRow="0" w:noHBand="0" w:noVBand="1" w:val="04A0"/>
      </w:tblPr>
      <w:tblGrid>
        <w:gridCol w:w="2268"/>
        <w:gridCol w:w="2041"/>
        <w:gridCol w:w="2268"/>
        <w:gridCol w:w="2778"/>
      </w:tblGrid>
      <w:tr>
        <w:tc>
          <w:tcPr>
            <w:tcW w:type="dxa" w:w="2268"/>
            <w:shd w:val="clear" w:color="auto" w:fill="1F3A5F"/>
          </w:tcPr>
          <w:p>
            <w:r/>
            <w:r>
              <w:rPr>
                <w:b/>
                <w:color w:val="FFFFFF"/>
                <w:sz w:val="19"/>
              </w:rPr>
              <w:t>Wer</w:t>
            </w:r>
          </w:p>
        </w:tc>
        <w:tc>
          <w:tcPr>
            <w:tcW w:type="dxa" w:w="2041"/>
            <w:shd w:val="clear" w:color="auto" w:fill="1F3A5F"/>
          </w:tcPr>
          <w:p>
            <w:r/>
            <w:r>
              <w:rPr>
                <w:b/>
                <w:color w:val="FFFFFF"/>
                <w:sz w:val="19"/>
              </w:rPr>
              <w:t>Rolle</w:t>
            </w:r>
          </w:p>
        </w:tc>
        <w:tc>
          <w:tcPr>
            <w:tcW w:type="dxa" w:w="2268"/>
            <w:shd w:val="clear" w:color="auto" w:fill="1F3A5F"/>
          </w:tcPr>
          <w:p>
            <w:r/>
            <w:r>
              <w:rPr>
                <w:b/>
                <w:color w:val="FFFFFF"/>
                <w:sz w:val="19"/>
              </w:rPr>
              <w:t>Scope</w:t>
            </w:r>
          </w:p>
        </w:tc>
        <w:tc>
          <w:tcPr>
            <w:tcW w:type="dxa" w:w="2778"/>
            <w:shd w:val="clear" w:color="auto" w:fill="1F3A5F"/>
          </w:tcPr>
          <w:p>
            <w:r/>
            <w:r>
              <w:rPr>
                <w:b/>
                <w:color w:val="FFFFFF"/>
                <w:sz w:val="19"/>
              </w:rPr>
              <w:t>Wofür</w:t>
            </w:r>
          </w:p>
        </w:tc>
      </w:tr>
      <w:tr>
        <w:tc>
          <w:tcPr>
            <w:tcW w:type="dxa" w:w="2268"/>
          </w:tcPr>
          <w:p>
            <w:r/>
            <w:r>
              <w:rPr>
                <w:sz w:val="19"/>
              </w:rPr>
              <w:t>Azure-Owner Kunde</w:t>
            </w:r>
          </w:p>
        </w:tc>
        <w:tc>
          <w:tcPr>
            <w:tcW w:type="dxa" w:w="2041"/>
          </w:tcPr>
          <w:p>
            <w:r/>
            <w:r>
              <w:rPr>
                <w:sz w:val="19"/>
              </w:rPr>
              <w:t>Owner (vorhanden)</w:t>
            </w:r>
          </w:p>
        </w:tc>
        <w:tc>
          <w:tcPr>
            <w:tcW w:type="dxa" w:w="2268"/>
          </w:tcPr>
          <w:p>
            <w:r/>
            <w:r>
              <w:rPr>
                <w:sz w:val="19"/>
              </w:rPr>
              <w:t>Subscription</w:t>
            </w:r>
          </w:p>
        </w:tc>
        <w:tc>
          <w:tcPr>
            <w:tcW w:type="dxa" w:w="2778"/>
          </w:tcPr>
          <w:p>
            <w:r/>
            <w:r>
              <w:rPr>
                <w:sz w:val="19"/>
              </w:rPr>
              <w:t>Provider, RGs, LAWs, Connector, Rechte</w:t>
            </w:r>
          </w:p>
        </w:tc>
      </w:tr>
      <w:tr>
        <w:tc>
          <w:tcPr>
            <w:tcW w:type="dxa" w:w="2268"/>
          </w:tcPr>
          <w:p>
            <w:r/>
            <w:r>
              <w:rPr>
                <w:sz w:val="19"/>
              </w:rPr>
              <w:t>Betriebsteam Forest X</w:t>
            </w:r>
          </w:p>
        </w:tc>
        <w:tc>
          <w:tcPr>
            <w:tcW w:type="dxa" w:w="2041"/>
          </w:tcPr>
          <w:p>
            <w:r/>
            <w:r>
              <w:rPr>
                <w:sz w:val="19"/>
              </w:rPr>
              <w:t>Contributor</w:t>
            </w:r>
          </w:p>
        </w:tc>
        <w:tc>
          <w:tcPr>
            <w:tcW w:type="dxa" w:w="2268"/>
          </w:tcPr>
          <w:p>
            <w:r/>
            <w:r>
              <w:rPr>
                <w:sz w:val="19"/>
              </w:rPr>
              <w:t>rg-oda-&lt;forest-x&gt;</w:t>
            </w:r>
          </w:p>
        </w:tc>
        <w:tc>
          <w:tcPr>
            <w:tcW w:type="dxa" w:w="2778"/>
          </w:tcPr>
          <w:p>
            <w:r/>
            <w:r>
              <w:rPr>
                <w:sz w:val="19"/>
              </w:rPr>
              <w:t>Assessments hinzufügen/konfigurieren, LAW verwalten, AMA-Extension</w:t>
            </w:r>
          </w:p>
        </w:tc>
      </w:tr>
      <w:tr>
        <w:tc>
          <w:tcPr>
            <w:tcW w:type="dxa" w:w="2268"/>
          </w:tcPr>
          <w:p>
            <w:r/>
            <w:r>
              <w:rPr>
                <w:sz w:val="19"/>
              </w:rPr>
              <w:t>Betriebsteam Forest X</w:t>
            </w:r>
          </w:p>
        </w:tc>
        <w:tc>
          <w:tcPr>
            <w:tcW w:type="dxa" w:w="2041"/>
          </w:tcPr>
          <w:p>
            <w:r/>
            <w:r>
              <w:rPr>
                <w:sz w:val="19"/>
              </w:rPr>
              <w:t>Services Hub Operator</w:t>
            </w:r>
          </w:p>
        </w:tc>
        <w:tc>
          <w:tcPr>
            <w:tcW w:type="dxa" w:w="2268"/>
          </w:tcPr>
          <w:p>
            <w:r/>
            <w:r>
              <w:rPr>
                <w:sz w:val="19"/>
              </w:rPr>
              <w:t>Subscription des Connectors</w:t>
            </w:r>
          </w:p>
        </w:tc>
        <w:tc>
          <w:tcPr>
            <w:tcW w:type="dxa" w:w="2778"/>
          </w:tcPr>
          <w:p>
            <w:r/>
            <w:r>
              <w:rPr>
                <w:sz w:val="19"/>
              </w:rPr>
              <w:t>Assessments im Connector verwalten und ansehen (least privileged)</w:t>
            </w:r>
          </w:p>
        </w:tc>
      </w:tr>
      <w:tr>
        <w:tc>
          <w:tcPr>
            <w:tcW w:type="dxa" w:w="2268"/>
          </w:tcPr>
          <w:p>
            <w:r/>
            <w:r>
              <w:rPr>
                <w:sz w:val="19"/>
              </w:rPr>
              <w:t>Arc-Onboarding (Person oder Service Principal)</w:t>
            </w:r>
          </w:p>
        </w:tc>
        <w:tc>
          <w:tcPr>
            <w:tcW w:type="dxa" w:w="2041"/>
          </w:tcPr>
          <w:p>
            <w:r/>
            <w:r>
              <w:rPr>
                <w:sz w:val="19"/>
              </w:rPr>
              <w:t>Azure Connected Machine Onboarding</w:t>
            </w:r>
          </w:p>
        </w:tc>
        <w:tc>
          <w:tcPr>
            <w:tcW w:type="dxa" w:w="2268"/>
          </w:tcPr>
          <w:p>
            <w:r/>
            <w:r>
              <w:rPr>
                <w:sz w:val="19"/>
              </w:rPr>
              <w:t>rg-oda-&lt;forest-x&gt;</w:t>
            </w:r>
          </w:p>
        </w:tc>
        <w:tc>
          <w:tcPr>
            <w:tcW w:type="dxa" w:w="2778"/>
          </w:tcPr>
          <w:p>
            <w:r/>
            <w:r>
              <w:rPr>
                <w:sz w:val="19"/>
              </w:rPr>
              <w:t>Collector mit Azure Arc verbinden (B6)</w:t>
            </w:r>
          </w:p>
        </w:tc>
      </w:tr>
      <w:tr>
        <w:tc>
          <w:tcPr>
            <w:tcW w:type="dxa" w:w="2268"/>
          </w:tcPr>
          <w:p>
            <w:r/>
            <w:r>
              <w:rPr>
                <w:sz w:val="19"/>
              </w:rPr>
              <w:t>Microsoft CSA/Engineer (CSA-geführte Lieferung)</w:t>
            </w:r>
          </w:p>
        </w:tc>
        <w:tc>
          <w:tcPr>
            <w:tcW w:type="dxa" w:w="2041"/>
          </w:tcPr>
          <w:p>
            <w:r/>
            <w:r>
              <w:rPr>
                <w:sz w:val="19"/>
              </w:rPr>
              <w:t>Log Analytics Reader</w:t>
            </w:r>
          </w:p>
        </w:tc>
        <w:tc>
          <w:tcPr>
            <w:tcW w:type="dxa" w:w="2268"/>
          </w:tcPr>
          <w:p>
            <w:r/>
            <w:r>
              <w:rPr>
                <w:sz w:val="19"/>
              </w:rPr>
              <w:t>law-oda-&lt;forest-x&gt; UND Arc-Maschine (alternativ Subscription)</w:t>
            </w:r>
          </w:p>
        </w:tc>
        <w:tc>
          <w:tcPr>
            <w:tcW w:type="dxa" w:w="2778"/>
          </w:tcPr>
          <w:p>
            <w:r/>
            <w:r>
              <w:rPr>
                <w:sz w:val="19"/>
              </w:rPr>
              <w:t>Ergebnisse lesen; laut Microsoft nur bei CSA-geführter Lieferung nötig</w:t>
            </w:r>
          </w:p>
        </w:tc>
      </w:tr>
    </w:tbl>
    <w:p>
      <w:pPr>
        <w:spacing w:after="40"/>
      </w:pPr>
    </w:p>
    <w:p>
      <w:pPr>
        <w:spacing w:after="0" w:before="0"/>
        <w:ind w:left="170"/>
        <w:shd w:val="clear" w:color="auto" w:fill="F2F2F2"/>
      </w:pPr>
      <w:r>
        <w:rPr>
          <w:rFonts w:ascii="Consolas" w:hAnsi="Consolas" w:eastAsia="Consolas"/>
          <w:sz w:val="17"/>
        </w:rPr>
        <w:t>$rg  = Get-AzResourceGroup -Name 'rg-oda-foresta'</w:t>
      </w:r>
    </w:p>
    <w:p>
      <w:pPr>
        <w:spacing w:after="0" w:before="0"/>
        <w:ind w:left="170"/>
        <w:shd w:val="clear" w:color="auto" w:fill="F2F2F2"/>
      </w:pPr>
      <w:r>
        <w:rPr>
          <w:rFonts w:ascii="Consolas" w:hAnsi="Consolas" w:eastAsia="Consolas"/>
          <w:sz w:val="17"/>
        </w:rPr>
        <w:t>New-AzRoleAssignment -ObjectId &lt;EntraGruppe-ODA-ForestA&gt; -RoleDefinitionName 'Contributor' -Scope $rg.ResourceId</w:t>
      </w:r>
    </w:p>
    <w:p>
      <w:pPr>
        <w:spacing w:after="0" w:before="0"/>
        <w:ind w:left="170"/>
        <w:shd w:val="clear" w:color="auto" w:fill="F2F2F2"/>
      </w:pPr>
      <w:r>
        <w:rPr>
          <w:rFonts w:ascii="Consolas" w:hAnsi="Consolas" w:eastAsia="Consolas"/>
          <w:sz w:val="17"/>
        </w:rPr>
        <w:t>New-AzRoleAssignment -ObjectId &lt;EntraGruppe-ODA-ForestA&gt; -RoleDefinitionName 'Services Hub Operator' `</w:t>
      </w:r>
    </w:p>
    <w:p>
      <w:pPr>
        <w:spacing w:after="0" w:before="0"/>
        <w:ind w:left="170"/>
        <w:shd w:val="clear" w:color="auto" w:fill="F2F2F2"/>
      </w:pPr>
      <w:r>
        <w:rPr>
          <w:rFonts w:ascii="Consolas" w:hAnsi="Consolas" w:eastAsia="Consolas"/>
          <w:sz w:val="17"/>
        </w:rPr>
        <w:t xml:space="preserve">    -Scope "/subscriptions/&lt;SubscriptionId&gt;"</w:t>
      </w:r>
    </w:p>
    <w:p>
      <w:pPr>
        <w:spacing w:after="0" w:before="0"/>
        <w:ind w:left="170"/>
        <w:shd w:val="clear" w:color="auto" w:fill="F2F2F2"/>
      </w:pPr>
      <w:r>
        <w:rPr>
          <w:rFonts w:ascii="Consolas" w:hAnsi="Consolas" w:eastAsia="Consolas"/>
          <w:sz w:val="17"/>
        </w:rPr>
        <w:t>New-AzRoleAssignment -ObjectId &lt;Onboarding-SP-oder-Benutzer&gt; -RoleDefinitionName 'Azure Connected Machine Onboarding' `</w:t>
      </w:r>
    </w:p>
    <w:p>
      <w:pPr>
        <w:spacing w:after="0" w:before="0"/>
        <w:ind w:left="170"/>
        <w:shd w:val="clear" w:color="auto" w:fill="F2F2F2"/>
      </w:pPr>
      <w:r>
        <w:rPr>
          <w:rFonts w:ascii="Consolas" w:hAnsi="Consolas" w:eastAsia="Consolas"/>
          <w:sz w:val="17"/>
        </w:rPr>
        <w:t xml:space="preserve">    -Scope $rg.ResourceId</w:t>
      </w:r>
    </w:p>
    <w:p>
      <w:pPr>
        <w:spacing w:after="0" w:before="0"/>
        <w:ind w:left="170"/>
        <w:shd w:val="clear" w:color="auto" w:fill="F2F2F2"/>
      </w:pPr>
      <w:r>
        <w:rPr>
          <w:rFonts w:ascii="Consolas" w:hAnsi="Consolas" w:eastAsia="Consolas"/>
          <w:sz w:val="17"/>
        </w:rPr>
        <w:t>New-AzRoleAssignment -ObjectId &lt;MS-Engineer-Gast&gt; -RoleDefinitionName 'Log Analytics Reader' -Scope $law.ResourceId</w:t>
      </w:r>
    </w:p>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DEEBF7"/>
          </w:tcPr>
          <w:p>
            <w:r/>
            <w:r>
              <w:rPr>
                <w:b/>
                <w:sz w:val="19"/>
              </w:rPr>
              <w:t xml:space="preserve">Sicherheit: </w:t>
            </w:r>
            <w:r>
              <w:rPr>
                <w:sz w:val="19"/>
              </w:rPr>
              <w:t>Wer Contributor auf der Forest-RG hat, kann über Azure Arc Erweiterungen und Befehle auf dem Collector ausführen. Weil das Assessment-Konto Enterprise-Admin-Rechte hat, ist der Collector ein Tier-0-System seines Forests. Contributor deshalb nur an das Tier-0-Betriebsteam DIESES Forests vergeben (siehe B6, Extension-Allowlist).</w:t>
            </w:r>
          </w:p>
        </w:tc>
      </w:tr>
    </w:tbl>
    <w:p>
      <w:pPr>
        <w:spacing w:after="40"/>
      </w:pPr>
    </w:p>
    <w:p>
      <w:pPr>
        <w:pStyle w:val="Heading1"/>
      </w:pPr>
      <w:r>
        <w:t>Teil B – Collector-Server On-Prem (je Forest)</w:t>
      </w:r>
    </w:p>
    <w:p>
      <w:pPr>
        <w:spacing w:after="80"/>
      </w:pPr>
      <w:r>
        <w:rPr>
          <w:i w:val="0"/>
        </w:rPr>
        <w:t>Teil B wird in jedem Forest durchgeführt, vom Server- bzw. AD-Administrator dieses Forests.</w:t>
      </w:r>
    </w:p>
    <w:p>
      <w:pPr>
        <w:pStyle w:val="Heading2"/>
      </w:pPr>
      <w:r>
        <w:t>B1. Server bereitstellen</w:t>
      </w:r>
    </w:p>
    <w:tbl>
      <w:tblPr>
        <w:tblStyle w:val="TableGrid"/>
        <w:tblW w:type="auto" w:w="0"/>
        <w:jc w:val="center"/>
        <w:tblLayout w:type="fixed"/>
        <w:tblLook w:firstColumn="1" w:firstRow="1" w:lastColumn="0" w:lastRow="0" w:noHBand="0" w:noVBand="1" w:val="04A0"/>
      </w:tblPr>
      <w:tblGrid>
        <w:gridCol w:w="1701"/>
        <w:gridCol w:w="4252"/>
        <w:gridCol w:w="3402"/>
      </w:tblGrid>
      <w:tr>
        <w:tc>
          <w:tcPr>
            <w:tcW w:type="dxa" w:w="1701"/>
            <w:shd w:val="clear" w:color="auto" w:fill="1F3A5F"/>
          </w:tcPr>
          <w:p>
            <w:r/>
            <w:r>
              <w:rPr>
                <w:b/>
                <w:color w:val="FFFFFF"/>
                <w:sz w:val="19"/>
              </w:rPr>
              <w:t>Anforderung</w:t>
            </w:r>
          </w:p>
        </w:tc>
        <w:tc>
          <w:tcPr>
            <w:tcW w:type="dxa" w:w="4252"/>
            <w:shd w:val="clear" w:color="auto" w:fill="1F3A5F"/>
          </w:tcPr>
          <w:p>
            <w:r/>
            <w:r>
              <w:rPr>
                <w:b/>
                <w:color w:val="FFFFFF"/>
                <w:sz w:val="19"/>
              </w:rPr>
              <w:t>Wert</w:t>
            </w:r>
          </w:p>
        </w:tc>
        <w:tc>
          <w:tcPr>
            <w:tcW w:type="dxa" w:w="3402"/>
            <w:shd w:val="clear" w:color="auto" w:fill="1F3A5F"/>
          </w:tcPr>
          <w:p>
            <w:r/>
            <w:r>
              <w:rPr>
                <w:b/>
                <w:color w:val="FFFFFF"/>
                <w:sz w:val="19"/>
              </w:rPr>
              <w:t>Quelle / Hinweis</w:t>
            </w:r>
          </w:p>
        </w:tc>
      </w:tr>
      <w:tr>
        <w:tc>
          <w:tcPr>
            <w:tcW w:type="dxa" w:w="1701"/>
          </w:tcPr>
          <w:p>
            <w:r/>
            <w:r>
              <w:rPr>
                <w:sz w:val="19"/>
              </w:rPr>
              <w:t>Rolle</w:t>
            </w:r>
          </w:p>
        </w:tc>
        <w:tc>
          <w:tcPr>
            <w:tcW w:type="dxa" w:w="4252"/>
          </w:tcPr>
          <w:p>
            <w:r/>
            <w:r>
              <w:rPr>
                <w:sz w:val="19"/>
              </w:rPr>
              <w:t>Mitgliedsserver einer Domäne des zu prüfenden Forests, KEIN Domain Controller</w:t>
            </w:r>
          </w:p>
        </w:tc>
        <w:tc>
          <w:tcPr>
            <w:tcW w:type="dxa" w:w="3402"/>
          </w:tcPr>
          <w:p>
            <w:r/>
            <w:r>
              <w:rPr>
                <w:sz w:val="19"/>
              </w:rPr>
              <w:t>Prerequisites AD Assessment</w:t>
            </w:r>
          </w:p>
        </w:tc>
      </w:tr>
      <w:tr>
        <w:tc>
          <w:tcPr>
            <w:tcW w:type="dxa" w:w="1701"/>
          </w:tcPr>
          <w:p>
            <w:r/>
            <w:r>
              <w:rPr>
                <w:sz w:val="19"/>
              </w:rPr>
              <w:t>Betriebssystem</w:t>
            </w:r>
          </w:p>
        </w:tc>
        <w:tc>
          <w:tcPr>
            <w:tcW w:type="dxa" w:w="4252"/>
          </w:tcPr>
          <w:p>
            <w:r/>
            <w:r>
              <w:rPr>
                <w:sz w:val="19"/>
              </w:rPr>
              <w:t>Windows Server 2016, 2019 oder 2022 (Windows 11 möglich, für Tier-0 nicht empfohlen)</w:t>
            </w:r>
          </w:p>
        </w:tc>
        <w:tc>
          <w:tcPr>
            <w:tcW w:type="dxa" w:w="3402"/>
          </w:tcPr>
          <w:p>
            <w:r/>
            <w:r>
              <w:rPr>
                <w:sz w:val="19"/>
              </w:rPr>
              <w:t>Microsoft Learn: requirements-oda (Server 2025 dort nicht gelistet → vorab prüfen)</w:t>
            </w:r>
          </w:p>
        </w:tc>
      </w:tr>
      <w:tr>
        <w:tc>
          <w:tcPr>
            <w:tcW w:type="dxa" w:w="1701"/>
          </w:tcPr>
          <w:p>
            <w:r/>
            <w:r>
              <w:rPr>
                <w:sz w:val="19"/>
              </w:rPr>
              <w:t>Software</w:t>
            </w:r>
          </w:p>
        </w:tc>
        <w:tc>
          <w:tcPr>
            <w:tcW w:type="dxa" w:w="4252"/>
          </w:tcPr>
          <w:p>
            <w:r/>
            <w:r>
              <w:rPr>
                <w:sz w:val="19"/>
              </w:rPr>
              <w:t>.NET Framework 4.8.1, Windows PowerShell 5.1</w:t>
            </w:r>
          </w:p>
        </w:tc>
        <w:tc>
          <w:tcPr>
            <w:tcW w:type="dxa" w:w="3402"/>
          </w:tcPr>
          <w:p>
            <w:r/>
            <w:r>
              <w:rPr>
                <w:sz w:val="19"/>
              </w:rPr>
              <w:t>Microsoft Learn: requirements-oda</w:t>
            </w:r>
          </w:p>
        </w:tc>
      </w:tr>
      <w:tr>
        <w:tc>
          <w:tcPr>
            <w:tcW w:type="dxa" w:w="1701"/>
          </w:tcPr>
          <w:p>
            <w:r/>
            <w:r>
              <w:rPr>
                <w:sz w:val="19"/>
              </w:rPr>
              <w:t>Hardware</w:t>
            </w:r>
          </w:p>
        </w:tc>
        <w:tc>
          <w:tcPr>
            <w:tcW w:type="dxa" w:w="4252"/>
          </w:tcPr>
          <w:p>
            <w:r/>
            <w:r>
              <w:rPr>
                <w:sz w:val="19"/>
              </w:rPr>
              <w:t>mind. 16 GB RAM, 2 GHz Dual-Core, mind. 10 GB freier Platz für das Arbeitsverzeichnis</w:t>
            </w:r>
          </w:p>
        </w:tc>
        <w:tc>
          <w:tcPr>
            <w:tcW w:type="dxa" w:w="3402"/>
          </w:tcPr>
          <w:p>
            <w:r/>
            <w:r>
              <w:rPr>
                <w:sz w:val="19"/>
              </w:rPr>
              <w:t>Prerequisites AD Assessment</w:t>
            </w:r>
          </w:p>
        </w:tc>
      </w:tr>
      <w:tr>
        <w:tc>
          <w:tcPr>
            <w:tcW w:type="dxa" w:w="1701"/>
          </w:tcPr>
          <w:p>
            <w:r/>
            <w:r>
              <w:rPr>
                <w:sz w:val="19"/>
              </w:rPr>
              <w:t>Schutzbedarf</w:t>
            </w:r>
          </w:p>
        </w:tc>
        <w:tc>
          <w:tcPr>
            <w:tcW w:type="dxa" w:w="4252"/>
          </w:tcPr>
          <w:p>
            <w:r/>
            <w:r>
              <w:rPr>
                <w:sz w:val="19"/>
              </w:rPr>
              <w:t>Tier-0-Härtung (wie ein Admin-Server): kein Internet-Browsing, eingeschränkte Anmeldung, Patchen, EDR</w:t>
            </w:r>
          </w:p>
        </w:tc>
        <w:tc>
          <w:tcPr>
            <w:tcW w:type="dxa" w:w="3402"/>
          </w:tcPr>
          <w:p>
            <w:r/>
            <w:r>
              <w:rPr>
                <w:sz w:val="19"/>
              </w:rPr>
              <w:t>Das Assessment-Konto ist (zeitweise) Enterprise Admin</w:t>
            </w:r>
          </w:p>
        </w:tc>
      </w:tr>
    </w:tbl>
    <w:p>
      <w:pPr>
        <w:spacing w:after="40"/>
      </w:pPr>
    </w:p>
    <w:p>
      <w:pPr>
        <w:pStyle w:val="Heading2"/>
      </w:pPr>
      <w:r>
        <w:t>B2. Netzwerk freischalten</w:t>
      </w:r>
    </w:p>
    <w:p>
      <w:pPr>
        <w:spacing w:after="80"/>
      </w:pPr>
      <w:r>
        <w:rPr>
          <w:i w:val="0"/>
        </w:rPr>
        <w:t>Zum Forest (vom Collector zu ALLEN DCs und DNS-Servern des Forests):</w:t>
      </w:r>
    </w:p>
    <w:tbl>
      <w:tblPr>
        <w:tblStyle w:val="TableGrid"/>
        <w:tblW w:type="auto" w:w="0"/>
        <w:jc w:val="center"/>
        <w:tblLayout w:type="fixed"/>
        <w:tblLook w:firstColumn="1" w:firstRow="1" w:lastColumn="0" w:lastRow="0" w:noHBand="0" w:noVBand="1" w:val="04A0"/>
      </w:tblPr>
      <w:tblGrid>
        <w:gridCol w:w="3118"/>
        <w:gridCol w:w="2551"/>
        <w:gridCol w:w="3685"/>
      </w:tblGrid>
      <w:tr>
        <w:tc>
          <w:tcPr>
            <w:tcW w:type="dxa" w:w="3118"/>
            <w:shd w:val="clear" w:color="auto" w:fill="1F3A5F"/>
          </w:tcPr>
          <w:p>
            <w:r/>
            <w:r>
              <w:rPr>
                <w:b/>
                <w:color w:val="FFFFFF"/>
                <w:sz w:val="19"/>
              </w:rPr>
              <w:t>Protokoll</w:t>
            </w:r>
          </w:p>
        </w:tc>
        <w:tc>
          <w:tcPr>
            <w:tcW w:type="dxa" w:w="2551"/>
            <w:shd w:val="clear" w:color="auto" w:fill="1F3A5F"/>
          </w:tcPr>
          <w:p>
            <w:r/>
            <w:r>
              <w:rPr>
                <w:b/>
                <w:color w:val="FFFFFF"/>
                <w:sz w:val="19"/>
              </w:rPr>
              <w:t>Port</w:t>
            </w:r>
          </w:p>
        </w:tc>
        <w:tc>
          <w:tcPr>
            <w:tcW w:type="dxa" w:w="3685"/>
            <w:shd w:val="clear" w:color="auto" w:fill="1F3A5F"/>
          </w:tcPr>
          <w:p>
            <w:r/>
            <w:r>
              <w:rPr>
                <w:b/>
                <w:color w:val="FFFFFF"/>
                <w:sz w:val="19"/>
              </w:rPr>
              <w:t>Zweck</w:t>
            </w:r>
          </w:p>
        </w:tc>
      </w:tr>
      <w:tr>
        <w:tc>
          <w:tcPr>
            <w:tcW w:type="dxa" w:w="3118"/>
          </w:tcPr>
          <w:p>
            <w:r/>
            <w:r>
              <w:rPr>
                <w:sz w:val="19"/>
              </w:rPr>
              <w:t>RPC Endpoint Mapper + dynamische RPC-Ports</w:t>
            </w:r>
          </w:p>
        </w:tc>
        <w:tc>
          <w:tcPr>
            <w:tcW w:type="dxa" w:w="2551"/>
          </w:tcPr>
          <w:p>
            <w:r/>
            <w:r>
              <w:rPr>
                <w:sz w:val="19"/>
              </w:rPr>
              <w:t>TCP 135, 49152–65535</w:t>
            </w:r>
          </w:p>
        </w:tc>
        <w:tc>
          <w:tcPr>
            <w:tcW w:type="dxa" w:w="3685"/>
          </w:tcPr>
          <w:p>
            <w:r/>
            <w:r>
              <w:rPr>
                <w:sz w:val="19"/>
              </w:rPr>
              <w:t>WMI, DCOM, Remote Registry, Dienstabfragen</w:t>
            </w:r>
          </w:p>
        </w:tc>
      </w:tr>
      <w:tr>
        <w:tc>
          <w:tcPr>
            <w:tcW w:type="dxa" w:w="3118"/>
          </w:tcPr>
          <w:p>
            <w:r/>
            <w:r>
              <w:rPr>
                <w:sz w:val="19"/>
              </w:rPr>
              <w:t>SMB</w:t>
            </w:r>
          </w:p>
        </w:tc>
        <w:tc>
          <w:tcPr>
            <w:tcW w:type="dxa" w:w="2551"/>
          </w:tcPr>
          <w:p>
            <w:r/>
            <w:r>
              <w:rPr>
                <w:sz w:val="19"/>
              </w:rPr>
              <w:t>TCP 445</w:t>
            </w:r>
          </w:p>
        </w:tc>
        <w:tc>
          <w:tcPr>
            <w:tcW w:type="dxa" w:w="3685"/>
          </w:tcPr>
          <w:p>
            <w:r/>
            <w:r>
              <w:rPr>
                <w:sz w:val="19"/>
              </w:rPr>
              <w:t>SYSVOL/NETLOGON, Dateizugriffe, Remote Registry</w:t>
            </w:r>
          </w:p>
        </w:tc>
      </w:tr>
      <w:tr>
        <w:tc>
          <w:tcPr>
            <w:tcW w:type="dxa" w:w="3118"/>
          </w:tcPr>
          <w:p>
            <w:r/>
            <w:r>
              <w:rPr>
                <w:sz w:val="19"/>
              </w:rPr>
              <w:t>LDAP / Global Catalog</w:t>
            </w:r>
          </w:p>
        </w:tc>
        <w:tc>
          <w:tcPr>
            <w:tcW w:type="dxa" w:w="2551"/>
          </w:tcPr>
          <w:p>
            <w:r/>
            <w:r>
              <w:rPr>
                <w:sz w:val="19"/>
              </w:rPr>
              <w:t>TCP/UDP 389, TCP 3268</w:t>
            </w:r>
          </w:p>
        </w:tc>
        <w:tc>
          <w:tcPr>
            <w:tcW w:type="dxa" w:w="3685"/>
          </w:tcPr>
          <w:p>
            <w:r/>
            <w:r>
              <w:rPr>
                <w:sz w:val="19"/>
              </w:rPr>
              <w:t>Verzeichnisabfragen</w:t>
            </w:r>
          </w:p>
        </w:tc>
      </w:tr>
      <w:tr>
        <w:tc>
          <w:tcPr>
            <w:tcW w:type="dxa" w:w="3118"/>
          </w:tcPr>
          <w:p>
            <w:r/>
            <w:r>
              <w:rPr>
                <w:sz w:val="19"/>
              </w:rPr>
              <w:t>DNS</w:t>
            </w:r>
          </w:p>
        </w:tc>
        <w:tc>
          <w:tcPr>
            <w:tcW w:type="dxa" w:w="2551"/>
          </w:tcPr>
          <w:p>
            <w:r/>
            <w:r>
              <w:rPr>
                <w:sz w:val="19"/>
              </w:rPr>
              <w:t>TCP/UDP 53</w:t>
            </w:r>
          </w:p>
        </w:tc>
        <w:tc>
          <w:tcPr>
            <w:tcW w:type="dxa" w:w="3685"/>
          </w:tcPr>
          <w:p>
            <w:r/>
            <w:r>
              <w:rPr>
                <w:sz w:val="19"/>
              </w:rPr>
              <w:t>Namensauflösung, DNS-Prüfungen</w:t>
            </w:r>
          </w:p>
        </w:tc>
      </w:tr>
      <w:tr>
        <w:tc>
          <w:tcPr>
            <w:tcW w:type="dxa" w:w="3118"/>
          </w:tcPr>
          <w:p>
            <w:r/>
            <w:r>
              <w:rPr>
                <w:sz w:val="19"/>
              </w:rPr>
              <w:t>Kerberos</w:t>
            </w:r>
          </w:p>
        </w:tc>
        <w:tc>
          <w:tcPr>
            <w:tcW w:type="dxa" w:w="2551"/>
          </w:tcPr>
          <w:p>
            <w:r/>
            <w:r>
              <w:rPr>
                <w:sz w:val="19"/>
              </w:rPr>
              <w:t>TCP/UDP 88</w:t>
            </w:r>
          </w:p>
        </w:tc>
        <w:tc>
          <w:tcPr>
            <w:tcW w:type="dxa" w:w="3685"/>
          </w:tcPr>
          <w:p>
            <w:r/>
            <w:r>
              <w:rPr>
                <w:sz w:val="19"/>
              </w:rPr>
              <w:t>Authentifizierung des Assessment-Kontos</w:t>
            </w:r>
          </w:p>
        </w:tc>
      </w:tr>
    </w:tbl>
    <w:p>
      <w:pPr>
        <w:spacing w:after="40"/>
      </w:pPr>
    </w:p>
    <w:p>
      <w:pPr>
        <w:spacing w:after="80"/>
      </w:pPr>
      <w:r>
        <w:rPr>
          <w:i w:val="0"/>
        </w:rPr>
        <w:t>Ausgehend ins Internet (HTTPS 443, direkt oder über Proxy, OHNE HTTPS-Inspection):</w:t>
      </w:r>
    </w:p>
    <w:tbl>
      <w:tblPr>
        <w:tblStyle w:val="TableGrid"/>
        <w:tblW w:type="auto" w:w="0"/>
        <w:jc w:val="center"/>
        <w:tblLayout w:type="fixed"/>
        <w:tblLook w:firstColumn="1" w:firstRow="1" w:lastColumn="0" w:lastRow="0" w:noHBand="0" w:noVBand="1" w:val="04A0"/>
      </w:tblPr>
      <w:tblGrid>
        <w:gridCol w:w="1984"/>
        <w:gridCol w:w="7371"/>
      </w:tblGrid>
      <w:tr>
        <w:tc>
          <w:tcPr>
            <w:tcW w:type="dxa" w:w="1984"/>
            <w:shd w:val="clear" w:color="auto" w:fill="1F3A5F"/>
          </w:tcPr>
          <w:p>
            <w:r/>
            <w:r>
              <w:rPr>
                <w:b/>
                <w:color w:val="FFFFFF"/>
                <w:sz w:val="19"/>
              </w:rPr>
              <w:t>Dienst</w:t>
            </w:r>
          </w:p>
        </w:tc>
        <w:tc>
          <w:tcPr>
            <w:tcW w:type="dxa" w:w="7370"/>
            <w:shd w:val="clear" w:color="auto" w:fill="1F3A5F"/>
          </w:tcPr>
          <w:p>
            <w:r/>
            <w:r>
              <w:rPr>
                <w:b/>
                <w:color w:val="FFFFFF"/>
                <w:sz w:val="19"/>
              </w:rPr>
              <w:t>Endpunkte (Auszug laut Microsoft Learn)</w:t>
            </w:r>
          </w:p>
        </w:tc>
      </w:tr>
      <w:tr>
        <w:tc>
          <w:tcPr>
            <w:tcW w:type="dxa" w:w="1984"/>
          </w:tcPr>
          <w:p>
            <w:r/>
            <w:r>
              <w:rPr>
                <w:sz w:val="19"/>
              </w:rPr>
              <w:t>Azure Arc</w:t>
            </w:r>
          </w:p>
        </w:tc>
        <w:tc>
          <w:tcPr>
            <w:tcW w:type="dxa" w:w="7370"/>
          </w:tcPr>
          <w:p>
            <w:r/>
            <w:r>
              <w:rPr>
                <w:sz w:val="19"/>
              </w:rPr>
              <w:t>login.microsoftonline.com, *.login.microsoft.com, pas.windows.net, management.azure.com, *.his.arc.azure.com, *.guestconfiguration.azure.com, guestnotificationservice.azure.com, *.guestnotificationservice.azure.com, *.servicebus.windows.net, *.blob.core.windows.net, download.microsoft.com (Installation)</w:t>
            </w:r>
          </w:p>
        </w:tc>
      </w:tr>
      <w:tr>
        <w:tc>
          <w:tcPr>
            <w:tcW w:type="dxa" w:w="1984"/>
          </w:tcPr>
          <w:p>
            <w:r/>
            <w:r>
              <w:rPr>
                <w:sz w:val="19"/>
              </w:rPr>
              <w:t>Azure Monitor Agent</w:t>
            </w:r>
          </w:p>
        </w:tc>
        <w:tc>
          <w:tcPr>
            <w:tcW w:type="dxa" w:w="7370"/>
          </w:tcPr>
          <w:p>
            <w:r/>
            <w:r>
              <w:rPr>
                <w:sz w:val="19"/>
              </w:rPr>
              <w:t>global.handler.control.monitor.azure.com, &lt;region&gt;.handler.control.monitor.azure.com, &lt;WorkspaceId&gt;.ods.opinsights.azure.com, global.prod.microsoftmetrics.com</w:t>
            </w:r>
          </w:p>
        </w:tc>
      </w:tr>
    </w:tbl>
    <w:p>
      <w:pPr>
        <w:spacing w:after="40"/>
      </w:pPr>
    </w:p>
    <w:p>
      <w:pPr>
        <w:spacing w:after="80"/>
      </w:pPr>
      <w:r>
        <w:rPr>
          <w:i w:val="0"/>
        </w:rPr>
        <w:t>Nach der Arc-Installation (B6) prüft man die Verbindung so:</w:t>
      </w:r>
    </w:p>
    <w:p>
      <w:pPr>
        <w:spacing w:after="0" w:before="0"/>
        <w:ind w:left="170"/>
        <w:shd w:val="clear" w:color="auto" w:fill="F2F2F2"/>
      </w:pPr>
      <w:r>
        <w:rPr>
          <w:rFonts w:ascii="Consolas" w:hAnsi="Consolas" w:eastAsia="Consolas"/>
          <w:sz w:val="17"/>
        </w:rPr>
        <w:t>azcmagent check --location germanywestcentral          # prüft die benötigten Endpunkte</w:t>
      </w:r>
    </w:p>
    <w:p>
      <w:pPr>
        <w:spacing w:after="0" w:before="0"/>
        <w:ind w:left="170"/>
        <w:shd w:val="clear" w:color="auto" w:fill="F2F2F2"/>
      </w:pPr>
      <w:r>
        <w:rPr>
          <w:rFonts w:ascii="Consolas" w:hAnsi="Consolas" w:eastAsia="Consolas"/>
          <w:sz w:val="17"/>
        </w:rPr>
        <w:t>azcmagent config set proxy.url "http://proxy.forest-a.example:8080"   # nur falls Proxy nötig</w:t>
      </w:r>
    </w:p>
    <w:p>
      <w:pPr>
        <w:spacing w:after="40"/>
      </w:pPr>
    </w:p>
    <w:p>
      <w:pPr>
        <w:pStyle w:val="Heading2"/>
      </w:pPr>
      <w:r>
        <w:t>B3. Gruppenrichtlinien für den Collector</w:t>
      </w:r>
    </w:p>
    <w:p>
      <w:pPr>
        <w:spacing w:after="80"/>
      </w:pPr>
      <w:r>
        <w:rPr>
          <w:i w:val="0"/>
        </w:rPr>
        <w:t>Am besten in einer GPO auf die OU des Collectors (nicht lokal), damit die Einstellungen dauerhaft bleiben:</w:t>
      </w:r>
    </w:p>
    <w:tbl>
      <w:tblPr>
        <w:tblStyle w:val="TableGrid"/>
        <w:tblW w:type="auto" w:w="0"/>
        <w:jc w:val="center"/>
        <w:tblLayout w:type="fixed"/>
        <w:tblLook w:firstColumn="1" w:firstRow="1" w:lastColumn="0" w:lastRow="0" w:noHBand="0" w:noVBand="1" w:val="04A0"/>
      </w:tblPr>
      <w:tblGrid>
        <w:gridCol w:w="3402"/>
        <w:gridCol w:w="2268"/>
        <w:gridCol w:w="3685"/>
      </w:tblGrid>
      <w:tr>
        <w:tc>
          <w:tcPr>
            <w:tcW w:type="dxa" w:w="3402"/>
            <w:shd w:val="clear" w:color="auto" w:fill="1F3A5F"/>
          </w:tcPr>
          <w:p>
            <w:r/>
            <w:r>
              <w:rPr>
                <w:b/>
                <w:color w:val="FFFFFF"/>
                <w:sz w:val="19"/>
              </w:rPr>
              <w:t>Einstellung</w:t>
            </w:r>
          </w:p>
        </w:tc>
        <w:tc>
          <w:tcPr>
            <w:tcW w:type="dxa" w:w="2268"/>
            <w:shd w:val="clear" w:color="auto" w:fill="1F3A5F"/>
          </w:tcPr>
          <w:p>
            <w:r/>
            <w:r>
              <w:rPr>
                <w:b/>
                <w:color w:val="FFFFFF"/>
                <w:sz w:val="19"/>
              </w:rPr>
              <w:t>Wert</w:t>
            </w:r>
          </w:p>
        </w:tc>
        <w:tc>
          <w:tcPr>
            <w:tcW w:type="dxa" w:w="3685"/>
            <w:shd w:val="clear" w:color="auto" w:fill="1F3A5F"/>
          </w:tcPr>
          <w:p>
            <w:r/>
            <w:r>
              <w:rPr>
                <w:b/>
                <w:color w:val="FFFFFF"/>
                <w:sz w:val="19"/>
              </w:rPr>
              <w:t>Pfad</w:t>
            </w:r>
          </w:p>
        </w:tc>
      </w:tr>
      <w:tr>
        <w:tc>
          <w:tcPr>
            <w:tcW w:type="dxa" w:w="3402"/>
          </w:tcPr>
          <w:p>
            <w:r/>
            <w:r>
              <w:rPr>
                <w:sz w:val="19"/>
              </w:rPr>
              <w:t>Do not forcefully unload the users registry at user logoff</w:t>
            </w:r>
          </w:p>
        </w:tc>
        <w:tc>
          <w:tcPr>
            <w:tcW w:type="dxa" w:w="2268"/>
          </w:tcPr>
          <w:p>
            <w:r/>
            <w:r>
              <w:rPr>
                <w:sz w:val="19"/>
              </w:rPr>
              <w:t>Aktiviert</w:t>
            </w:r>
          </w:p>
        </w:tc>
        <w:tc>
          <w:tcPr>
            <w:tcW w:type="dxa" w:w="3685"/>
          </w:tcPr>
          <w:p>
            <w:r/>
            <w:r>
              <w:rPr>
                <w:sz w:val="19"/>
              </w:rPr>
              <w:t>Computerkonfiguration → Administrative Vorlagen → System → Benutzerprofile</w:t>
            </w:r>
          </w:p>
        </w:tc>
      </w:tr>
      <w:tr>
        <w:tc>
          <w:tcPr>
            <w:tcW w:type="dxa" w:w="3402"/>
          </w:tcPr>
          <w:p>
            <w:r/>
            <w:r>
              <w:rPr>
                <w:sz w:val="19"/>
              </w:rPr>
              <w:t>Network access: Do not allow storage of passwords and credentials for network authentication</w:t>
            </w:r>
          </w:p>
        </w:tc>
        <w:tc>
          <w:tcPr>
            <w:tcW w:type="dxa" w:w="2268"/>
          </w:tcPr>
          <w:p>
            <w:r/>
            <w:r>
              <w:rPr>
                <w:sz w:val="19"/>
              </w:rPr>
              <w:t>Deaktiviert – NICHT nötig bei gMSA</w:t>
            </w:r>
          </w:p>
        </w:tc>
        <w:tc>
          <w:tcPr>
            <w:tcW w:type="dxa" w:w="3685"/>
          </w:tcPr>
          <w:p>
            <w:r/>
            <w:r>
              <w:rPr>
                <w:sz w:val="19"/>
              </w:rPr>
              <w:t>Computerkonfiguration → Windows-Einstellungen → Sicherheitseinstellungen → Lokale Richtlinien → Sicherheitsoptionen</w:t>
            </w:r>
          </w:p>
        </w:tc>
      </w:tr>
      <w:tr>
        <w:tc>
          <w:tcPr>
            <w:tcW w:type="dxa" w:w="3402"/>
          </w:tcPr>
          <w:p>
            <w:r/>
            <w:r>
              <w:rPr>
                <w:sz w:val="19"/>
              </w:rPr>
              <w:t>Log on as a batch job (Als Stapelverarbeitungsauftrag anmelden)</w:t>
            </w:r>
          </w:p>
        </w:tc>
        <w:tc>
          <w:tcPr>
            <w:tcW w:type="dxa" w:w="2268"/>
          </w:tcPr>
          <w:p>
            <w:r/>
            <w:r>
              <w:rPr>
                <w:sz w:val="19"/>
              </w:rPr>
              <w:t>Assessment-Konto hinzufügen (bestehende Einträge wie Administrators, Backup Operators beibehalten)</w:t>
            </w:r>
          </w:p>
        </w:tc>
        <w:tc>
          <w:tcPr>
            <w:tcW w:type="dxa" w:w="3685"/>
          </w:tcPr>
          <w:p>
            <w:r/>
            <w:r>
              <w:rPr>
                <w:sz w:val="19"/>
              </w:rPr>
              <w:t>… → Lokale Richtlinien → Zuweisen von Benutzerrechten</w:t>
            </w:r>
          </w:p>
        </w:tc>
      </w:tr>
    </w:tbl>
    <w:p>
      <w:pPr>
        <w:spacing w:after="40"/>
      </w:pPr>
    </w:p>
    <w:p>
      <w:pPr>
        <w:pStyle w:val="Heading2"/>
      </w:pPr>
      <w:r>
        <w:t>B4. Assessment-Konto je Forest (gMSA) anlegen</w:t>
      </w:r>
    </w:p>
    <w:p>
      <w:pPr>
        <w:spacing w:after="80"/>
      </w:pPr>
      <w:r>
        <w:rPr>
          <w:i w:val="0"/>
        </w:rPr>
        <w:t>Microsoft unterstützt ein Benutzerkonto oder ein Managed Service Account. Empfehlung: ein gMSA. Es hat kein statisches Kennwort, und nur der Collector darf das Kennwort abrufen.</w:t>
      </w:r>
    </w:p>
    <w:p>
      <w:pPr>
        <w:spacing w:after="0" w:before="0"/>
        <w:ind w:left="170"/>
        <w:shd w:val="clear" w:color="auto" w:fill="F2F2F2"/>
      </w:pPr>
      <w:r>
        <w:rPr>
          <w:rFonts w:ascii="Consolas" w:hAnsi="Consolas" w:eastAsia="Consolas"/>
          <w:sz w:val="17"/>
        </w:rPr>
        <w:t># Auf einem DC / Admin-Server des Forests (Modul ActiveDirectory)</w:t>
      </w:r>
    </w:p>
    <w:p>
      <w:pPr>
        <w:spacing w:after="0" w:before="0"/>
        <w:ind w:left="170"/>
        <w:shd w:val="clear" w:color="auto" w:fill="F2F2F2"/>
      </w:pPr>
      <w:r>
        <w:rPr>
          <w:rFonts w:ascii="Consolas" w:hAnsi="Consolas" w:eastAsia="Consolas"/>
          <w:sz w:val="17"/>
        </w:rPr>
        <w:t>Get-KdsRootKey                       # leer? -&gt; Add-KdsRootKey -EffectiveImmediately (danach ~10 h Replikation abwarten)</w:t>
      </w:r>
    </w:p>
    <w:p>
      <w:pPr>
        <w:spacing w:after="0" w:before="0"/>
        <w:ind w:left="170"/>
        <w:shd w:val="clear" w:color="auto" w:fill="F2F2F2"/>
      </w:pPr>
      <w:r>
        <w:rPr>
          <w:rFonts w:ascii="Consolas" w:hAnsi="Consolas" w:eastAsia="Consolas"/>
          <w:sz w:val="17"/>
        </w:rPr>
        <w:t xml:space="preserve"> </w:t>
      </w:r>
    </w:p>
    <w:p>
      <w:pPr>
        <w:spacing w:after="0" w:before="0"/>
        <w:ind w:left="170"/>
        <w:shd w:val="clear" w:color="auto" w:fill="F2F2F2"/>
      </w:pPr>
      <w:r>
        <w:rPr>
          <w:rFonts w:ascii="Consolas" w:hAnsi="Consolas" w:eastAsia="Consolas"/>
          <w:sz w:val="17"/>
        </w:rPr>
        <w:t>New-ADServiceAccount -Name 'gMSA-ODA' -DNSHostName 'gMSA-ODA.forest-a.example' `</w:t>
      </w:r>
    </w:p>
    <w:p>
      <w:pPr>
        <w:spacing w:after="0" w:before="0"/>
        <w:ind w:left="170"/>
        <w:shd w:val="clear" w:color="auto" w:fill="F2F2F2"/>
      </w:pPr>
      <w:r>
        <w:rPr>
          <w:rFonts w:ascii="Consolas" w:hAnsi="Consolas" w:eastAsia="Consolas"/>
          <w:sz w:val="17"/>
        </w:rPr>
        <w:t xml:space="preserve">    -PrincipalsAllowedToRetrieveManagedPassword 'ODA-COL-A$' `</w:t>
      </w:r>
    </w:p>
    <w:p>
      <w:pPr>
        <w:spacing w:after="0" w:before="0"/>
        <w:ind w:left="170"/>
        <w:shd w:val="clear" w:color="auto" w:fill="F2F2F2"/>
      </w:pPr>
      <w:r>
        <w:rPr>
          <w:rFonts w:ascii="Consolas" w:hAnsi="Consolas" w:eastAsia="Consolas"/>
          <w:sz w:val="17"/>
        </w:rPr>
        <w:t xml:space="preserve">    -KerberosEncryptionType AES128, AES256</w:t>
      </w:r>
    </w:p>
    <w:p>
      <w:pPr>
        <w:spacing w:after="0" w:before="0"/>
        <w:ind w:left="170"/>
        <w:shd w:val="clear" w:color="auto" w:fill="F2F2F2"/>
      </w:pPr>
      <w:r>
        <w:rPr>
          <w:rFonts w:ascii="Consolas" w:hAnsi="Consolas" w:eastAsia="Consolas"/>
          <w:sz w:val="17"/>
        </w:rPr>
        <w:t xml:space="preserve"> </w:t>
      </w:r>
    </w:p>
    <w:p>
      <w:pPr>
        <w:spacing w:after="0" w:before="0"/>
        <w:ind w:left="170"/>
        <w:shd w:val="clear" w:color="auto" w:fill="F2F2F2"/>
      </w:pPr>
      <w:r>
        <w:rPr>
          <w:rFonts w:ascii="Consolas" w:hAnsi="Consolas" w:eastAsia="Consolas"/>
          <w:sz w:val="17"/>
        </w:rPr>
        <w:t># Auf dem Collector (nach Neustart oder klist -li 0x3e7 purge, damit die Computergruppen aktuell sind)</w:t>
      </w:r>
    </w:p>
    <w:p>
      <w:pPr>
        <w:spacing w:after="0" w:before="0"/>
        <w:ind w:left="170"/>
        <w:shd w:val="clear" w:color="auto" w:fill="F2F2F2"/>
      </w:pPr>
      <w:r>
        <w:rPr>
          <w:rFonts w:ascii="Consolas" w:hAnsi="Consolas" w:eastAsia="Consolas"/>
          <w:sz w:val="17"/>
        </w:rPr>
        <w:t>Install-ADServiceAccount -Identity 'gMSA-ODA'</w:t>
      </w:r>
    </w:p>
    <w:p>
      <w:pPr>
        <w:spacing w:after="0" w:before="0"/>
        <w:ind w:left="170"/>
        <w:shd w:val="clear" w:color="auto" w:fill="F2F2F2"/>
      </w:pPr>
      <w:r>
        <w:rPr>
          <w:rFonts w:ascii="Consolas" w:hAnsi="Consolas" w:eastAsia="Consolas"/>
          <w:sz w:val="17"/>
        </w:rPr>
        <w:t>Test-ADServiceAccount   -Identity 'gMSA-ODA'           # muss True liefern</w:t>
      </w:r>
    </w:p>
    <w:p>
      <w:pPr>
        <w:spacing w:after="0" w:before="0"/>
        <w:ind w:left="170"/>
        <w:shd w:val="clear" w:color="auto" w:fill="F2F2F2"/>
      </w:pPr>
      <w:r>
        <w:rPr>
          <w:rFonts w:ascii="Consolas" w:hAnsi="Consolas" w:eastAsia="Consolas"/>
          <w:sz w:val="17"/>
        </w:rPr>
        <w:t>Add-LocalGroupMember -SID 'S-1-5-32-544' -Member 'FORESTA\gMSA-ODA$'   # lokale Administratoren (sprachunabhängig)</w:t>
      </w:r>
    </w:p>
    <w:p>
      <w:pPr>
        <w:spacing w:after="40"/>
      </w:pPr>
    </w:p>
    <w:tbl>
      <w:tblPr>
        <w:tblStyle w:val="TableGrid"/>
        <w:tblW w:type="auto" w:w="0"/>
        <w:jc w:val="center"/>
        <w:tblLayout w:type="fixed"/>
        <w:tblLook w:firstColumn="1" w:firstRow="1" w:lastColumn="0" w:lastRow="0" w:noHBand="0" w:noVBand="1" w:val="04A0"/>
      </w:tblPr>
      <w:tblGrid>
        <w:gridCol w:w="2154"/>
        <w:gridCol w:w="1360"/>
        <w:gridCol w:w="2438"/>
        <w:gridCol w:w="3402"/>
      </w:tblGrid>
      <w:tr>
        <w:tc>
          <w:tcPr>
            <w:tcW w:type="dxa" w:w="2154"/>
            <w:shd w:val="clear" w:color="auto" w:fill="1F3A5F"/>
          </w:tcPr>
          <w:p>
            <w:r/>
            <w:r>
              <w:rPr>
                <w:b/>
                <w:color w:val="FFFFFF"/>
                <w:sz w:val="19"/>
              </w:rPr>
              <w:t>Recht</w:t>
            </w:r>
          </w:p>
        </w:tc>
        <w:tc>
          <w:tcPr>
            <w:tcW w:type="dxa" w:w="1361"/>
            <w:shd w:val="clear" w:color="auto" w:fill="1F3A5F"/>
          </w:tcPr>
          <w:p>
            <w:r/>
            <w:r>
              <w:rPr>
                <w:b/>
                <w:color w:val="FFFFFF"/>
                <w:sz w:val="19"/>
              </w:rPr>
              <w:t>AD</w:t>
            </w:r>
          </w:p>
        </w:tc>
        <w:tc>
          <w:tcPr>
            <w:tcW w:type="dxa" w:w="2438"/>
            <w:shd w:val="clear" w:color="auto" w:fill="1F3A5F"/>
          </w:tcPr>
          <w:p>
            <w:r/>
            <w:r>
              <w:rPr>
                <w:b/>
                <w:color w:val="FFFFFF"/>
                <w:sz w:val="19"/>
              </w:rPr>
              <w:t>AD Security</w:t>
            </w:r>
          </w:p>
        </w:tc>
        <w:tc>
          <w:tcPr>
            <w:tcW w:type="dxa" w:w="3402"/>
            <w:shd w:val="clear" w:color="auto" w:fill="1F3A5F"/>
          </w:tcPr>
          <w:p>
            <w:r/>
            <w:r>
              <w:rPr>
                <w:b/>
                <w:color w:val="FFFFFF"/>
                <w:sz w:val="19"/>
              </w:rPr>
              <w:t>Umsetzung</w:t>
            </w:r>
          </w:p>
        </w:tc>
      </w:tr>
      <w:tr>
        <w:tc>
          <w:tcPr>
            <w:tcW w:type="dxa" w:w="2154"/>
          </w:tcPr>
          <w:p>
            <w:r/>
            <w:r>
              <w:rPr>
                <w:sz w:val="19"/>
              </w:rPr>
              <w:t>Enterprise Admins</w:t>
            </w:r>
          </w:p>
        </w:tc>
        <w:tc>
          <w:tcPr>
            <w:tcW w:type="dxa" w:w="1361"/>
          </w:tcPr>
          <w:p>
            <w:r/>
            <w:r>
              <w:rPr>
                <w:sz w:val="19"/>
              </w:rPr>
              <w:t>erforderlich</w:t>
            </w:r>
          </w:p>
        </w:tc>
        <w:tc>
          <w:tcPr>
            <w:tcW w:type="dxa" w:w="2438"/>
          </w:tcPr>
          <w:p>
            <w:r/>
            <w:r>
              <w:rPr>
                <w:sz w:val="19"/>
              </w:rPr>
              <w:t>Enterprise Admins ODER Builtin\Administrators in jeder Domäne</w:t>
            </w:r>
          </w:p>
        </w:tc>
        <w:tc>
          <w:tcPr>
            <w:tcW w:type="dxa" w:w="3402"/>
          </w:tcPr>
          <w:p>
            <w:r/>
            <w:r>
              <w:rPr>
                <w:sz w:val="19"/>
              </w:rPr>
              <w:t>Dauerhaft oder Just-in-Time (Konzept „JIT Enterprise Admin“, Skripte im ODA Delegation Toolkit)</w:t>
            </w:r>
          </w:p>
        </w:tc>
      </w:tr>
      <w:tr>
        <w:tc>
          <w:tcPr>
            <w:tcW w:type="dxa" w:w="2154"/>
          </w:tcPr>
          <w:p>
            <w:r/>
            <w:r>
              <w:rPr>
                <w:sz w:val="19"/>
              </w:rPr>
              <w:t>Admin auf allen DCs</w:t>
            </w:r>
          </w:p>
        </w:tc>
        <w:tc>
          <w:tcPr>
            <w:tcW w:type="dxa" w:w="1361"/>
          </w:tcPr>
          <w:p>
            <w:r/>
            <w:r>
              <w:rPr>
                <w:sz w:val="19"/>
              </w:rPr>
              <w:t>erforderlich</w:t>
            </w:r>
          </w:p>
        </w:tc>
        <w:tc>
          <w:tcPr>
            <w:tcW w:type="dxa" w:w="2438"/>
          </w:tcPr>
          <w:p>
            <w:r/>
            <w:r>
              <w:rPr>
                <w:sz w:val="19"/>
              </w:rPr>
              <w:t>erforderlich</w:t>
            </w:r>
          </w:p>
        </w:tc>
        <w:tc>
          <w:tcPr>
            <w:tcW w:type="dxa" w:w="3402"/>
          </w:tcPr>
          <w:p>
            <w:r/>
            <w:r>
              <w:rPr>
                <w:sz w:val="19"/>
              </w:rPr>
              <w:t>über Enterprise Admins → Builtin\Administrators jeder Domäne</w:t>
            </w:r>
          </w:p>
        </w:tc>
      </w:tr>
      <w:tr>
        <w:tc>
          <w:tcPr>
            <w:tcW w:type="dxa" w:w="2154"/>
          </w:tcPr>
          <w:p>
            <w:r/>
            <w:r>
              <w:rPr>
                <w:sz w:val="19"/>
              </w:rPr>
              <w:t>Admin auf allen DNS-Servern</w:t>
            </w:r>
          </w:p>
        </w:tc>
        <w:tc>
          <w:tcPr>
            <w:tcW w:type="dxa" w:w="1361"/>
          </w:tcPr>
          <w:p>
            <w:r/>
            <w:r>
              <w:rPr>
                <w:sz w:val="19"/>
              </w:rPr>
              <w:t>erforderlich</w:t>
            </w:r>
          </w:p>
        </w:tc>
        <w:tc>
          <w:tcPr>
            <w:tcW w:type="dxa" w:w="2438"/>
          </w:tcPr>
          <w:p>
            <w:r/>
            <w:r>
              <w:rPr>
                <w:sz w:val="19"/>
              </w:rPr>
              <w:t>erforderlich</w:t>
            </w:r>
          </w:p>
        </w:tc>
        <w:tc>
          <w:tcPr>
            <w:tcW w:type="dxa" w:w="3402"/>
          </w:tcPr>
          <w:p>
            <w:r/>
            <w:r>
              <w:rPr>
                <w:sz w:val="19"/>
              </w:rPr>
              <w:t>DCs mit DNS: wie oben; separate DNS-Server: lokale Admins</w:t>
            </w:r>
          </w:p>
        </w:tc>
      </w:tr>
      <w:tr>
        <w:tc>
          <w:tcPr>
            <w:tcW w:type="dxa" w:w="2154"/>
          </w:tcPr>
          <w:p>
            <w:r/>
            <w:r>
              <w:rPr>
                <w:sz w:val="19"/>
              </w:rPr>
              <w:t>Lokaler Admin auf dem Collector</w:t>
            </w:r>
          </w:p>
        </w:tc>
        <w:tc>
          <w:tcPr>
            <w:tcW w:type="dxa" w:w="1361"/>
          </w:tcPr>
          <w:p>
            <w:r/>
            <w:r>
              <w:rPr>
                <w:sz w:val="19"/>
              </w:rPr>
              <w:t>erforderlich</w:t>
            </w:r>
          </w:p>
        </w:tc>
        <w:tc>
          <w:tcPr>
            <w:tcW w:type="dxa" w:w="2438"/>
          </w:tcPr>
          <w:p>
            <w:r/>
            <w:r>
              <w:rPr>
                <w:sz w:val="19"/>
              </w:rPr>
              <w:t>erforderlich</w:t>
            </w:r>
          </w:p>
        </w:tc>
        <w:tc>
          <w:tcPr>
            <w:tcW w:type="dxa" w:w="3402"/>
          </w:tcPr>
          <w:p>
            <w:r/>
            <w:r>
              <w:rPr>
                <w:sz w:val="19"/>
              </w:rPr>
              <w:t>Add-LocalGroupMember (siehe oben)</w:t>
            </w:r>
          </w:p>
        </w:tc>
      </w:tr>
      <w:tr>
        <w:tc>
          <w:tcPr>
            <w:tcW w:type="dxa" w:w="2154"/>
          </w:tcPr>
          <w:p>
            <w:r/>
            <w:r>
              <w:rPr>
                <w:sz w:val="19"/>
              </w:rPr>
              <w:t>Log on as a batch job auf dem Collector</w:t>
            </w:r>
          </w:p>
        </w:tc>
        <w:tc>
          <w:tcPr>
            <w:tcW w:type="dxa" w:w="1361"/>
          </w:tcPr>
          <w:p>
            <w:r/>
            <w:r>
              <w:rPr>
                <w:sz w:val="19"/>
              </w:rPr>
              <w:t>erforderlich</w:t>
            </w:r>
          </w:p>
        </w:tc>
        <w:tc>
          <w:tcPr>
            <w:tcW w:type="dxa" w:w="2438"/>
          </w:tcPr>
          <w:p>
            <w:r/>
            <w:r>
              <w:rPr>
                <w:sz w:val="19"/>
              </w:rPr>
              <w:t>erforderlich</w:t>
            </w:r>
          </w:p>
        </w:tc>
        <w:tc>
          <w:tcPr>
            <w:tcW w:type="dxa" w:w="3402"/>
          </w:tcPr>
          <w:p>
            <w:r/>
            <w:r>
              <w:rPr>
                <w:sz w:val="19"/>
              </w:rPr>
              <w:t>GPO aus B3</w:t>
            </w:r>
          </w:p>
        </w:tc>
      </w:tr>
    </w:tbl>
    <w:p>
      <w:pPr>
        <w:spacing w:after="40"/>
      </w:pPr>
    </w:p>
    <w:p>
      <w:pPr>
        <w:pStyle w:val="Heading2"/>
      </w:pPr>
      <w:r>
        <w:t>B5. Arbeitsverzeichnis anlegen</w:t>
      </w:r>
    </w:p>
    <w:p>
      <w:pPr>
        <w:spacing w:after="0" w:before="0"/>
        <w:ind w:left="170"/>
        <w:shd w:val="clear" w:color="auto" w:fill="F2F2F2"/>
      </w:pPr>
      <w:r>
        <w:rPr>
          <w:rFonts w:ascii="Consolas" w:hAnsi="Consolas" w:eastAsia="Consolas"/>
          <w:sz w:val="17"/>
        </w:rPr>
        <w:t>New-Item -ItemType Directory -Path 'C:\Assessments'     # NICHT C:\ODA - von Microsoft reserviert</w:t>
      </w:r>
    </w:p>
    <w:p>
      <w:pPr>
        <w:spacing w:after="40"/>
      </w:pPr>
    </w:p>
    <w:p>
      <w:pPr>
        <w:spacing w:after="80"/>
      </w:pPr>
      <w:r>
        <w:rPr>
          <w:i w:val="0"/>
        </w:rPr>
        <w:t>Den Pfad genau so verwenden, wie er in Teil C im Connector als „Logging path“ eingetragen wird.</w:t>
      </w:r>
    </w:p>
    <w:p>
      <w:pPr>
        <w:pStyle w:val="Heading2"/>
      </w:pPr>
      <w:r>
        <w:t>B6. Collector mit Azure Arc verbinden</w:t>
      </w:r>
    </w:p>
    <w:p>
      <w:pPr>
        <w:pStyle w:val="ListNumber"/>
        <w:spacing w:after="40"/>
      </w:pPr>
      <w:r>
        <w:t>Azure-Portal → Azure Arc → Machines → Add/Create → „Add a single server“ → Generate script.</w:t>
      </w:r>
    </w:p>
    <w:p>
      <w:pPr>
        <w:pStyle w:val="ListNumber"/>
        <w:spacing w:after="40"/>
      </w:pPr>
      <w:r>
        <w:t>Subscription und Resource Group = rg-oda-&lt;forest&gt; (WICHTIG: dieselbe RG wie der LAW des Forests), Region, Betriebssystem Windows, Verbindungsart „Public endpoint“ bzw. „Proxy server“, Tags.</w:t>
      </w:r>
    </w:p>
    <w:p>
      <w:pPr>
        <w:pStyle w:val="ListNumber"/>
        <w:spacing w:after="40"/>
      </w:pPr>
      <w:r>
        <w:t>Skript herunterladen und auf dem Collector in einer PowerShell als Administrator ausführen. Bei der Geräteanmeldung meldet sich ein Konto mit der Rolle Azure Connected Machine Onboarding an.</w:t>
      </w:r>
    </w:p>
    <w:p>
      <w:pPr>
        <w:pStyle w:val="ListNumber"/>
        <w:spacing w:after="40"/>
      </w:pPr>
      <w:r>
        <w:t>Prüfen: azcmagent show → Agent Status = Connected; im Portal ist die Maschine in rg-oda-&lt;forest&gt; sichtbar.</w:t>
      </w:r>
    </w:p>
    <w:p>
      <w:pPr>
        <w:spacing w:after="80"/>
      </w:pPr>
      <w:r>
        <w:rPr>
          <w:i w:val="0"/>
        </w:rPr>
        <w:t>Alternative für mehrere Server ohne interaktive Anmeldung (Service Principal mit Onboarding-Rolle):</w:t>
      </w:r>
    </w:p>
    <w:p>
      <w:pPr>
        <w:spacing w:after="0" w:before="0"/>
        <w:ind w:left="170"/>
        <w:shd w:val="clear" w:color="auto" w:fill="F2F2F2"/>
      </w:pPr>
      <w:r>
        <w:rPr>
          <w:rFonts w:ascii="Consolas" w:hAnsi="Consolas" w:eastAsia="Consolas"/>
          <w:sz w:val="17"/>
        </w:rPr>
        <w:t>azcmagent connect --service-principal-id &lt;AppId&gt; --service-principal-secret &lt;Secret&gt; `</w:t>
      </w:r>
    </w:p>
    <w:p>
      <w:pPr>
        <w:spacing w:after="0" w:before="0"/>
        <w:ind w:left="170"/>
        <w:shd w:val="clear" w:color="auto" w:fill="F2F2F2"/>
      </w:pPr>
      <w:r>
        <w:rPr>
          <w:rFonts w:ascii="Consolas" w:hAnsi="Consolas" w:eastAsia="Consolas"/>
          <w:sz w:val="17"/>
        </w:rPr>
        <w:t xml:space="preserve">    --tenant-id &lt;TenantId&gt; --subscription-id &lt;SubscriptionId&gt; `</w:t>
      </w:r>
    </w:p>
    <w:p>
      <w:pPr>
        <w:spacing w:after="0" w:before="0"/>
        <w:ind w:left="170"/>
        <w:shd w:val="clear" w:color="auto" w:fill="F2F2F2"/>
      </w:pPr>
      <w:r>
        <w:rPr>
          <w:rFonts w:ascii="Consolas" w:hAnsi="Consolas" w:eastAsia="Consolas"/>
          <w:sz w:val="17"/>
        </w:rPr>
        <w:t xml:space="preserve">    --resource-group rg-oda-foresta --location germanywestcentral --cloud AzureCloud</w:t>
      </w:r>
    </w:p>
    <w:p>
      <w:pPr>
        <w:spacing w:after="40"/>
      </w:pPr>
    </w:p>
    <w:p>
      <w:pPr>
        <w:pStyle w:val="Heading2"/>
      </w:pPr>
      <w:r>
        <w:t>B7. Azure Monitor Agent (AMA) installieren</w:t>
      </w:r>
    </w:p>
    <w:p>
      <w:pPr>
        <w:spacing w:after="80"/>
      </w:pPr>
      <w:r>
        <w:rPr>
          <w:i w:val="0"/>
        </w:rPr>
        <w:t>Portal: Azure Arc → Machines → ODA-COL-&lt;FOREST&gt; → Extensions → Add → „Azure Monitor Agent for Windows“ → Review + Create. Alternativ per PowerShell:</w:t>
      </w:r>
    </w:p>
    <w:p>
      <w:pPr>
        <w:spacing w:after="0" w:before="0"/>
        <w:ind w:left="170"/>
        <w:shd w:val="clear" w:color="auto" w:fill="F2F2F2"/>
      </w:pPr>
      <w:r>
        <w:rPr>
          <w:rFonts w:ascii="Consolas" w:hAnsi="Consolas" w:eastAsia="Consolas"/>
          <w:sz w:val="17"/>
        </w:rPr>
        <w:t>New-AzConnectedMachineExtension -ResourceGroupName 'rg-oda-foresta' -MachineName 'ODA-COL-A' `</w:t>
      </w:r>
    </w:p>
    <w:p>
      <w:pPr>
        <w:spacing w:after="0" w:before="0"/>
        <w:ind w:left="170"/>
        <w:shd w:val="clear" w:color="auto" w:fill="F2F2F2"/>
      </w:pPr>
      <w:r>
        <w:rPr>
          <w:rFonts w:ascii="Consolas" w:hAnsi="Consolas" w:eastAsia="Consolas"/>
          <w:sz w:val="17"/>
        </w:rPr>
        <w:t xml:space="preserve">    -Name 'AzureMonitorWindowsAgent' -Location 'germanywestcentral' `</w:t>
      </w:r>
    </w:p>
    <w:p>
      <w:pPr>
        <w:spacing w:after="0" w:before="0"/>
        <w:ind w:left="170"/>
        <w:shd w:val="clear" w:color="auto" w:fill="F2F2F2"/>
      </w:pPr>
      <w:r>
        <w:rPr>
          <w:rFonts w:ascii="Consolas" w:hAnsi="Consolas" w:eastAsia="Consolas"/>
          <w:sz w:val="17"/>
        </w:rPr>
        <w:t xml:space="preserve">    -Publisher 'Microsoft.Azure.Monitor' -ExtensionType 'AzureMonitorWindowsAgent' -EnableAutomaticUpgrade</w:t>
      </w:r>
    </w:p>
    <w:p>
      <w:pPr>
        <w:spacing w:after="40"/>
      </w:pPr>
    </w:p>
    <w:p>
      <w:pPr>
        <w:pStyle w:val="Heading2"/>
      </w:pPr>
      <w:r>
        <w:t>B8. Härtung nach der Einrichtung</w:t>
      </w:r>
    </w:p>
    <w:p>
      <w:pPr>
        <w:pStyle w:val="ListBullet"/>
        <w:spacing w:after="40"/>
      </w:pPr>
      <w:r>
        <w:t>Wenn die Assessments in Teil C laufen: unter Extensions prüfen, welche Erweiterungen installiert sind. Dann auf dem Collector nur genau diese erlauben, z. B. azcmagent config set extensions.allowlist "Microsoft.Azure.Monitor/AzureMonitorWindowsAgent,&lt;weitere&gt;". Die Allowlist erst NACH der Einrichtung setzen, sonst kann das Hinzufügen der Assessments scheitern.</w:t>
      </w:r>
    </w:p>
    <w:p>
      <w:pPr>
        <w:pStyle w:val="ListBullet"/>
        <w:spacing w:after="40"/>
      </w:pPr>
      <w:r>
        <w:t>Remote-Befehle über Azure (Run Command) nicht benötigt → nicht freigeben.</w:t>
      </w:r>
    </w:p>
    <w:p>
      <w:pPr>
        <w:pStyle w:val="ListBullet"/>
        <w:spacing w:after="40"/>
      </w:pPr>
      <w:r>
        <w:t>Anmeldung am Collector nur für Tier-0-Admins dieses Forests.</w:t>
      </w:r>
    </w:p>
    <w:p>
      <w:pPr>
        <w:pStyle w:val="Heading1"/>
      </w:pPr>
      <w:r>
        <w:t>Teil C – Assessments einrichten (je Forest)</w:t>
      </w:r>
    </w:p>
    <w:p>
      <w:pPr>
        <w:pStyle w:val="Heading2"/>
      </w:pPr>
      <w:r>
        <w:t>C1. Assessments im Connector hinzufügen (Azure-Portal)</w:t>
      </w:r>
    </w:p>
    <w:p>
      <w:pPr>
        <w:pStyle w:val="ListNumber"/>
        <w:spacing w:after="40"/>
      </w:pPr>
      <w:r>
        <w:t>Engage Center Connector öffnen → On-Demand Assessments → oben den LAW des Forests als aktiven Workspace wählen (▼).</w:t>
      </w:r>
    </w:p>
    <w:p>
      <w:pPr>
        <w:pStyle w:val="ListNumber"/>
        <w:spacing w:after="40"/>
      </w:pPr>
      <w:r>
        <w:t>„Assessments catalog“ öffnen → Seitenbereich „Add assessments“.</w:t>
      </w:r>
    </w:p>
    <w:p>
      <w:pPr>
        <w:pStyle w:val="ListNumber"/>
        <w:spacing w:after="40"/>
      </w:pPr>
      <w:r>
        <w:t>Machine: den Collector ODA-COL-&lt;FOREST&gt; wählen. Wenn er fehlt, liegt der Arc-Server nicht in Subscription/RG des aktiven LAW oder ist nicht verbunden → Refresh.</w:t>
      </w:r>
    </w:p>
    <w:p>
      <w:pPr>
        <w:pStyle w:val="ListNumber"/>
        <w:spacing w:after="40"/>
      </w:pPr>
      <w:r>
        <w:t>Logging path: C:\Assessments (muss auf dem Collector existieren, B5).</w:t>
      </w:r>
    </w:p>
    <w:p>
      <w:pPr>
        <w:pStyle w:val="ListNumber"/>
        <w:spacing w:after="40"/>
      </w:pPr>
      <w:r>
        <w:t>„Active Directory“ und „Active Directory Security“ auswählen → Submit.</w:t>
      </w:r>
    </w:p>
    <w:p>
      <w:pPr>
        <w:pStyle w:val="ListNumber"/>
        <w:spacing w:after="40"/>
      </w:pPr>
      <w:r>
        <w:t>Auf den Kacheln erscheint „Configure“: Dort steht die Setup-Dokumentation zum Herunterladen.</w:t>
      </w:r>
    </w:p>
    <w:p>
      <w:pPr>
        <w:spacing w:after="80"/>
      </w:pPr>
      <w:r>
        <w:rPr>
          <w:i w:val="0"/>
        </w:rPr>
        <w:t>Danach lädt der Collector die Assessment-Binaries und Lösungspakete herunter. Das dauert einige Minuten. Erst danach stehen die Cmdlets aus C2 zur Verfügung.</w:t>
      </w:r>
    </w:p>
    <w:p>
      <w:pPr>
        <w:pStyle w:val="Heading2"/>
      </w:pPr>
      <w:r>
        <w:t>C2. Assessment-Aufgaben auf dem Collector registrieren</w:t>
      </w:r>
    </w:p>
    <w:p>
      <w:pPr>
        <w:spacing w:after="80"/>
      </w:pPr>
      <w:r>
        <w:rPr>
          <w:i w:val="0"/>
        </w:rPr>
        <w:t>Auf dem Collector eine normale PowerShell (nicht ISE) als Administrator öffnen:</w:t>
      </w:r>
    </w:p>
    <w:p>
      <w:pPr>
        <w:spacing w:after="0" w:before="0"/>
        <w:ind w:left="170"/>
        <w:shd w:val="clear" w:color="auto" w:fill="F2F2F2"/>
      </w:pPr>
      <w:r>
        <w:rPr>
          <w:rFonts w:ascii="Consolas" w:hAnsi="Consolas" w:eastAsia="Consolas"/>
          <w:sz w:val="17"/>
        </w:rPr>
        <w:t># Workspace ID = law-oda-&lt;forest&gt; -&gt; Overview -&gt; Workspace ID (A3)</w:t>
      </w:r>
    </w:p>
    <w:p>
      <w:pPr>
        <w:spacing w:after="0" w:before="0"/>
        <w:ind w:left="170"/>
        <w:shd w:val="clear" w:color="auto" w:fill="F2F2F2"/>
      </w:pPr>
      <w:r>
        <w:rPr>
          <w:rFonts w:ascii="Consolas" w:hAnsi="Consolas" w:eastAsia="Consolas"/>
          <w:sz w:val="17"/>
        </w:rPr>
        <w:t>$ws = '&lt;WorkspaceId-des-Forest-LAW&gt;'</w:t>
      </w:r>
    </w:p>
    <w:p>
      <w:pPr>
        <w:spacing w:after="0" w:before="0"/>
        <w:ind w:left="170"/>
        <w:shd w:val="clear" w:color="auto" w:fill="F2F2F2"/>
      </w:pPr>
      <w:r>
        <w:rPr>
          <w:rFonts w:ascii="Consolas" w:hAnsi="Consolas" w:eastAsia="Consolas"/>
          <w:sz w:val="17"/>
        </w:rPr>
        <w:t xml:space="preserve"> </w:t>
      </w:r>
    </w:p>
    <w:p>
      <w:pPr>
        <w:spacing w:after="0" w:before="0"/>
        <w:ind w:left="170"/>
        <w:shd w:val="clear" w:color="auto" w:fill="F2F2F2"/>
      </w:pPr>
      <w:r>
        <w:rPr>
          <w:rFonts w:ascii="Consolas" w:hAnsi="Consolas" w:eastAsia="Consolas"/>
          <w:sz w:val="17"/>
        </w:rPr>
        <w:t>Add-ADAssessmentTask         -WorkingDirectory 'C:\Assessments' -LogAnalyticsWorkspaceId $ws</w:t>
      </w:r>
    </w:p>
    <w:p>
      <w:pPr>
        <w:spacing w:after="0" w:before="0"/>
        <w:ind w:left="170"/>
        <w:shd w:val="clear" w:color="auto" w:fill="F2F2F2"/>
      </w:pPr>
      <w:r>
        <w:rPr>
          <w:rFonts w:ascii="Consolas" w:hAnsi="Consolas" w:eastAsia="Consolas"/>
          <w:sz w:val="17"/>
        </w:rPr>
        <w:t>Add-ADSecurityAssessmentTask -WorkingDirectory 'C:\Assessments' -LogAnalyticsWorkspaceId $ws</w:t>
      </w:r>
    </w:p>
    <w:p>
      <w:pPr>
        <w:spacing w:after="40"/>
      </w:pPr>
    </w:p>
    <w:p>
      <w:pPr>
        <w:pStyle w:val="ListBullet"/>
        <w:spacing w:after="40"/>
      </w:pPr>
      <w:r>
        <w:t>Bei der Abfrage der Anmeldeinformationen das Assessment-Konto angeben. Bei einem gMSA: FORESTA\gMSA-ODA$ ohne Kennwort. Diese Eingabeform im Pilot bestätigen.</w:t>
      </w:r>
    </w:p>
    <w:p>
      <w:pPr>
        <w:pStyle w:val="ListBullet"/>
        <w:spacing w:after="40"/>
      </w:pPr>
      <w:r>
        <w:t>Ein falsches Kennwort führt zu einer erneuten Abfrage, bis gültige Daten eingegeben werden.</w:t>
      </w:r>
    </w:p>
    <w:p>
      <w:pPr>
        <w:pStyle w:val="ListBullet"/>
        <w:spacing w:after="40"/>
      </w:pPr>
      <w:r>
        <w:t>Ergebnis: Zwei geplante Aufgaben unter Aufgabenplanung → Microsoft → Operations Management Suite → AOI-… → Assessments: ADAssessment und ADSecurityAssessment.</w:t>
      </w:r>
    </w:p>
    <w:tbl>
      <w:tblPr>
        <w:tblStyle w:val="TableGrid"/>
        <w:tblW w:type="auto" w:w="0"/>
        <w:tblLook w:firstColumn="1" w:firstRow="1" w:lastColumn="0" w:lastRow="0" w:noHBand="0" w:noVBand="1" w:val="04A0"/>
      </w:tblPr>
      <w:tblGrid>
        <w:gridCol w:w="9746"/>
      </w:tblGrid>
      <w:tr>
        <w:tc>
          <w:tcPr>
            <w:tcW w:type="dxa" w:w="9746"/>
            <w:shd w:val="clear" w:color="auto" w:fill="DEEBF7"/>
          </w:tcPr>
          <w:p>
            <w:r/>
            <w:r>
              <w:rPr>
                <w:b/>
                <w:sz w:val="19"/>
              </w:rPr>
              <w:t xml:space="preserve">Wichtig: </w:t>
            </w:r>
            <w:r>
              <w:rPr>
                <w:sz w:val="19"/>
              </w:rPr>
              <w:t>Die Workspace ID im Befehl legt fest, in welchen LAW die Ergebnisse gehen. Je Forest also immer die ID des LAW DIESES Forests verwenden. Das ist die eigentliche Trennung der Forests auf Datenebene.</w:t>
            </w:r>
          </w:p>
        </w:tc>
      </w:tr>
    </w:tbl>
    <w:p>
      <w:pPr>
        <w:spacing w:after="40"/>
      </w:pPr>
    </w:p>
    <w:p>
      <w:pPr>
        <w:pStyle w:val="Heading2"/>
      </w:pPr>
      <w:r>
        <w:t>C3. Zeitplan festlegen</w:t>
      </w:r>
    </w:p>
    <w:p>
      <w:pPr>
        <w:pStyle w:val="ListBullet"/>
        <w:spacing w:after="40"/>
      </w:pPr>
      <w:r>
        <w:t>Beide Aufgaben laufen innerhalb einer Stunde nach der Registrierung und danach alle 7 Tage. Tag und Uhrzeit dürfen geändert werden.</w:t>
      </w:r>
    </w:p>
    <w:p>
      <w:pPr>
        <w:pStyle w:val="ListBullet"/>
        <w:spacing w:after="40"/>
      </w:pPr>
      <w:r>
        <w:t>Empfehlung: festes Wochenfenster je Forest, AD und AD Security gestaffelt (z. B. So 02:00 / 02:30). Die Forests untereinander ebenfalls staffeln (Forest A 02:00, Forest B 05:00). Das erleichtert Überwachung und JIT-Rechte.</w:t>
      </w:r>
    </w:p>
    <w:p>
      <w:pPr>
        <w:pStyle w:val="ListBullet"/>
        <w:spacing w:after="40"/>
      </w:pPr>
      <w:r>
        <w:t>Sofort starten (z. B. für den ersten Test): Aufgabe in der Aufgabenplanung → Ausführen.</w:t>
      </w:r>
    </w:p>
    <w:p>
      <w:pPr>
        <w:pStyle w:val="Heading1"/>
      </w:pPr>
      <w:r>
        <w:t>Teil D – Validierung (je Forest)</w:t>
      </w:r>
    </w:p>
    <w:tbl>
      <w:tblPr>
        <w:tblStyle w:val="TableGrid"/>
        <w:tblW w:type="auto" w:w="0"/>
        <w:jc w:val="center"/>
        <w:tblLayout w:type="fixed"/>
        <w:tblLook w:firstColumn="1" w:firstRow="1" w:lastColumn="0" w:lastRow="0" w:noHBand="0" w:noVBand="1" w:val="04A0"/>
      </w:tblPr>
      <w:tblGrid>
        <w:gridCol w:w="453"/>
        <w:gridCol w:w="2041"/>
        <w:gridCol w:w="3175"/>
        <w:gridCol w:w="3685"/>
      </w:tblGrid>
      <w:tr>
        <w:tc>
          <w:tcPr>
            <w:tcW w:type="dxa" w:w="454"/>
            <w:shd w:val="clear" w:color="auto" w:fill="1F3A5F"/>
          </w:tcPr>
          <w:p>
            <w:r/>
            <w:r>
              <w:rPr>
                <w:b/>
                <w:color w:val="FFFFFF"/>
                <w:sz w:val="19"/>
              </w:rPr>
              <w:t>#</w:t>
            </w:r>
          </w:p>
        </w:tc>
        <w:tc>
          <w:tcPr>
            <w:tcW w:type="dxa" w:w="2041"/>
            <w:shd w:val="clear" w:color="auto" w:fill="1F3A5F"/>
          </w:tcPr>
          <w:p>
            <w:r/>
            <w:r>
              <w:rPr>
                <w:b/>
                <w:color w:val="FFFFFF"/>
                <w:sz w:val="19"/>
              </w:rPr>
              <w:t>Prüfung</w:t>
            </w:r>
          </w:p>
        </w:tc>
        <w:tc>
          <w:tcPr>
            <w:tcW w:type="dxa" w:w="3175"/>
            <w:shd w:val="clear" w:color="auto" w:fill="1F3A5F"/>
          </w:tcPr>
          <w:p>
            <w:r/>
            <w:r>
              <w:rPr>
                <w:b/>
                <w:color w:val="FFFFFF"/>
                <w:sz w:val="19"/>
              </w:rPr>
              <w:t>Wo</w:t>
            </w:r>
          </w:p>
        </w:tc>
        <w:tc>
          <w:tcPr>
            <w:tcW w:type="dxa" w:w="3685"/>
            <w:shd w:val="clear" w:color="auto" w:fill="1F3A5F"/>
          </w:tcPr>
          <w:p>
            <w:r/>
            <w:r>
              <w:rPr>
                <w:b/>
                <w:color w:val="FFFFFF"/>
                <w:sz w:val="19"/>
              </w:rPr>
              <w:t>Erwartung</w:t>
            </w:r>
          </w:p>
        </w:tc>
      </w:tr>
      <w:tr>
        <w:tc>
          <w:tcPr>
            <w:tcW w:type="dxa" w:w="454"/>
          </w:tcPr>
          <w:p>
            <w:r/>
            <w:r>
              <w:rPr>
                <w:sz w:val="19"/>
              </w:rPr>
              <w:t>1</w:t>
            </w:r>
          </w:p>
        </w:tc>
        <w:tc>
          <w:tcPr>
            <w:tcW w:type="dxa" w:w="2041"/>
          </w:tcPr>
          <w:p>
            <w:r/>
            <w:r>
              <w:rPr>
                <w:sz w:val="19"/>
              </w:rPr>
              <w:t>Aufgaben vorhanden und gelaufen</w:t>
            </w:r>
          </w:p>
        </w:tc>
        <w:tc>
          <w:tcPr>
            <w:tcW w:type="dxa" w:w="3175"/>
          </w:tcPr>
          <w:p>
            <w:r/>
            <w:r>
              <w:rPr>
                <w:sz w:val="19"/>
              </w:rPr>
              <w:t>Collector: Aufgabenplanung</w:t>
            </w:r>
          </w:p>
        </w:tc>
        <w:tc>
          <w:tcPr>
            <w:tcW w:type="dxa" w:w="3685"/>
          </w:tcPr>
          <w:p>
            <w:r/>
            <w:r>
              <w:rPr>
                <w:sz w:val="19"/>
              </w:rPr>
              <w:t>ADAssessment und ADSecurityAssessment: Letzte Ausführung gesetzt; während des Laufs ist OMSAssessment.exe aktiv</w:t>
            </w:r>
          </w:p>
        </w:tc>
      </w:tr>
      <w:tr>
        <w:tc>
          <w:tcPr>
            <w:tcW w:type="dxa" w:w="454"/>
          </w:tcPr>
          <w:p>
            <w:r/>
            <w:r>
              <w:rPr>
                <w:sz w:val="19"/>
              </w:rPr>
              <w:t>2</w:t>
            </w:r>
          </w:p>
        </w:tc>
        <w:tc>
          <w:tcPr>
            <w:tcW w:type="dxa" w:w="2041"/>
          </w:tcPr>
          <w:p>
            <w:r/>
            <w:r>
              <w:rPr>
                <w:sz w:val="19"/>
              </w:rPr>
              <w:t>Ergebnisdateien</w:t>
            </w:r>
          </w:p>
        </w:tc>
        <w:tc>
          <w:tcPr>
            <w:tcW w:type="dxa" w:w="3175"/>
          </w:tcPr>
          <w:p>
            <w:r/>
            <w:r>
              <w:rPr>
                <w:sz w:val="19"/>
              </w:rPr>
              <w:t>Collector: C:\Assessments\ADAssessment und \ADSecurityAssessment</w:t>
            </w:r>
          </w:p>
        </w:tc>
        <w:tc>
          <w:tcPr>
            <w:tcW w:type="dxa" w:w="3685"/>
          </w:tcPr>
          <w:p>
            <w:r/>
            <w:r>
              <w:rPr>
                <w:sz w:val="19"/>
              </w:rPr>
              <w:t>Nach dem Lauf u. a. new.prerequisites.*, new.recommendations.*, new.rawdata.*</w:t>
            </w:r>
          </w:p>
        </w:tc>
      </w:tr>
      <w:tr>
        <w:tc>
          <w:tcPr>
            <w:tcW w:type="dxa" w:w="454"/>
          </w:tcPr>
          <w:p>
            <w:r/>
            <w:r>
              <w:rPr>
                <w:sz w:val="19"/>
              </w:rPr>
              <w:t>3</w:t>
            </w:r>
          </w:p>
        </w:tc>
        <w:tc>
          <w:tcPr>
            <w:tcW w:type="dxa" w:w="2041"/>
          </w:tcPr>
          <w:p>
            <w:r/>
            <w:r>
              <w:rPr>
                <w:sz w:val="19"/>
              </w:rPr>
              <w:t>Daten im LAW</w:t>
            </w:r>
          </w:p>
        </w:tc>
        <w:tc>
          <w:tcPr>
            <w:tcW w:type="dxa" w:w="3175"/>
          </w:tcPr>
          <w:p>
            <w:r/>
            <w:r>
              <w:rPr>
                <w:sz w:val="19"/>
              </w:rPr>
              <w:t>Azure-Portal: law-oda-&lt;forest&gt; → Logs</w:t>
            </w:r>
          </w:p>
        </w:tc>
        <w:tc>
          <w:tcPr>
            <w:tcW w:type="dxa" w:w="3685"/>
          </w:tcPr>
          <w:p>
            <w:r/>
            <w:r>
              <w:rPr>
                <w:sz w:val="19"/>
              </w:rPr>
              <w:t>Nach einigen Minuten bis wenigen Stunden Datensätze (Abfrage unten)</w:t>
            </w:r>
          </w:p>
        </w:tc>
      </w:tr>
      <w:tr>
        <w:tc>
          <w:tcPr>
            <w:tcW w:type="dxa" w:w="454"/>
          </w:tcPr>
          <w:p>
            <w:r/>
            <w:r>
              <w:rPr>
                <w:sz w:val="19"/>
              </w:rPr>
              <w:t>4</w:t>
            </w:r>
          </w:p>
        </w:tc>
        <w:tc>
          <w:tcPr>
            <w:tcW w:type="dxa" w:w="2041"/>
          </w:tcPr>
          <w:p>
            <w:r/>
            <w:r>
              <w:rPr>
                <w:sz w:val="19"/>
              </w:rPr>
              <w:t>Ansicht im Connector</w:t>
            </w:r>
          </w:p>
        </w:tc>
        <w:tc>
          <w:tcPr>
            <w:tcW w:type="dxa" w:w="3175"/>
          </w:tcPr>
          <w:p>
            <w:r/>
            <w:r>
              <w:rPr>
                <w:sz w:val="19"/>
              </w:rPr>
              <w:t>Connector → On-Demand Assessments, aktiver LAW = Forest</w:t>
            </w:r>
          </w:p>
        </w:tc>
        <w:tc>
          <w:tcPr>
            <w:tcW w:type="dxa" w:w="3685"/>
          </w:tcPr>
          <w:p>
            <w:r/>
            <w:r>
              <w:rPr>
                <w:sz w:val="19"/>
              </w:rPr>
              <w:t>Kacheln AD / AD Security mit „Last updated“ und Empfehlungen</w:t>
            </w:r>
          </w:p>
        </w:tc>
      </w:tr>
      <w:tr>
        <w:tc>
          <w:tcPr>
            <w:tcW w:type="dxa" w:w="454"/>
          </w:tcPr>
          <w:p>
            <w:r/>
            <w:r>
              <w:rPr>
                <w:sz w:val="19"/>
              </w:rPr>
              <w:t>5</w:t>
            </w:r>
          </w:p>
        </w:tc>
        <w:tc>
          <w:tcPr>
            <w:tcW w:type="dxa" w:w="2041"/>
          </w:tcPr>
          <w:p>
            <w:r/>
            <w:r>
              <w:rPr>
                <w:sz w:val="19"/>
              </w:rPr>
              <w:t>Ansicht im Engage Center</w:t>
            </w:r>
          </w:p>
        </w:tc>
        <w:tc>
          <w:tcPr>
            <w:tcW w:type="dxa" w:w="3175"/>
          </w:tcPr>
          <w:p>
            <w:r/>
            <w:r>
              <w:rPr>
                <w:sz w:val="19"/>
              </w:rPr>
              <w:t>Engage Center → Health → Assessments → „View all recommendations“</w:t>
            </w:r>
          </w:p>
        </w:tc>
        <w:tc>
          <w:tcPr>
            <w:tcW w:type="dxa" w:w="3685"/>
          </w:tcPr>
          <w:p>
            <w:r/>
            <w:r>
              <w:rPr>
                <w:sz w:val="19"/>
              </w:rPr>
              <w:t>Empfehlungen des Forests</w:t>
            </w:r>
          </w:p>
        </w:tc>
      </w:tr>
      <w:tr>
        <w:tc>
          <w:tcPr>
            <w:tcW w:type="dxa" w:w="454"/>
          </w:tcPr>
          <w:p>
            <w:r/>
            <w:r>
              <w:rPr>
                <w:sz w:val="19"/>
              </w:rPr>
              <w:t>6</w:t>
            </w:r>
          </w:p>
        </w:tc>
        <w:tc>
          <w:tcPr>
            <w:tcW w:type="dxa" w:w="2041"/>
          </w:tcPr>
          <w:p>
            <w:r/>
            <w:r>
              <w:rPr>
                <w:sz w:val="19"/>
              </w:rPr>
              <w:t>Vollständigkeit</w:t>
            </w:r>
          </w:p>
        </w:tc>
        <w:tc>
          <w:tcPr>
            <w:tcW w:type="dxa" w:w="3175"/>
          </w:tcPr>
          <w:p>
            <w:r/>
            <w:r>
              <w:rPr>
                <w:sz w:val="19"/>
              </w:rPr>
              <w:t>Excel/Workbook-Ergebnisse</w:t>
            </w:r>
          </w:p>
        </w:tc>
        <w:tc>
          <w:tcPr>
            <w:tcW w:type="dxa" w:w="3685"/>
          </w:tcPr>
          <w:p>
            <w:r/>
            <w:r>
              <w:rPr>
                <w:sz w:val="19"/>
              </w:rPr>
              <w:t>Keine leeren Tabellenblätter. Leere Blätter weisen auf fehlende Rechte hin (meist EA/DNS/Ports).</w:t>
            </w:r>
          </w:p>
        </w:tc>
      </w:tr>
    </w:tbl>
    <w:p>
      <w:pPr>
        <w:spacing w:after="40"/>
      </w:pPr>
    </w:p>
    <w:p>
      <w:pPr>
        <w:spacing w:after="0" w:before="0"/>
        <w:ind w:left="170"/>
        <w:shd w:val="clear" w:color="auto" w:fill="F2F2F2"/>
      </w:pPr>
      <w:r>
        <w:rPr>
          <w:rFonts w:ascii="Consolas" w:hAnsi="Consolas" w:eastAsia="Consolas"/>
          <w:sz w:val="17"/>
        </w:rPr>
        <w:t>// Log Analytics: welche Tabellen haben in den letzten 24 h Daten erhalten?</w:t>
      </w:r>
    </w:p>
    <w:p>
      <w:pPr>
        <w:spacing w:after="0" w:before="0"/>
        <w:ind w:left="170"/>
        <w:shd w:val="clear" w:color="auto" w:fill="F2F2F2"/>
      </w:pPr>
      <w:r>
        <w:rPr>
          <w:rFonts w:ascii="Consolas" w:hAnsi="Consolas" w:eastAsia="Consolas"/>
          <w:sz w:val="17"/>
        </w:rPr>
        <w:t>union withsource = TableName *</w:t>
      </w:r>
    </w:p>
    <w:p>
      <w:pPr>
        <w:spacing w:after="0" w:before="0"/>
        <w:ind w:left="170"/>
        <w:shd w:val="clear" w:color="auto" w:fill="F2F2F2"/>
      </w:pPr>
      <w:r>
        <w:rPr>
          <w:rFonts w:ascii="Consolas" w:hAnsi="Consolas" w:eastAsia="Consolas"/>
          <w:sz w:val="17"/>
        </w:rPr>
        <w:t>| where TimeGenerated &gt; ago(1d)</w:t>
      </w:r>
    </w:p>
    <w:p>
      <w:pPr>
        <w:spacing w:after="0" w:before="0"/>
        <w:ind w:left="170"/>
        <w:shd w:val="clear" w:color="auto" w:fill="F2F2F2"/>
      </w:pPr>
      <w:r>
        <w:rPr>
          <w:rFonts w:ascii="Consolas" w:hAnsi="Consolas" w:eastAsia="Consolas"/>
          <w:sz w:val="17"/>
        </w:rPr>
        <w:t>| summarize Records = count() by TableName</w:t>
      </w:r>
    </w:p>
    <w:p>
      <w:pPr>
        <w:spacing w:after="0" w:before="0"/>
        <w:ind w:left="170"/>
        <w:shd w:val="clear" w:color="auto" w:fill="F2F2F2"/>
      </w:pPr>
      <w:r>
        <w:rPr>
          <w:rFonts w:ascii="Consolas" w:hAnsi="Consolas" w:eastAsia="Consolas"/>
          <w:sz w:val="17"/>
        </w:rPr>
        <w:t>| order by Records desc</w:t>
      </w:r>
    </w:p>
    <w:p>
      <w:pPr>
        <w:spacing w:after="40"/>
      </w:pPr>
    </w:p>
    <w:p>
      <w:pPr>
        <w:pStyle w:val="Heading1"/>
      </w:pPr>
      <w:r>
        <w:t>Teil E – Betrieb und weiterer Forest</w:t>
      </w:r>
    </w:p>
    <w:p>
      <w:pPr>
        <w:pStyle w:val="ListBullet"/>
        <w:spacing w:after="40"/>
      </w:pPr>
      <w:r>
        <w:rPr>
          <w:b/>
        </w:rPr>
        <w:t xml:space="preserve">Wöchentlich: </w:t>
      </w:r>
      <w:r>
        <w:t>Läufe überwachen (Aufgabenplanung bzw. Event Log, Daten im LAW, „Last updated“ im Connector).</w:t>
      </w:r>
    </w:p>
    <w:p>
      <w:pPr>
        <w:pStyle w:val="ListBullet"/>
        <w:spacing w:after="40"/>
      </w:pPr>
      <w:r>
        <w:rPr>
          <w:b/>
        </w:rPr>
        <w:t xml:space="preserve">Updates: </w:t>
      </w:r>
      <w:r>
        <w:t>Arc-Agent und AMA aktuell halten (AMA mit automatischem Upgrade), Collector patchen.</w:t>
      </w:r>
    </w:p>
    <w:p>
      <w:pPr>
        <w:pStyle w:val="ListBullet"/>
        <w:spacing w:after="40"/>
      </w:pPr>
      <w:r>
        <w:rPr>
          <w:b/>
        </w:rPr>
        <w:t xml:space="preserve">Rechte: </w:t>
      </w:r>
      <w:r>
        <w:t>Mitgliedschaften des Assessment-Kontos regelmäßig prüfen. Bei JIT-Betrieb die Events der JIT-Aufgaben überwachen.</w:t>
      </w:r>
    </w:p>
    <w:p>
      <w:pPr>
        <w:pStyle w:val="ListBullet"/>
        <w:spacing w:after="40"/>
      </w:pPr>
      <w:r>
        <w:rPr>
          <w:b/>
        </w:rPr>
        <w:t xml:space="preserve">Weiterer Forest: </w:t>
      </w:r>
      <w:r>
        <w:t>A2 (RG), A3 (LAW), A5 (Manage Connections), A6 (Rechte), dann Teil B bis D für den neuen Forest. Der Connector bleibt derselbe.</w:t>
      </w:r>
    </w:p>
    <w:p>
      <w:pPr>
        <w:pStyle w:val="ListBullet"/>
        <w:spacing w:after="40"/>
      </w:pPr>
      <w:r>
        <w:rPr>
          <w:b/>
        </w:rPr>
        <w:t xml:space="preserve">Forest entfernen: </w:t>
      </w:r>
      <w:r>
        <w:t>Assessments im Connector entfernen, LAW-Verbindung lösen, Arc-Maschine trennen (azcmagent disconnect), Assessment-Konto und Rechte im Forest entfernen.</w:t>
      </w:r>
    </w:p>
    <w:p>
      <w:pPr>
        <w:pStyle w:val="Heading1"/>
      </w:pPr>
      <w:r>
        <w:t>Fehlerbehebung</w:t>
      </w:r>
    </w:p>
    <w:tbl>
      <w:tblPr>
        <w:tblStyle w:val="TableGrid"/>
        <w:tblW w:type="auto" w:w="0"/>
        <w:jc w:val="center"/>
        <w:tblLayout w:type="fixed"/>
        <w:tblLook w:firstColumn="1" w:firstRow="1" w:lastColumn="0" w:lastRow="0" w:noHBand="0" w:noVBand="1" w:val="04A0"/>
      </w:tblPr>
      <w:tblGrid>
        <w:gridCol w:w="2608"/>
        <w:gridCol w:w="3061"/>
        <w:gridCol w:w="3685"/>
      </w:tblGrid>
      <w:tr>
        <w:tc>
          <w:tcPr>
            <w:tcW w:type="dxa" w:w="2608"/>
            <w:shd w:val="clear" w:color="auto" w:fill="1F3A5F"/>
          </w:tcPr>
          <w:p>
            <w:r/>
            <w:r>
              <w:rPr>
                <w:b/>
                <w:color w:val="FFFFFF"/>
                <w:sz w:val="19"/>
              </w:rPr>
              <w:t>Symptom</w:t>
            </w:r>
          </w:p>
        </w:tc>
        <w:tc>
          <w:tcPr>
            <w:tcW w:type="dxa" w:w="3061"/>
            <w:shd w:val="clear" w:color="auto" w:fill="1F3A5F"/>
          </w:tcPr>
          <w:p>
            <w:r/>
            <w:r>
              <w:rPr>
                <w:b/>
                <w:color w:val="FFFFFF"/>
                <w:sz w:val="19"/>
              </w:rPr>
              <w:t>Ursache</w:t>
            </w:r>
          </w:p>
        </w:tc>
        <w:tc>
          <w:tcPr>
            <w:tcW w:type="dxa" w:w="3685"/>
            <w:shd w:val="clear" w:color="auto" w:fill="1F3A5F"/>
          </w:tcPr>
          <w:p>
            <w:r/>
            <w:r>
              <w:rPr>
                <w:b/>
                <w:color w:val="FFFFFF"/>
                <w:sz w:val="19"/>
              </w:rPr>
              <w:t>Lösung</w:t>
            </w:r>
          </w:p>
        </w:tc>
      </w:tr>
      <w:tr>
        <w:tc>
          <w:tcPr>
            <w:tcW w:type="dxa" w:w="2608"/>
          </w:tcPr>
          <w:p>
            <w:r/>
            <w:r>
              <w:rPr>
                <w:sz w:val="19"/>
              </w:rPr>
              <w:t>Beim Anlegen des Connectors erscheinen „Services Hub“ und „Engage Center“</w:t>
            </w:r>
          </w:p>
        </w:tc>
        <w:tc>
          <w:tcPr>
            <w:tcW w:type="dxa" w:w="3061"/>
          </w:tcPr>
          <w:p>
            <w:r/>
            <w:r>
              <w:rPr>
                <w:sz w:val="19"/>
              </w:rPr>
              <w:t>Subscription nicht mit dem Unified-Vertrag verknüpft</w:t>
            </w:r>
          </w:p>
        </w:tc>
        <w:tc>
          <w:tcPr>
            <w:tcW w:type="dxa" w:w="3685"/>
          </w:tcPr>
          <w:p>
            <w:r/>
            <w:r>
              <w:rPr>
                <w:sz w:val="19"/>
              </w:rPr>
              <w:t>CSAM kontaktieren; NICHT „Engage Center“ wählen</w:t>
            </w:r>
          </w:p>
        </w:tc>
      </w:tr>
      <w:tr>
        <w:tc>
          <w:tcPr>
            <w:tcW w:type="dxa" w:w="2608"/>
          </w:tcPr>
          <w:p>
            <w:r/>
            <w:r>
              <w:rPr>
                <w:sz w:val="19"/>
              </w:rPr>
              <w:t>Connector nicht sichtbar</w:t>
            </w:r>
          </w:p>
        </w:tc>
        <w:tc>
          <w:tcPr>
            <w:tcW w:type="dxa" w:w="3061"/>
          </w:tcPr>
          <w:p>
            <w:r/>
            <w:r>
              <w:rPr>
                <w:sz w:val="19"/>
              </w:rPr>
              <w:t>Verzögerung, fehlende Rechte, Provider nicht registriert</w:t>
            </w:r>
          </w:p>
        </w:tc>
        <w:tc>
          <w:tcPr>
            <w:tcW w:type="dxa" w:w="3685"/>
          </w:tcPr>
          <w:p>
            <w:r/>
            <w:r>
              <w:rPr>
                <w:sz w:val="19"/>
              </w:rPr>
              <w:t>Bis zu 24 h warten; Rollen und Microsoft.ServicesHub prüfen</w:t>
            </w:r>
          </w:p>
        </w:tc>
      </w:tr>
      <w:tr>
        <w:tc>
          <w:tcPr>
            <w:tcW w:type="dxa" w:w="2608"/>
          </w:tcPr>
          <w:p>
            <w:r/>
            <w:r>
              <w:rPr>
                <w:sz w:val="19"/>
              </w:rPr>
              <w:t>Collector fehlt in der Maschinenauswahl</w:t>
            </w:r>
          </w:p>
        </w:tc>
        <w:tc>
          <w:tcPr>
            <w:tcW w:type="dxa" w:w="3061"/>
          </w:tcPr>
          <w:p>
            <w:r/>
            <w:r>
              <w:rPr>
                <w:sz w:val="19"/>
              </w:rPr>
              <w:t>Arc-Server in anderer Subscription/RG als der aktive LAW oder nicht verbunden</w:t>
            </w:r>
          </w:p>
        </w:tc>
        <w:tc>
          <w:tcPr>
            <w:tcW w:type="dxa" w:w="3685"/>
          </w:tcPr>
          <w:p>
            <w:r/>
            <w:r>
              <w:rPr>
                <w:sz w:val="19"/>
              </w:rPr>
              <w:t>Arc-Server in rg-oda-&lt;forest&gt; verbinden; Refresh; azcmagent show</w:t>
            </w:r>
          </w:p>
        </w:tc>
      </w:tr>
      <w:tr>
        <w:tc>
          <w:tcPr>
            <w:tcW w:type="dxa" w:w="2608"/>
          </w:tcPr>
          <w:p>
            <w:r/>
            <w:r>
              <w:rPr>
                <w:sz w:val="19"/>
              </w:rPr>
              <w:t>Keine Ergebnisse im Connector</w:t>
            </w:r>
          </w:p>
        </w:tc>
        <w:tc>
          <w:tcPr>
            <w:tcW w:type="dxa" w:w="3061"/>
          </w:tcPr>
          <w:p>
            <w:r/>
            <w:r>
              <w:rPr>
                <w:sz w:val="19"/>
              </w:rPr>
              <w:t>LAW ohne öffentlichen Netzwerkzugriff; falscher LAW aktiv</w:t>
            </w:r>
          </w:p>
        </w:tc>
        <w:tc>
          <w:tcPr>
            <w:tcW w:type="dxa" w:w="3685"/>
          </w:tcPr>
          <w:p>
            <w:r/>
            <w:r>
              <w:rPr>
                <w:sz w:val="19"/>
              </w:rPr>
              <w:t>Public Network Access aktivieren; LAW im Dropdown wechseln</w:t>
            </w:r>
          </w:p>
        </w:tc>
      </w:tr>
      <w:tr>
        <w:tc>
          <w:tcPr>
            <w:tcW w:type="dxa" w:w="2608"/>
          </w:tcPr>
          <w:p>
            <w:r/>
            <w:r>
              <w:rPr>
                <w:sz w:val="19"/>
              </w:rPr>
              <w:t>Add-ADAssessmentTask unbekannt</w:t>
            </w:r>
          </w:p>
        </w:tc>
        <w:tc>
          <w:tcPr>
            <w:tcW w:type="dxa" w:w="3061"/>
          </w:tcPr>
          <w:p>
            <w:r/>
            <w:r>
              <w:rPr>
                <w:sz w:val="19"/>
              </w:rPr>
              <w:t>Assessment noch nicht hinzugefügt oder Lösung noch nicht heruntergeladen</w:t>
            </w:r>
          </w:p>
        </w:tc>
        <w:tc>
          <w:tcPr>
            <w:tcW w:type="dxa" w:w="3685"/>
          </w:tcPr>
          <w:p>
            <w:r/>
            <w:r>
              <w:rPr>
                <w:sz w:val="19"/>
              </w:rPr>
              <w:t>C1 prüfen, einige Minuten warten, neue PowerShell öffnen</w:t>
            </w:r>
          </w:p>
        </w:tc>
      </w:tr>
      <w:tr>
        <w:tc>
          <w:tcPr>
            <w:tcW w:type="dxa" w:w="2608"/>
          </w:tcPr>
          <w:p>
            <w:r/>
            <w:r>
              <w:rPr>
                <w:sz w:val="19"/>
              </w:rPr>
              <w:t>Keine Daten im LAW</w:t>
            </w:r>
          </w:p>
        </w:tc>
        <w:tc>
          <w:tcPr>
            <w:tcW w:type="dxa" w:w="3061"/>
          </w:tcPr>
          <w:p>
            <w:r/>
            <w:r>
              <w:rPr>
                <w:sz w:val="19"/>
              </w:rPr>
              <w:t>AMA fehlt, Endpunkte blockiert, HTTPS-Inspection, falsche Workspace ID</w:t>
            </w:r>
          </w:p>
        </w:tc>
        <w:tc>
          <w:tcPr>
            <w:tcW w:type="dxa" w:w="3685"/>
          </w:tcPr>
          <w:p>
            <w:r/>
            <w:r>
              <w:rPr>
                <w:sz w:val="19"/>
              </w:rPr>
              <w:t>B2/B7 prüfen; azcmagent check; Workspace ID in C2 prüfen</w:t>
            </w:r>
          </w:p>
        </w:tc>
      </w:tr>
      <w:tr>
        <w:tc>
          <w:tcPr>
            <w:tcW w:type="dxa" w:w="2608"/>
          </w:tcPr>
          <w:p>
            <w:r/>
            <w:r>
              <w:rPr>
                <w:sz w:val="19"/>
              </w:rPr>
              <w:t>Leere Tabellenblätter / fehlende Daten</w:t>
            </w:r>
          </w:p>
        </w:tc>
        <w:tc>
          <w:tcPr>
            <w:tcW w:type="dxa" w:w="3061"/>
          </w:tcPr>
          <w:p>
            <w:r/>
            <w:r>
              <w:rPr>
                <w:sz w:val="19"/>
              </w:rPr>
              <w:t>Fehlende Rechte (EA, DNS-Admin), Ports zu DCs, GPO aus B3</w:t>
            </w:r>
          </w:p>
        </w:tc>
        <w:tc>
          <w:tcPr>
            <w:tcW w:type="dxa" w:w="3685"/>
          </w:tcPr>
          <w:p>
            <w:r/>
            <w:r>
              <w:rPr>
                <w:sz w:val="19"/>
              </w:rPr>
              <w:t>B3, B4, B2 prüfen; ODA Delegation Toolkit: Get-ODADelegationStatus.ps1</w:t>
            </w:r>
          </w:p>
        </w:tc>
      </w:tr>
      <w:tr>
        <w:tc>
          <w:tcPr>
            <w:tcW w:type="dxa" w:w="2608"/>
          </w:tcPr>
          <w:p>
            <w:r/>
            <w:r>
              <w:rPr>
                <w:sz w:val="19"/>
              </w:rPr>
              <w:t>Kennwortabfrage wiederholt sich</w:t>
            </w:r>
          </w:p>
        </w:tc>
        <w:tc>
          <w:tcPr>
            <w:tcW w:type="dxa" w:w="3061"/>
          </w:tcPr>
          <w:p>
            <w:r/>
            <w:r>
              <w:rPr>
                <w:sz w:val="19"/>
              </w:rPr>
              <w:t>Falsches Kennwort bzw. gMSA nicht installiert</w:t>
            </w:r>
          </w:p>
        </w:tc>
        <w:tc>
          <w:tcPr>
            <w:tcW w:type="dxa" w:w="3685"/>
          </w:tcPr>
          <w:p>
            <w:r/>
            <w:r>
              <w:rPr>
                <w:sz w:val="19"/>
              </w:rPr>
              <w:t>Test-ADServiceAccount auf dem Collector; Konto mit $ angeben</w:t>
            </w:r>
          </w:p>
        </w:tc>
      </w:tr>
    </w:tbl>
    <w:p>
      <w:pPr>
        <w:spacing w:after="40"/>
      </w:pPr>
    </w:p>
    <w:p>
      <w:pPr>
        <w:pStyle w:val="Heading1"/>
      </w:pPr>
      <w:r>
        <w:t>Anhang A – Planungsmatrix (je Forest ausfüllen)</w:t>
      </w:r>
    </w:p>
    <w:tbl>
      <w:tblPr>
        <w:tblStyle w:val="TableGrid"/>
        <w:tblW w:type="auto" w:w="0"/>
        <w:jc w:val="center"/>
        <w:tblLayout w:type="fixed"/>
        <w:tblLook w:firstColumn="1" w:firstRow="1" w:lastColumn="0" w:lastRow="0" w:noHBand="0" w:noVBand="1" w:val="04A0"/>
      </w:tblPr>
      <w:tblGrid>
        <w:gridCol w:w="2835"/>
        <w:gridCol w:w="2211"/>
        <w:gridCol w:w="2211"/>
        <w:gridCol w:w="2097"/>
      </w:tblGrid>
      <w:tr>
        <w:tc>
          <w:tcPr>
            <w:tcW w:type="dxa" w:w="2835"/>
            <w:shd w:val="clear" w:color="auto" w:fill="1F3A5F"/>
          </w:tcPr>
          <w:p>
            <w:r/>
            <w:r>
              <w:rPr>
                <w:b/>
                <w:color w:val="FFFFFF"/>
                <w:sz w:val="19"/>
              </w:rPr>
              <w:t>Feld</w:t>
            </w:r>
          </w:p>
        </w:tc>
        <w:tc>
          <w:tcPr>
            <w:tcW w:type="dxa" w:w="2211"/>
            <w:shd w:val="clear" w:color="auto" w:fill="1F3A5F"/>
          </w:tcPr>
          <w:p>
            <w:r/>
            <w:r>
              <w:rPr>
                <w:b/>
                <w:color w:val="FFFFFF"/>
                <w:sz w:val="19"/>
              </w:rPr>
              <w:t>Forest A</w:t>
            </w:r>
          </w:p>
        </w:tc>
        <w:tc>
          <w:tcPr>
            <w:tcW w:type="dxa" w:w="2211"/>
            <w:shd w:val="clear" w:color="auto" w:fill="1F3A5F"/>
          </w:tcPr>
          <w:p>
            <w:r/>
            <w:r>
              <w:rPr>
                <w:b/>
                <w:color w:val="FFFFFF"/>
                <w:sz w:val="19"/>
              </w:rPr>
              <w:t>Forest B</w:t>
            </w:r>
          </w:p>
        </w:tc>
        <w:tc>
          <w:tcPr>
            <w:tcW w:type="dxa" w:w="2098"/>
            <w:shd w:val="clear" w:color="auto" w:fill="1F3A5F"/>
          </w:tcPr>
          <w:p>
            <w:r/>
            <w:r>
              <w:rPr>
                <w:b/>
                <w:color w:val="FFFFFF"/>
                <w:sz w:val="19"/>
              </w:rPr>
              <w:t>Forest …</w:t>
            </w:r>
          </w:p>
        </w:tc>
      </w:tr>
      <w:tr>
        <w:tc>
          <w:tcPr>
            <w:tcW w:type="dxa" w:w="2835"/>
          </w:tcPr>
          <w:p>
            <w:r/>
            <w:r>
              <w:rPr>
                <w:sz w:val="19"/>
              </w:rPr>
              <w:t>Forest (DNS-Name)</w:t>
            </w:r>
          </w:p>
        </w:tc>
        <w:tc>
          <w:tcPr>
            <w:tcW w:type="dxa" w:w="2211"/>
          </w:tcPr>
          <w:p>
            <w:r/>
            <w:r>
              <w:rPr>
                <w:sz w:val="19"/>
              </w:rPr>
              <w:t>forest-a.example</w:t>
            </w:r>
          </w:p>
        </w:tc>
        <w:tc>
          <w:tcPr>
            <w:tcW w:type="dxa" w:w="2211"/>
          </w:tcPr>
          <w:p>
            <w:r/>
            <w:r>
              <w:rPr>
                <w:sz w:val="19"/>
              </w:rPr>
              <w:t>forest-b.example</w:t>
            </w:r>
          </w:p>
        </w:tc>
        <w:tc>
          <w:tcPr>
            <w:tcW w:type="dxa" w:w="2098"/>
          </w:tcPr>
          <w:p>
            <w:r/>
            <w:r>
              <w:rPr>
                <w:sz w:val="19"/>
              </w:rPr>
            </w:r>
          </w:p>
        </w:tc>
      </w:tr>
      <w:tr>
        <w:tc>
          <w:tcPr>
            <w:tcW w:type="dxa" w:w="2835"/>
          </w:tcPr>
          <w:p>
            <w:r/>
            <w:r>
              <w:rPr>
                <w:sz w:val="19"/>
              </w:rPr>
              <w:t>Resource Group</w:t>
            </w:r>
          </w:p>
        </w:tc>
        <w:tc>
          <w:tcPr>
            <w:tcW w:type="dxa" w:w="2211"/>
          </w:tcPr>
          <w:p>
            <w:r/>
            <w:r>
              <w:rPr>
                <w:sz w:val="19"/>
              </w:rPr>
              <w:t>rg-oda-foresta</w:t>
            </w:r>
          </w:p>
        </w:tc>
        <w:tc>
          <w:tcPr>
            <w:tcW w:type="dxa" w:w="2211"/>
          </w:tcPr>
          <w:p>
            <w:r/>
            <w:r>
              <w:rPr>
                <w:sz w:val="19"/>
              </w:rPr>
              <w:t>rg-oda-forestb</w:t>
            </w:r>
          </w:p>
        </w:tc>
        <w:tc>
          <w:tcPr>
            <w:tcW w:type="dxa" w:w="2098"/>
          </w:tcPr>
          <w:p>
            <w:r/>
            <w:r>
              <w:rPr>
                <w:sz w:val="19"/>
              </w:rPr>
            </w:r>
          </w:p>
        </w:tc>
      </w:tr>
      <w:tr>
        <w:tc>
          <w:tcPr>
            <w:tcW w:type="dxa" w:w="2835"/>
          </w:tcPr>
          <w:p>
            <w:r/>
            <w:r>
              <w:rPr>
                <w:sz w:val="19"/>
              </w:rPr>
              <w:t>Log Analytics Workspace / Workspace ID</w:t>
            </w:r>
          </w:p>
        </w:tc>
        <w:tc>
          <w:tcPr>
            <w:tcW w:type="dxa" w:w="2211"/>
          </w:tcPr>
          <w:p>
            <w:r/>
            <w:r>
              <w:rPr>
                <w:sz w:val="19"/>
              </w:rPr>
              <w:t>law-oda-foresta / &lt;GUID&gt;</w:t>
            </w:r>
          </w:p>
        </w:tc>
        <w:tc>
          <w:tcPr>
            <w:tcW w:type="dxa" w:w="2211"/>
          </w:tcPr>
          <w:p>
            <w:r/>
            <w:r>
              <w:rPr>
                <w:sz w:val="19"/>
              </w:rPr>
              <w:t>law-oda-forestb / &lt;GUID&gt;</w:t>
            </w:r>
          </w:p>
        </w:tc>
        <w:tc>
          <w:tcPr>
            <w:tcW w:type="dxa" w:w="2098"/>
          </w:tcPr>
          <w:p>
            <w:r/>
            <w:r>
              <w:rPr>
                <w:sz w:val="19"/>
              </w:rPr>
            </w:r>
          </w:p>
        </w:tc>
      </w:tr>
      <w:tr>
        <w:tc>
          <w:tcPr>
            <w:tcW w:type="dxa" w:w="2835"/>
          </w:tcPr>
          <w:p>
            <w:r/>
            <w:r>
              <w:rPr>
                <w:sz w:val="19"/>
              </w:rPr>
              <w:t>Collector (FQDN)</w:t>
            </w:r>
          </w:p>
        </w:tc>
        <w:tc>
          <w:tcPr>
            <w:tcW w:type="dxa" w:w="2211"/>
          </w:tcPr>
          <w:p>
            <w:r/>
            <w:r>
              <w:rPr>
                <w:sz w:val="19"/>
              </w:rPr>
              <w:t>ODA-COL-A.forest-a.example</w:t>
            </w:r>
          </w:p>
        </w:tc>
        <w:tc>
          <w:tcPr>
            <w:tcW w:type="dxa" w:w="2211"/>
          </w:tcPr>
          <w:p>
            <w:r/>
            <w:r>
              <w:rPr>
                <w:sz w:val="19"/>
              </w:rPr>
              <w:t>ODA-COL-B.forest-b.example</w:t>
            </w:r>
          </w:p>
        </w:tc>
        <w:tc>
          <w:tcPr>
            <w:tcW w:type="dxa" w:w="2098"/>
          </w:tcPr>
          <w:p>
            <w:r/>
            <w:r>
              <w:rPr>
                <w:sz w:val="19"/>
              </w:rPr>
            </w:r>
          </w:p>
        </w:tc>
      </w:tr>
      <w:tr>
        <w:tc>
          <w:tcPr>
            <w:tcW w:type="dxa" w:w="2835"/>
          </w:tcPr>
          <w:p>
            <w:r/>
            <w:r>
              <w:rPr>
                <w:sz w:val="19"/>
              </w:rPr>
              <w:t>Assessment-Konto</w:t>
            </w:r>
          </w:p>
        </w:tc>
        <w:tc>
          <w:tcPr>
            <w:tcW w:type="dxa" w:w="2211"/>
          </w:tcPr>
          <w:p>
            <w:r/>
            <w:r>
              <w:rPr>
                <w:sz w:val="19"/>
              </w:rPr>
              <w:t>FORESTA\gMSA-ODA$</w:t>
            </w:r>
          </w:p>
        </w:tc>
        <w:tc>
          <w:tcPr>
            <w:tcW w:type="dxa" w:w="2211"/>
          </w:tcPr>
          <w:p>
            <w:r/>
            <w:r>
              <w:rPr>
                <w:sz w:val="19"/>
              </w:rPr>
              <w:t>FORESTB\gMSA-ODA$</w:t>
            </w:r>
          </w:p>
        </w:tc>
        <w:tc>
          <w:tcPr>
            <w:tcW w:type="dxa" w:w="2098"/>
          </w:tcPr>
          <w:p>
            <w:r/>
            <w:r>
              <w:rPr>
                <w:sz w:val="19"/>
              </w:rPr>
            </w:r>
          </w:p>
        </w:tc>
      </w:tr>
      <w:tr>
        <w:tc>
          <w:tcPr>
            <w:tcW w:type="dxa" w:w="2835"/>
          </w:tcPr>
          <w:p>
            <w:r/>
            <w:r>
              <w:rPr>
                <w:sz w:val="19"/>
              </w:rPr>
              <w:t>Arbeitsverzeichnis</w:t>
            </w:r>
          </w:p>
        </w:tc>
        <w:tc>
          <w:tcPr>
            <w:tcW w:type="dxa" w:w="2211"/>
          </w:tcPr>
          <w:p>
            <w:r/>
            <w:r>
              <w:rPr>
                <w:sz w:val="19"/>
              </w:rPr>
              <w:t>C:\Assessments</w:t>
            </w:r>
          </w:p>
        </w:tc>
        <w:tc>
          <w:tcPr>
            <w:tcW w:type="dxa" w:w="2211"/>
          </w:tcPr>
          <w:p>
            <w:r/>
            <w:r>
              <w:rPr>
                <w:sz w:val="19"/>
              </w:rPr>
              <w:t>C:\Assessments</w:t>
            </w:r>
          </w:p>
        </w:tc>
        <w:tc>
          <w:tcPr>
            <w:tcW w:type="dxa" w:w="2098"/>
          </w:tcPr>
          <w:p>
            <w:r/>
            <w:r>
              <w:rPr>
                <w:sz w:val="19"/>
              </w:rPr>
            </w:r>
          </w:p>
        </w:tc>
      </w:tr>
      <w:tr>
        <w:tc>
          <w:tcPr>
            <w:tcW w:type="dxa" w:w="2835"/>
          </w:tcPr>
          <w:p>
            <w:r/>
            <w:r>
              <w:rPr>
                <w:sz w:val="19"/>
              </w:rPr>
              <w:t>Zeitfenster AD / AD Security</w:t>
            </w:r>
          </w:p>
        </w:tc>
        <w:tc>
          <w:tcPr>
            <w:tcW w:type="dxa" w:w="2211"/>
          </w:tcPr>
          <w:p>
            <w:r/>
            <w:r>
              <w:rPr>
                <w:sz w:val="19"/>
              </w:rPr>
              <w:t>So 02:00 / 02:30</w:t>
            </w:r>
          </w:p>
        </w:tc>
        <w:tc>
          <w:tcPr>
            <w:tcW w:type="dxa" w:w="2211"/>
          </w:tcPr>
          <w:p>
            <w:r/>
            <w:r>
              <w:rPr>
                <w:sz w:val="19"/>
              </w:rPr>
              <w:t>So 05:00 / 05:30</w:t>
            </w:r>
          </w:p>
        </w:tc>
        <w:tc>
          <w:tcPr>
            <w:tcW w:type="dxa" w:w="2098"/>
          </w:tcPr>
          <w:p>
            <w:r/>
            <w:r>
              <w:rPr>
                <w:sz w:val="19"/>
              </w:rPr>
            </w:r>
          </w:p>
        </w:tc>
      </w:tr>
      <w:tr>
        <w:tc>
          <w:tcPr>
            <w:tcW w:type="dxa" w:w="2835"/>
          </w:tcPr>
          <w:p>
            <w:r/>
            <w:r>
              <w:rPr>
                <w:sz w:val="19"/>
              </w:rPr>
              <w:t>Entra-Gruppe Betrieb (Contributor RG)</w:t>
            </w:r>
          </w:p>
        </w:tc>
        <w:tc>
          <w:tcPr>
            <w:tcW w:type="dxa" w:w="2211"/>
          </w:tcPr>
          <w:p>
            <w:r/>
            <w:r>
              <w:rPr>
                <w:sz w:val="19"/>
              </w:rPr>
              <w:t>ODA-ForestA-Operators</w:t>
            </w:r>
          </w:p>
        </w:tc>
        <w:tc>
          <w:tcPr>
            <w:tcW w:type="dxa" w:w="2211"/>
          </w:tcPr>
          <w:p>
            <w:r/>
            <w:r>
              <w:rPr>
                <w:sz w:val="19"/>
              </w:rPr>
              <w:t>ODA-ForestB-Operators</w:t>
            </w:r>
          </w:p>
        </w:tc>
        <w:tc>
          <w:tcPr>
            <w:tcW w:type="dxa" w:w="2098"/>
          </w:tcPr>
          <w:p>
            <w:r/>
            <w:r>
              <w:rPr>
                <w:sz w:val="19"/>
              </w:rPr>
            </w:r>
          </w:p>
        </w:tc>
      </w:tr>
      <w:tr>
        <w:tc>
          <w:tcPr>
            <w:tcW w:type="dxa" w:w="2835"/>
          </w:tcPr>
          <w:p>
            <w:r/>
            <w:r>
              <w:rPr>
                <w:sz w:val="19"/>
              </w:rPr>
              <w:t>Proxy (falls nötig)</w:t>
            </w:r>
          </w:p>
        </w:tc>
        <w:tc>
          <w:tcPr>
            <w:tcW w:type="dxa" w:w="2211"/>
          </w:tcPr>
          <w:p>
            <w:r/>
            <w:r>
              <w:rPr>
                <w:sz w:val="19"/>
              </w:rPr>
            </w:r>
          </w:p>
        </w:tc>
        <w:tc>
          <w:tcPr>
            <w:tcW w:type="dxa" w:w="2211"/>
          </w:tcPr>
          <w:p>
            <w:r/>
            <w:r>
              <w:rPr>
                <w:sz w:val="19"/>
              </w:rPr>
            </w:r>
          </w:p>
        </w:tc>
        <w:tc>
          <w:tcPr>
            <w:tcW w:type="dxa" w:w="2098"/>
          </w:tcPr>
          <w:p>
            <w:r/>
            <w:r>
              <w:rPr>
                <w:sz w:val="19"/>
              </w:rPr>
            </w:r>
          </w:p>
        </w:tc>
      </w:tr>
      <w:tr>
        <w:tc>
          <w:tcPr>
            <w:tcW w:type="dxa" w:w="2835"/>
          </w:tcPr>
          <w:p>
            <w:r/>
            <w:r>
              <w:rPr>
                <w:sz w:val="19"/>
              </w:rPr>
              <w:t>EA-Modell</w:t>
            </w:r>
          </w:p>
        </w:tc>
        <w:tc>
          <w:tcPr>
            <w:tcW w:type="dxa" w:w="2211"/>
          </w:tcPr>
          <w:p>
            <w:r/>
            <w:r>
              <w:rPr>
                <w:sz w:val="19"/>
              </w:rPr>
              <w:t>dauerhaft / JIT</w:t>
            </w:r>
          </w:p>
        </w:tc>
        <w:tc>
          <w:tcPr>
            <w:tcW w:type="dxa" w:w="2211"/>
          </w:tcPr>
          <w:p>
            <w:r/>
            <w:r>
              <w:rPr>
                <w:sz w:val="19"/>
              </w:rPr>
              <w:t>dauerhaft / JIT</w:t>
            </w:r>
          </w:p>
        </w:tc>
        <w:tc>
          <w:tcPr>
            <w:tcW w:type="dxa" w:w="2098"/>
          </w:tcPr>
          <w:p>
            <w:r/>
            <w:r>
              <w:rPr>
                <w:sz w:val="19"/>
              </w:rPr>
            </w:r>
          </w:p>
        </w:tc>
      </w:tr>
    </w:tbl>
    <w:p>
      <w:pPr>
        <w:spacing w:after="40"/>
      </w:pPr>
    </w:p>
    <w:p>
      <w:pPr>
        <w:pStyle w:val="Heading1"/>
      </w:pPr>
      <w:r>
        <w:t>Anhang B – Quellen</w:t>
      </w:r>
    </w:p>
    <w:p>
      <w:pPr>
        <w:pStyle w:val="ListBullet"/>
        <w:spacing w:after="40"/>
      </w:pPr>
      <w:r>
        <w:t>Microsoft Learn – Engage Center: Get started with On-Demand Assessments (get-started-with-on-demand-assessments)</w:t>
      </w:r>
    </w:p>
    <w:p>
      <w:pPr>
        <w:pStyle w:val="ListBullet"/>
        <w:spacing w:after="40"/>
      </w:pPr>
      <w:r>
        <w:t>Microsoft Learn – Engage Center: System and network requirements for On-Demand Assessments (requirements-oda)</w:t>
      </w:r>
    </w:p>
    <w:p>
      <w:pPr>
        <w:pStyle w:val="ListBullet"/>
        <w:spacing w:after="40"/>
      </w:pPr>
      <w:r>
        <w:t>Microsoft Learn – Engage Center: Deploy Azure Arc Agent on non-Azure collector servers (deploy-arc-agent)</w:t>
      </w:r>
    </w:p>
    <w:p>
      <w:pPr>
        <w:pStyle w:val="ListBullet"/>
        <w:spacing w:after="40"/>
      </w:pPr>
      <w:r>
        <w:t>Microsoft Learn – Engage Center: Configure Microsoft On-Demand Assessments (config-oda)</w:t>
      </w:r>
    </w:p>
    <w:p>
      <w:pPr>
        <w:pStyle w:val="ListBullet"/>
        <w:spacing w:after="40"/>
      </w:pPr>
      <w:r>
        <w:t>Microsoft Learn – Engage Center Connector: connector-overview, connector-get-started, azure-roles, manage-log-analytics, manage-assessments</w:t>
      </w:r>
    </w:p>
    <w:p>
      <w:pPr>
        <w:pStyle w:val="ListBullet"/>
        <w:spacing w:after="40"/>
      </w:pPr>
      <w:r>
        <w:t>Microsoft Learn – Engage Center: Get Started with Active Directory / Active Directory Security On-Demand Assessment</w:t>
      </w:r>
    </w:p>
    <w:p>
      <w:pPr>
        <w:pStyle w:val="ListBullet"/>
        <w:spacing w:after="40"/>
      </w:pPr>
      <w:r>
        <w:t>Microsoft Learn – Engage Center: Assessment FAQs (mehrere Collector/LAWs)</w:t>
      </w:r>
    </w:p>
    <w:p>
      <w:pPr>
        <w:pStyle w:val="ListBullet"/>
        <w:spacing w:after="40"/>
      </w:pPr>
      <w:r>
        <w:t>Microsoft: ODA Setup-Dokumente (setupassessment.pdf, Prerequisites AD Assessment)</w:t>
      </w:r>
    </w:p>
    <w:p>
      <w:pPr>
        <w:pStyle w:val="ListBullet"/>
        <w:spacing w:after="40"/>
      </w:pPr>
      <w:r>
        <w:t>ODA Delegation Toolkit (GitHub BetaHydri/ODA-Delegation-Toolkit): JIT-Enterprise-Admin-Konzept und -Skripte, Get-ODADelegationStatus.ps1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