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Storage Spaces Direct über Brandabschnitte</w:t>
      </w:r>
    </w:p>
    <w:p>
      <w:pPr>
        <w:pStyle w:val="Subtitle"/>
      </w:pPr>
      <w:r>
        <w:t xml:space="preserve">Technische Bewertung, Setup-Leitfaden und Glossar</w:t>
      </w:r>
    </w:p>
    <w:p>
      <w:pPr>
        <w:pStyle w:val="Author"/>
      </w:pPr>
      <w:r>
        <w:t xml:space="preserve">Jan Tiedemann</w:t>
      </w:r>
    </w:p>
    <w:p>
      <w:pPr>
        <w:pStyle w:val="Date"/>
      </w:pPr>
      <w:r>
        <w:t xml:space="preserve">21. 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zusammenfassung"/>
    <w:p>
      <w:pPr>
        <w:pStyle w:val="Heading1"/>
      </w:pPr>
      <w:r>
        <w:rPr>
          <w:rStyle w:val="SectionNumber"/>
        </w:rPr>
        <w:t xml:space="preserve">1</w:t>
      </w:r>
      <w:r>
        <w:tab/>
      </w:r>
      <w:r>
        <w:t xml:space="preserve">Zusammenfassung</w:t>
      </w:r>
    </w:p>
    <w:p>
      <w:pPr>
        <w:pStyle w:val="FirstParagraph"/>
      </w:pPr>
      <w:r>
        <w:t xml:space="preserve">Dieses Dokument bewertet die Machbarkeit eines</w:t>
      </w:r>
      <w:r>
        <w:t xml:space="preserve"> </w:t>
      </w:r>
      <w:r>
        <w:rPr>
          <w:b/>
          <w:bCs/>
        </w:rPr>
        <w:t xml:space="preserve">Storage Spaces Direct (S2D)</w:t>
      </w:r>
      <w:r>
        <w:t xml:space="preserve"> </w:t>
      </w:r>
      <w:r>
        <w:t xml:space="preserve">Clusters, der über</w:t>
      </w:r>
      <w:r>
        <w:t xml:space="preserve"> </w:t>
      </w:r>
      <w:r>
        <w:rPr>
          <w:b/>
          <w:bCs/>
        </w:rPr>
        <w:t xml:space="preserve">zwei Brandabschnitte</w:t>
      </w:r>
      <w:r>
        <w:t xml:space="preserve"> </w:t>
      </w:r>
      <w:r>
        <w:t xml:space="preserve">innerhalb eines Rechenzentrums gespannt wird. Das Szenario umfasst einen</w:t>
      </w:r>
      <w:r>
        <w:t xml:space="preserve"> </w:t>
      </w:r>
      <w:r>
        <w:rPr>
          <w:b/>
          <w:bCs/>
        </w:rPr>
        <w:t xml:space="preserve">6-Node-Cluster</w:t>
      </w:r>
      <w:r>
        <w:t xml:space="preserve"> </w:t>
      </w:r>
      <w:r>
        <w:t xml:space="preserve">mit je</w:t>
      </w:r>
      <w:r>
        <w:t xml:space="preserve"> </w:t>
      </w:r>
      <w:r>
        <w:rPr>
          <w:b/>
          <w:bCs/>
        </w:rPr>
        <w:t xml:space="preserve">3 Knoten pro Brandabschnitt</w:t>
      </w:r>
      <w:r>
        <w:t xml:space="preserve"> </w:t>
      </w:r>
      <w:r>
        <w:t xml:space="preserve">im selben IP-Subnet. Alle Aussagen wurden gegen die offizielle Microsoft-Dokumentation validiert.</w:t>
      </w:r>
    </w:p>
    <w:p>
      <w:pPr>
        <w:pStyle w:val="BodyText"/>
      </w:pPr>
      <w:r>
        <w:rPr>
          <w:b/>
          <w:bCs/>
        </w:rPr>
        <w:t xml:space="preserve">Ergebnis</w:t>
      </w:r>
      <w:r>
        <w:t xml:space="preserve">: Ein S2D-Cluster über zwei Brandabschnitte ist technisch machbar und wird durch die</w:t>
      </w:r>
      <w:r>
        <w:t xml:space="preserve"> </w:t>
      </w:r>
      <w:r>
        <w:rPr>
          <w:b/>
          <w:bCs/>
        </w:rPr>
        <w:t xml:space="preserve">Fault Domain Awareness</w:t>
      </w:r>
      <w:r>
        <w:t xml:space="preserve"> </w:t>
      </w:r>
      <w:r>
        <w:t xml:space="preserve">(Site-Typ) von Windows Server offiziell unterstützt. Voraussetzung ist die Einhaltung der Netzwerk-, Quorum- und Resilienz-Anforderungen.</w:t>
      </w:r>
    </w:p>
    <w:bookmarkEnd w:id="9"/>
    <w:bookmarkStart w:id="12" w:name="ausgangslage"/>
    <w:p>
      <w:pPr>
        <w:pStyle w:val="Heading1"/>
      </w:pPr>
      <w:r>
        <w:rPr>
          <w:rStyle w:val="SectionNumber"/>
        </w:rPr>
        <w:t xml:space="preserve">2</w:t>
      </w:r>
      <w:r>
        <w:tab/>
      </w:r>
      <w:r>
        <w:t xml:space="preserve">Ausgangslage</w:t>
      </w:r>
    </w:p>
    <w:bookmarkStart w:id="10" w:name="szenario"/>
    <w:p>
      <w:pPr>
        <w:pStyle w:val="Heading2"/>
      </w:pPr>
      <w:r>
        <w:rPr>
          <w:rStyle w:val="SectionNumber"/>
        </w:rPr>
        <w:t xml:space="preserve">2.1</w:t>
      </w:r>
      <w:r>
        <w:tab/>
      </w:r>
      <w:r>
        <w:t xml:space="preserve">Szenario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Wert</w:t>
            </w:r>
          </w:p>
        </w:tc>
      </w:tr>
      <w:tr>
        <w:tc>
          <w:tcPr/>
          <w:p>
            <w:pPr>
              <w:pStyle w:val="Compact"/>
            </w:pPr>
            <w:r>
              <w:t xml:space="preserve">Cluster-Typ</w:t>
            </w:r>
          </w:p>
        </w:tc>
        <w:tc>
          <w:tcPr/>
          <w:p>
            <w:pPr>
              <w:pStyle w:val="Compact"/>
            </w:pPr>
            <w:r>
              <w:t xml:space="preserve">Storage Spaces Direct (Hyperconverged)</w:t>
            </w:r>
          </w:p>
        </w:tc>
      </w:tr>
      <w:tr>
        <w:tc>
          <w:tcPr/>
          <w:p>
            <w:pPr>
              <w:pStyle w:val="Compact"/>
            </w:pPr>
            <w:r>
              <w:t xml:space="preserve">Anzahl Knoten</w:t>
            </w:r>
          </w:p>
        </w:tc>
        <w:tc>
          <w:tcPr/>
          <w:p>
            <w:pPr>
              <w:pStyle w:val="Compact"/>
            </w:pPr>
            <w:r>
              <w:t xml:space="preserve">6</w:t>
            </w:r>
          </w:p>
        </w:tc>
      </w:tr>
      <w:tr>
        <w:tc>
          <w:tcPr/>
          <w:p>
            <w:pPr>
              <w:pStyle w:val="Compact"/>
            </w:pPr>
            <w:r>
              <w:t xml:space="preserve">Verteilung</w:t>
            </w:r>
          </w:p>
        </w:tc>
        <w:tc>
          <w:tcPr/>
          <w:p>
            <w:pPr>
              <w:pStyle w:val="Compact"/>
            </w:pPr>
            <w:r>
              <w:t xml:space="preserve">3 Knoten in Brandabschnitt A, 3 Knoten in Brandabschnitt B</w:t>
            </w:r>
          </w:p>
        </w:tc>
      </w:tr>
      <w:tr>
        <w:tc>
          <w:tcPr/>
          <w:p>
            <w:pPr>
              <w:pStyle w:val="Compact"/>
            </w:pPr>
            <w:r>
              <w:t xml:space="preserve">Netzwerk</w:t>
            </w:r>
          </w:p>
        </w:tc>
        <w:tc>
          <w:tcPr/>
          <w:p>
            <w:pPr>
              <w:pStyle w:val="Compact"/>
            </w:pPr>
            <w:r>
              <w:t xml:space="preserve">Gleiches IP-Subnet</w:t>
            </w:r>
          </w:p>
        </w:tc>
      </w:tr>
      <w:tr>
        <w:tc>
          <w:tcPr/>
          <w:p>
            <w:pPr>
              <w:pStyle w:val="Compact"/>
            </w:pPr>
            <w:r>
              <w:t xml:space="preserve">Standort</w:t>
            </w:r>
          </w:p>
        </w:tc>
        <w:tc>
          <w:tcPr/>
          <w:p>
            <w:pPr>
              <w:pStyle w:val="Compact"/>
            </w:pPr>
            <w:r>
              <w:t xml:space="preserve">Einzelnes Rechenzentrum</w:t>
            </w:r>
          </w:p>
        </w:tc>
      </w:tr>
      <w:tr>
        <w:tc>
          <w:tcPr/>
          <w:p>
            <w:pPr>
              <w:pStyle w:val="Compact"/>
            </w:pPr>
            <w:r>
              <w:t xml:space="preserve">Betriebssystem</w:t>
            </w:r>
          </w:p>
        </w:tc>
        <w:tc>
          <w:tcPr/>
          <w:p>
            <w:pPr>
              <w:pStyle w:val="Compact"/>
            </w:pPr>
            <w:r>
              <w:t xml:space="preserve">Windows Server 2022 / 2025 Datacenter</w:t>
            </w:r>
          </w:p>
        </w:tc>
      </w:tr>
    </w:tbl>
    <w:bookmarkEnd w:id="10"/>
    <w:bookmarkStart w:id="11" w:name="fragestellung"/>
    <w:p>
      <w:pPr>
        <w:pStyle w:val="Heading2"/>
      </w:pPr>
      <w:r>
        <w:rPr>
          <w:rStyle w:val="SectionNumber"/>
        </w:rPr>
        <w:t xml:space="preserve">2.2</w:t>
      </w:r>
      <w:r>
        <w:tab/>
      </w:r>
      <w:r>
        <w:t xml:space="preserve">Fragestellung</w:t>
      </w:r>
    </w:p>
    <w:p>
      <w:pPr>
        <w:pStyle w:val="FirstParagraph"/>
      </w:pPr>
      <w:r>
        <w:t xml:space="preserve">Kann ein S2D-Cluster zuverlässig über zwei physische Brandabschnitte betrieben werden, wenn alle Server im selben Subnet liegen?</w:t>
      </w:r>
    </w:p>
    <w:bookmarkEnd w:id="11"/>
    <w:bookmarkEnd w:id="12"/>
    <w:bookmarkStart w:id="15" w:name="storage-spaces-direct-grundlagen"/>
    <w:p>
      <w:pPr>
        <w:pStyle w:val="Heading1"/>
      </w:pPr>
      <w:r>
        <w:rPr>
          <w:rStyle w:val="SectionNumber"/>
        </w:rPr>
        <w:t xml:space="preserve">3</w:t>
      </w:r>
      <w:r>
        <w:tab/>
      </w:r>
      <w:r>
        <w:t xml:space="preserve">Storage Spaces Direct — Grundlagen</w:t>
      </w:r>
    </w:p>
    <w:bookmarkStart w:id="13" w:name="was-ist-s2d"/>
    <w:p>
      <w:pPr>
        <w:pStyle w:val="Heading2"/>
      </w:pPr>
      <w:r>
        <w:rPr>
          <w:rStyle w:val="SectionNumber"/>
        </w:rPr>
        <w:t xml:space="preserve">3.1</w:t>
      </w:r>
      <w:r>
        <w:tab/>
      </w:r>
      <w:r>
        <w:t xml:space="preserve">Was ist S2D?</w:t>
      </w:r>
    </w:p>
    <w:p>
      <w:pPr>
        <w:pStyle w:val="FirstParagraph"/>
      </w:pPr>
      <w:r>
        <w:t xml:space="preserve">Storage Spaces Direct ist eine</w:t>
      </w:r>
      <w:r>
        <w:t xml:space="preserve"> </w:t>
      </w:r>
      <w:hyperlink w:anchor="sds-software-defined-storage">
        <w:r>
          <w:rPr>
            <w:rStyle w:val="Hyperlink"/>
          </w:rPr>
          <w:t xml:space="preserve">Software-defined Storage (SDS)</w:t>
        </w:r>
      </w:hyperlink>
      <w:r>
        <w:t xml:space="preserve"> </w:t>
      </w:r>
      <w:r>
        <w:t xml:space="preserve">Lösung, die in Windows Server 2016 Datacenter und höher enthalten ist. Sie ermöglicht es, die internen Speicherlaufwerke eines Clusters von</w:t>
      </w:r>
      <w:r>
        <w:t xml:space="preserve"> </w:t>
      </w:r>
      <w:r>
        <w:rPr>
          <w:b/>
          <w:bCs/>
        </w:rPr>
        <w:t xml:space="preserve">2 bis 16 physischen Servern</w:t>
      </w:r>
      <w:r>
        <w:t xml:space="preserve"> </w:t>
      </w:r>
      <w:r>
        <w:t xml:space="preserve">zu einem softwaredefinierten</w:t>
      </w:r>
      <w:r>
        <w:t xml:space="preserve"> </w:t>
      </w:r>
      <w:hyperlink w:anchor="storage-pool">
        <w:r>
          <w:rPr>
            <w:rStyle w:val="Hyperlink"/>
          </w:rPr>
          <w:t xml:space="preserve">Speicherpool</w:t>
        </w:r>
      </w:hyperlink>
      <w:r>
        <w:t xml:space="preserve"> </w:t>
      </w:r>
      <w:r>
        <w:t xml:space="preserve">zusammenzufassen [1].</w:t>
      </w:r>
    </w:p>
    <w:bookmarkEnd w:id="13"/>
    <w:bookmarkStart w:id="14" w:name="unterstützte-konfigurationen"/>
    <w:p>
      <w:pPr>
        <w:pStyle w:val="Heading2"/>
      </w:pPr>
      <w:r>
        <w:rPr>
          <w:rStyle w:val="SectionNumber"/>
        </w:rPr>
        <w:t xml:space="preserve">3.2</w:t>
      </w:r>
      <w:r>
        <w:tab/>
      </w:r>
      <w:r>
        <w:t xml:space="preserve">Unterstützte Konfigurationen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Spezifikation</w:t>
            </w:r>
          </w:p>
        </w:tc>
      </w:tr>
      <w:tr>
        <w:tc>
          <w:tcPr/>
          <w:p>
            <w:pPr>
              <w:pStyle w:val="Compact"/>
            </w:pPr>
            <w:r>
              <w:t xml:space="preserve">Minimale Knotenzahl</w:t>
            </w:r>
          </w:p>
        </w:tc>
        <w:tc>
          <w:tcPr/>
          <w:p>
            <w:pPr>
              <w:pStyle w:val="Compact"/>
            </w:pPr>
            <w:r>
              <w:t xml:space="preserve">2 Server</w:t>
            </w:r>
          </w:p>
        </w:tc>
      </w:tr>
      <w:tr>
        <w:tc>
          <w:tcPr/>
          <w:p>
            <w:pPr>
              <w:pStyle w:val="Compact"/>
            </w:pPr>
            <w:r>
              <w:t xml:space="preserve">Maximale Knotenzahl</w:t>
            </w:r>
          </w:p>
        </w:tc>
        <w:tc>
          <w:tcPr/>
          <w:p>
            <w:pPr>
              <w:pStyle w:val="Compact"/>
            </w:pPr>
            <w:r>
              <w:t xml:space="preserve">16 Server</w:t>
            </w:r>
          </w:p>
        </w:tc>
      </w:tr>
      <w:tr>
        <w:tc>
          <w:tcPr/>
          <w:p>
            <w:pPr>
              <w:pStyle w:val="Compact"/>
            </w:pPr>
            <w:r>
              <w:t xml:space="preserve">Unterstützte Laufwerke</w:t>
            </w:r>
          </w:p>
        </w:tc>
        <w:tc>
          <w:tcPr/>
          <w:p>
            <w:pPr>
              <w:pStyle w:val="Compact"/>
            </w:pPr>
            <w:r>
              <w:t xml:space="preserve">SATA, SAS, NVMe, Persistent Memory (direkt angeschlossen)</w:t>
            </w:r>
          </w:p>
        </w:tc>
      </w:tr>
      <w:tr>
        <w:tc>
          <w:tcPr/>
          <w:p>
            <w:pPr>
              <w:pStyle w:val="Compact"/>
            </w:pPr>
            <w:r>
              <w:t xml:space="preserve">Netzwerk (Minimum)</w:t>
            </w:r>
          </w:p>
        </w:tc>
        <w:tc>
          <w:tcPr/>
          <w:p>
            <w:pPr>
              <w:pStyle w:val="Compact"/>
            </w:pPr>
            <w:r>
              <w:t xml:space="preserve">10 GbE</w:t>
            </w:r>
          </w:p>
        </w:tc>
      </w:tr>
      <w:tr>
        <w:tc>
          <w:tcPr/>
          <w:p>
            <w:pPr>
              <w:pStyle w:val="Compact"/>
            </w:pPr>
            <w:r>
              <w:t xml:space="preserve">Netzwerk (Empfohlen, 4+ Knoten)</w:t>
            </w:r>
          </w:p>
        </w:tc>
        <w:tc>
          <w:tcPr/>
          <w:p>
            <w:pPr>
              <w:pStyle w:val="Compact"/>
            </w:pPr>
            <w:hyperlink w:anchor="gbe-gigabit-ethernet">
              <w:r>
                <w:rPr>
                  <w:rStyle w:val="Hyperlink"/>
                </w:rPr>
                <w:t xml:space="preserve">25 GbE</w:t>
              </w:r>
            </w:hyperlink>
            <w:r>
              <w:t xml:space="preserve"> </w:t>
            </w:r>
            <w:r>
              <w:t xml:space="preserve">mit</w:t>
            </w:r>
            <w:r>
              <w:t xml:space="preserve"> </w:t>
            </w:r>
            <w:hyperlink w:anchor="rdma-remote-direct-memory-access">
              <w:r>
                <w:rPr>
                  <w:rStyle w:val="Hyperlink"/>
                </w:rPr>
                <w:t xml:space="preserve">RDMA</w:t>
              </w:r>
            </w:hyperlink>
            <w:r>
              <w:t xml:space="preserve"> </w:t>
            </w:r>
            <w:r>
              <w:t xml:space="preserve">(</w:t>
            </w:r>
            <w:hyperlink w:anchor="iwarp-internet-wide-area-rdma-protocol">
              <w:r>
                <w:rPr>
                  <w:rStyle w:val="Hyperlink"/>
                </w:rPr>
                <w:t xml:space="preserve">iWARP</w:t>
              </w:r>
            </w:hyperlink>
            <w:r>
              <w:t xml:space="preserve"> </w:t>
            </w:r>
            <w:r>
              <w:t xml:space="preserve">oder</w:t>
            </w:r>
            <w:r>
              <w:t xml:space="preserve"> </w:t>
            </w:r>
            <w:hyperlink w:anchor="roce-rdma-over-converged-ethernet">
              <w:r>
                <w:rPr>
                  <w:rStyle w:val="Hyperlink"/>
                </w:rPr>
                <w:t xml:space="preserve">RoCE</w:t>
              </w:r>
            </w:hyperlink>
            <w:r>
              <w:t xml:space="preserve">)</w:t>
            </w:r>
          </w:p>
        </w:tc>
      </w:tr>
      <w:tr>
        <w:tc>
          <w:tcPr/>
          <w:p>
            <w:pPr>
              <w:pStyle w:val="Compact"/>
            </w:pPr>
            <w:r>
              <w:rPr>
                <w:b/>
                <w:bCs/>
              </w:rPr>
              <w:t xml:space="preserve">Netzwerk (Produktion)</w:t>
            </w:r>
          </w:p>
        </w:tc>
        <w:tc>
          <w:tcPr/>
          <w:p>
            <w:pPr>
              <w:pStyle w:val="Compact"/>
            </w:pPr>
            <w:r>
              <w:rPr>
                <w:b/>
                <w:bCs/>
              </w:rPr>
              <w:t xml:space="preserve">2× 25 GbE oder 2× 100 GbE</w:t>
            </w:r>
            <w:r>
              <w:t xml:space="preserve"> </w:t>
            </w:r>
            <w:r>
              <w:t xml:space="preserve">mit RDMA für Storage; dedizierte NICs pro Traffic-Typ</w:t>
            </w:r>
          </w:p>
        </w:tc>
      </w:tr>
      <w:tr>
        <w:tc>
          <w:tcPr/>
          <w:p>
            <w:pPr>
              <w:pStyle w:val="Compact"/>
            </w:pPr>
            <w:r>
              <w:t xml:space="preserve">NIC-Trennung (Produktion)</w:t>
            </w:r>
          </w:p>
        </w:tc>
        <w:tc>
          <w:tcPr/>
          <w:p>
            <w:pPr>
              <w:pStyle w:val="Compact"/>
            </w:pPr>
            <w:r>
              <w:t xml:space="preserve">Dedizierte NICs für Management, Storage (East-West / CSV), Live Migration und VM-Traffic</w:t>
            </w:r>
          </w:p>
        </w:tc>
      </w:tr>
      <w:tr>
        <w:tc>
          <w:tcPr/>
          <w:p>
            <w:pPr>
              <w:pStyle w:val="Compact"/>
            </w:pPr>
            <w:r>
              <w:t xml:space="preserve">Dateisystem</w:t>
            </w:r>
          </w:p>
        </w:tc>
        <w:tc>
          <w:tcPr/>
          <w:p>
            <w:pPr>
              <w:pStyle w:val="Compact"/>
            </w:pPr>
            <w:hyperlink w:anchor="refs-resilient-file-system">
              <w:r>
                <w:rPr>
                  <w:rStyle w:val="Hyperlink"/>
                </w:rPr>
                <w:t xml:space="preserve">ReFS</w:t>
              </w:r>
            </w:hyperlink>
            <w:r>
              <w:t xml:space="preserve"> </w:t>
            </w:r>
            <w:r>
              <w:t xml:space="preserve">(empfohlen)</w:t>
            </w:r>
          </w:p>
        </w:tc>
      </w:tr>
      <w:tr>
        <w:tc>
          <w:tcPr/>
          <w:p>
            <w:pPr>
              <w:pStyle w:val="Compact"/>
            </w:pPr>
            <w:r>
              <w:t xml:space="preserve">Deployment-Optionen</w:t>
            </w:r>
          </w:p>
        </w:tc>
        <w:tc>
          <w:tcPr/>
          <w:p>
            <w:pPr>
              <w:pStyle w:val="Compact"/>
            </w:pPr>
            <w:r>
              <w:t xml:space="preserve">Hyperconverged oder Converged (Scale-Out File Server)</w:t>
            </w:r>
          </w:p>
        </w:tc>
      </w:tr>
    </w:tbl>
    <w:p>
      <w:pPr>
        <w:pStyle w:val="BodyText"/>
      </w:pPr>
      <w:r>
        <w:rPr>
          <w:i/>
          <w:iCs/>
        </w:rPr>
        <w:t xml:space="preserve">Quelle: Microsoft Learn — Storage Spaces Direct Hardware Requirements [2]</w:t>
      </w:r>
    </w:p>
    <w:p>
      <w:pPr>
        <w:pStyle w:val="BlockText"/>
      </w:pPr>
      <w:r>
        <w:rPr>
          <w:b/>
          <w:bCs/>
        </w:rPr>
        <w:t xml:space="preserve">Hinweis zur Netzwerkbandbreite</w:t>
      </w:r>
      <w:r>
        <w:t xml:space="preserve">: Die oben genannten 10 GbE bzw. 25 GbE sind Microsofts</w:t>
      </w:r>
      <w:r>
        <w:t xml:space="preserve"> </w:t>
      </w:r>
      <w:r>
        <w:rPr>
          <w:b/>
          <w:bCs/>
        </w:rPr>
        <w:t xml:space="preserve">Mindestanforderungen</w:t>
      </w:r>
      <w:r>
        <w:t xml:space="preserve">. Für Produktionsumgebungen sind diese Werte in der Regel nicht ausreichend — Replikations-Overhead (Two-/Three-Way Mirror), Re-Sync nach Knotenausfällen und NVMe-Durchsatz erfordern deutlich mehr Bandbreite. Details und konkrete Empfehlungen siehe</w:t>
      </w:r>
      <w:r>
        <w:t xml:space="preserve"> </w:t>
      </w:r>
      <w:hyperlink w:anchor="mindestanforderungen">
        <w:r>
          <w:rPr>
            <w:rStyle w:val="Hyperlink"/>
          </w:rPr>
          <w:t xml:space="preserve">Setup-Leitfaden — Netzwerk-Mindestanforderungen</w:t>
        </w:r>
      </w:hyperlink>
      <w:r>
        <w:t xml:space="preserve">.</w:t>
      </w:r>
    </w:p>
    <w:bookmarkEnd w:id="14"/>
    <w:bookmarkEnd w:id="15"/>
    <w:bookmarkStart w:id="21" w:name="X715dfeca2f7dd30bfebcff0edd1388525db9cc0"/>
    <w:p>
      <w:pPr>
        <w:pStyle w:val="Heading1"/>
      </w:pPr>
      <w:r>
        <w:rPr>
          <w:rStyle w:val="SectionNumber"/>
        </w:rPr>
        <w:t xml:space="preserve">4</w:t>
      </w:r>
      <w:r>
        <w:tab/>
      </w:r>
      <w:r>
        <w:t xml:space="preserve">Fault Domain Awareness — Site-Unterstützung</w:t>
      </w:r>
    </w:p>
    <w:bookmarkStart w:id="16" w:name="konzept-der-fault-domains"/>
    <w:p>
      <w:pPr>
        <w:pStyle w:val="Heading2"/>
      </w:pPr>
      <w:r>
        <w:rPr>
          <w:rStyle w:val="SectionNumber"/>
        </w:rPr>
        <w:t xml:space="preserve">4.1</w:t>
      </w:r>
      <w:r>
        <w:tab/>
      </w:r>
      <w:r>
        <w:t xml:space="preserve">Konzept der Fault Domains</w:t>
      </w:r>
    </w:p>
    <w:p>
      <w:pPr>
        <w:pStyle w:val="FirstParagraph"/>
      </w:pPr>
      <w:r>
        <w:t xml:space="preserve">Windows Server Failover Clustering kennt vier hierarchische Ebenen von</w:t>
      </w:r>
      <w:r>
        <w:t xml:space="preserve"> </w:t>
      </w:r>
      <w:hyperlink w:anchor="fault-domain--fault-domain-awareness">
        <w:r>
          <w:rPr>
            <w:rStyle w:val="Hyperlink"/>
          </w:rPr>
          <w:t xml:space="preserve">Fault Domains</w:t>
        </w:r>
      </w:hyperlink>
      <w:r>
        <w:t xml:space="preserve"> </w:t>
      </w:r>
      <w:r>
        <w:t xml:space="preserve">[3]: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Ebene</w:t>
            </w:r>
          </w:p>
        </w:tc>
        <w:tc>
          <w:tcPr/>
          <w:p>
            <w:pPr>
              <w:pStyle w:val="Compact"/>
            </w:pPr>
            <w:r>
              <w:t xml:space="preserve">Beschreibung</w:t>
            </w:r>
          </w:p>
        </w:tc>
        <w:tc>
          <w:tcPr/>
          <w:p>
            <w:pPr>
              <w:pStyle w:val="Compact"/>
            </w:pPr>
            <w:r>
              <w:t xml:space="preserve">Automatisch erkannt?</w:t>
            </w:r>
          </w:p>
        </w:tc>
      </w:tr>
      <w:tr>
        <w:tc>
          <w:tcPr/>
          <w:p>
            <w:pPr>
              <w:pStyle w:val="Compact"/>
            </w:pPr>
            <w:r>
              <w:rPr>
                <w:b/>
                <w:bCs/>
              </w:rPr>
              <w:t xml:space="preserve">Node</w:t>
            </w:r>
          </w:p>
        </w:tc>
        <w:tc>
          <w:tcPr/>
          <w:p>
            <w:pPr>
              <w:pStyle w:val="Compact"/>
            </w:pPr>
            <w:r>
              <w:t xml:space="preserve">Einzelner Serverknoten</w:t>
            </w:r>
          </w:p>
        </w:tc>
        <w:tc>
          <w:tcPr/>
          <w:p>
            <w:pPr>
              <w:pStyle w:val="Compact"/>
            </w:pPr>
            <w:r>
              <w:t xml:space="preserve">Ja</w:t>
            </w:r>
          </w:p>
        </w:tc>
      </w:tr>
      <w:tr>
        <w:tc>
          <w:tcPr/>
          <w:p>
            <w:pPr>
              <w:pStyle w:val="Compact"/>
            </w:pPr>
            <w:r>
              <w:rPr>
                <w:b/>
                <w:bCs/>
              </w:rPr>
              <w:t xml:space="preserve">Chassis</w:t>
            </w:r>
          </w:p>
        </w:tc>
        <w:tc>
          <w:tcPr/>
          <w:p>
            <w:pPr>
              <w:pStyle w:val="Compact"/>
            </w:pPr>
            <w:r>
              <w:t xml:space="preserve">Blade-Server-Gehäuse</w:t>
            </w:r>
          </w:p>
        </w:tc>
        <w:tc>
          <w:tcPr/>
          <w:p>
            <w:pPr>
              <w:pStyle w:val="Compact"/>
            </w:pPr>
            <w:r>
              <w:t xml:space="preserve">Nein — manuelle Konfiguration</w:t>
            </w:r>
          </w:p>
        </w:tc>
      </w:tr>
      <w:tr>
        <w:tc>
          <w:tcPr/>
          <w:p>
            <w:pPr>
              <w:pStyle w:val="Compact"/>
            </w:pPr>
            <w:r>
              <w:rPr>
                <w:b/>
                <w:bCs/>
              </w:rPr>
              <w:t xml:space="preserve">Rack</w:t>
            </w:r>
          </w:p>
        </w:tc>
        <w:tc>
          <w:tcPr/>
          <w:p>
            <w:pPr>
              <w:pStyle w:val="Compact"/>
            </w:pPr>
            <w:r>
              <w:t xml:space="preserve">Server-Rack</w:t>
            </w:r>
          </w:p>
        </w:tc>
        <w:tc>
          <w:tcPr/>
          <w:p>
            <w:pPr>
              <w:pStyle w:val="Compact"/>
            </w:pPr>
            <w:r>
              <w:t xml:space="preserve">Nein — manuelle Konfiguration</w:t>
            </w:r>
          </w:p>
        </w:tc>
      </w:tr>
      <w:tr>
        <w:tc>
          <w:tcPr/>
          <w:p>
            <w:pPr>
              <w:pStyle w:val="Compact"/>
            </w:pPr>
            <w:r>
              <w:rPr>
                <w:b/>
                <w:bCs/>
              </w:rPr>
              <w:t xml:space="preserve">Site</w:t>
            </w:r>
          </w:p>
        </w:tc>
        <w:tc>
          <w:tcPr/>
          <w:p>
            <w:pPr>
              <w:pStyle w:val="Compact"/>
            </w:pPr>
            <w:r>
              <w:t xml:space="preserve">Physischer Standort / Brandabschnitt</w:t>
            </w:r>
          </w:p>
        </w:tc>
        <w:tc>
          <w:tcPr/>
          <w:p>
            <w:pPr>
              <w:pStyle w:val="Compact"/>
            </w:pPr>
            <w:r>
              <w:t xml:space="preserve">Nein — manuelle Konfiguration</w:t>
            </w:r>
          </w:p>
        </w:tc>
      </w:tr>
    </w:tbl>
    <w:bookmarkEnd w:id="16"/>
    <w:bookmarkStart w:id="17" w:name="vorteile-der-fault-domain-awareness"/>
    <w:p>
      <w:pPr>
        <w:pStyle w:val="Heading2"/>
      </w:pPr>
      <w:r>
        <w:rPr>
          <w:rStyle w:val="SectionNumber"/>
        </w:rPr>
        <w:t xml:space="preserve">4.2</w:t>
      </w:r>
      <w:r>
        <w:tab/>
      </w:r>
      <w:r>
        <w:t xml:space="preserve">Vorteile der Fault Domain Awareness</w:t>
      </w:r>
    </w:p>
    <w:p>
      <w:pPr>
        <w:pStyle w:val="FirstParagraph"/>
      </w:pPr>
      <w:r>
        <w:t xml:space="preserve">Laut Microsoft-Dokumentation bietet Fault Domain Awareness drei zentrale Vorteile [3]:</w:t>
      </w:r>
    </w:p>
    <w:p>
      <w:pPr>
        <w:pStyle w:val="Compact"/>
        <w:numPr>
          <w:ilvl w:val="0"/>
          <w:numId w:val="1001"/>
        </w:numPr>
      </w:pPr>
      <w:r>
        <w:rPr>
          <w:b/>
          <w:bCs/>
        </w:rPr>
        <w:t xml:space="preserve">Storage Spaces / S2D</w:t>
      </w:r>
      <w:r>
        <w:t xml:space="preserve">: Nutzt Fault Domains zur Maximierung der Datensicherheit. Datenkopien werden auf separate Fault Domains verteilt, um optimale Resilienz zu gewährleisten.</w:t>
      </w:r>
    </w:p>
    <w:p>
      <w:pPr>
        <w:pStyle w:val="Compact"/>
        <w:numPr>
          <w:ilvl w:val="0"/>
          <w:numId w:val="1001"/>
        </w:numPr>
      </w:pPr>
      <w:r>
        <w:rPr>
          <w:b/>
          <w:bCs/>
        </w:rPr>
        <w:t xml:space="preserve">Health Service</w:t>
      </w:r>
      <w:r>
        <w:t xml:space="preserve">: Stellt aussagekräftigere Alarme bereit, da jede Fault Domain mit Standort-Metadaten versehen werden kann.</w:t>
      </w:r>
    </w:p>
    <w:p>
      <w:pPr>
        <w:pStyle w:val="Compact"/>
        <w:numPr>
          <w:ilvl w:val="0"/>
          <w:numId w:val="1001"/>
        </w:numPr>
      </w:pPr>
      <w:r>
        <w:rPr>
          <w:b/>
          <w:bCs/>
        </w:rPr>
        <w:t xml:space="preserve">Stretch Clustering</w:t>
      </w:r>
      <w:r>
        <w:t xml:space="preserve">: Nutzt Fault Domains für Storage Affinity, sodass VMs bevorzugt auf Servern laufen, die nahe an ihrem Speicher liegen.</w:t>
      </w:r>
    </w:p>
    <w:bookmarkEnd w:id="17"/>
    <w:bookmarkStart w:id="20" w:name="konfiguration-für-zwei-brandabschnitte"/>
    <w:p>
      <w:pPr>
        <w:pStyle w:val="Heading2"/>
      </w:pPr>
      <w:r>
        <w:rPr>
          <w:rStyle w:val="SectionNumber"/>
        </w:rPr>
        <w:t xml:space="preserve">4.3</w:t>
      </w:r>
      <w:r>
        <w:tab/>
      </w:r>
      <w:r>
        <w:t xml:space="preserve">Konfiguration für zwei Brandabschnitte</w:t>
      </w:r>
    </w:p>
    <w:bookmarkStart w:id="18" w:name="powershell-konfiguration"/>
    <w:p>
      <w:pPr>
        <w:pStyle w:val="Heading3"/>
      </w:pPr>
      <w:r>
        <w:rPr>
          <w:rStyle w:val="SectionNumber"/>
        </w:rPr>
        <w:t xml:space="preserve">4.3.1</w:t>
      </w:r>
      <w:r>
        <w:tab/>
      </w:r>
      <w:r>
        <w:t xml:space="preserve">PowerShell-Konfiguration</w:t>
      </w:r>
    </w:p>
    <w:p>
      <w:pPr>
        <w:pStyle w:val="FirstParagraph"/>
      </w:pPr>
      <w:r>
        <w:t xml:space="preserve">Die Fault Domains werden</w:t>
      </w:r>
      <w:r>
        <w:t xml:space="preserve"> </w:t>
      </w:r>
      <w:r>
        <w:rPr>
          <w:b/>
          <w:bCs/>
        </w:rPr>
        <w:t xml:space="preserve">vor</w:t>
      </w:r>
      <w:r>
        <w:t xml:space="preserve"> </w:t>
      </w:r>
      <w:r>
        <w:t xml:space="preserve">der Aktivierung von S2D konfiguriert [3]:</w:t>
      </w:r>
    </w:p>
    <w:p>
      <w:pPr>
        <w:pStyle w:val="SourceCode"/>
        <w:keepLines/>
        <w:keepNext/>
      </w:pPr>
      <w:r>
        <w:rPr>
          <w:rStyle w:val="VerbatimChar"/>
        </w:rPr>
        <w:t xml:space="preserve"># Sites (Brandabschnitte) anlegen</w:t>
      </w:r>
    </w:p>
    <w:p>
      <w:pPr>
        <w:pStyle w:val="SourceCode"/>
        <w:keepLines/>
        <w:keepNext/>
      </w:pPr>
      <w:r>
        <w:rPr>
          <w:rStyle w:val="VerbatimChar"/>
        </w:rPr>
        <w:t xml:space="preserve">New-ClusterFaultDomain -Type Site -Name "BrandabschnittA" `</w:t>
      </w:r>
    </w:p>
    <w:p>
      <w:pPr>
        <w:pStyle w:val="SourceCode"/>
        <w:keepLines/>
        <w:keepNext/>
      </w:pPr>
      <w:r>
        <w:rPr>
          <w:rStyle w:val="VerbatimChar"/>
        </w:rPr>
        <w:t xml:space="preserve">    -Location "RZ Gebäude 1, Brandabschnitt A"</w:t>
      </w:r>
    </w:p>
    <w:p>
      <w:pPr>
        <w:pStyle w:val="SourceCode"/>
        <w:keepLines/>
        <w:keepNext/>
      </w:pPr>
      <w:r>
        <w:rPr>
          <w:rStyle w:val="VerbatimChar"/>
        </w:rPr>
        <w:t xml:space="preserve">New-ClusterFaultDomain -Type Site -Name "BrandabschnittB" `</w:t>
      </w:r>
    </w:p>
    <w:p>
      <w:pPr>
        <w:pStyle w:val="SourceCode"/>
        <w:keepLines/>
        <w:keepNext/>
      </w:pPr>
      <w:r>
        <w:rPr>
          <w:rStyle w:val="VerbatimChar"/>
        </w:rPr>
        <w:t xml:space="preserve">    -Location "RZ Gebäude 1, Brandabschnitt B"</w:t>
      </w:r>
    </w:p>
    <w:p>
      <w:pPr>
        <w:pStyle w:val="SourceCode"/>
        <w:keepLines/>
        <w:keepNext/>
      </w:pPr>
      <w:r>
        <w:rPr>
          <w:rStyle w:val="VerbatimChar"/>
        </w:rPr>
        <w:t xml:space="preserve"/>
      </w:r>
    </w:p>
    <w:p>
      <w:pPr>
        <w:pStyle w:val="SourceCode"/>
        <w:keepLines/>
        <w:keepNext/>
      </w:pPr>
      <w:r>
        <w:rPr>
          <w:rStyle w:val="VerbatimChar"/>
        </w:rPr>
        <w:t xml:space="preserve"># Knoten zuordnen</w:t>
      </w:r>
    </w:p>
    <w:p>
      <w:pPr>
        <w:pStyle w:val="SourceCode"/>
        <w:keepLines/>
        <w:keepNext/>
      </w:pPr>
      <w:r>
        <w:rPr>
          <w:rStyle w:val="VerbatimChar"/>
        </w:rPr>
        <w:t xml:space="preserve">Set-ClusterFaultDomain -Name "Node01","Node02","Node03" `</w:t>
      </w:r>
    </w:p>
    <w:p>
      <w:pPr>
        <w:pStyle w:val="SourceCode"/>
        <w:keepLines/>
        <w:keepNext/>
      </w:pPr>
      <w:r>
        <w:rPr>
          <w:rStyle w:val="VerbatimChar"/>
        </w:rPr>
        <w:t xml:space="preserve">    -Parent "BrandabschnittA"</w:t>
      </w:r>
    </w:p>
    <w:p>
      <w:pPr>
        <w:pStyle w:val="SourceCode"/>
        <w:keepLines/>
        <w:keepNext/>
      </w:pPr>
      <w:r>
        <w:rPr>
          <w:rStyle w:val="VerbatimChar"/>
        </w:rPr>
        <w:t xml:space="preserve">Set-ClusterFaultDomain -Name "Node04","Node05","Node06" `</w:t>
      </w:r>
    </w:p>
    <w:p>
      <w:pPr>
        <w:pStyle w:val="SourceCode"/>
        <w:keepLines/>
        <w:keepNext/>
      </w:pPr>
      <w:r>
        <w:rPr>
          <w:rStyle w:val="VerbatimChar"/>
        </w:rPr>
        <w:t xml:space="preserve">    -Parent "BrandabschnittB"</w:t>
      </w:r>
    </w:p>
    <w:p>
      <w:pPr>
        <w:pStyle w:val="SourceCode"/>
        <w:keepLines/>
        <w:keepNext/>
      </w:pPr>
      <w:r>
        <w:rPr>
          <w:rStyle w:val="VerbatimChar"/>
        </w:rPr>
        <w:t xml:space="preserve"/>
      </w:r>
    </w:p>
    <w:p>
      <w:pPr>
        <w:pStyle w:val="SourceCode"/>
        <w:keepLines/>
        <w:keepNext/>
      </w:pPr>
      <w:r>
        <w:rPr>
          <w:rStyle w:val="VerbatimChar"/>
        </w:rPr>
        <w:t xml:space="preserve"># Konfiguration prüfen</w:t>
      </w:r>
    </w:p>
    <w:p>
      <w:pPr>
        <w:pStyle w:val="SourceCode"/>
        <w:keepLines/>
      </w:pPr>
      <w:r>
        <w:rPr>
          <w:rStyle w:val="VerbatimChar"/>
        </w:rPr>
        <w:t xml:space="preserve">Get-ClusterFaultDomain</w:t>
      </w:r>
    </w:p>
    <w:bookmarkEnd w:id="18"/>
    <w:bookmarkStart w:id="19" w:name="xml-konfiguration"/>
    <w:p>
      <w:pPr>
        <w:pStyle w:val="Heading3"/>
      </w:pPr>
      <w:r>
        <w:rPr>
          <w:rStyle w:val="SectionNumber"/>
        </w:rPr>
        <w:t xml:space="preserve">4.3.2</w:t>
      </w:r>
      <w:r>
        <w:tab/>
      </w:r>
      <w:r>
        <w:t xml:space="preserve">XML-Konfiguration</w:t>
      </w:r>
    </w:p>
    <w:p>
      <w:pPr>
        <w:pStyle w:val="FirstParagraph"/>
      </w:pPr>
      <w:r>
        <w:t xml:space="preserve">Alternativ kann die Topologie per XML definiert werden [3]:</w:t>
      </w:r>
    </w:p>
    <w:p>
      <w:pPr>
        <w:pStyle w:val="SourceCode"/>
        <w:keepLines/>
        <w:keepNext/>
      </w:pPr>
      <w:r>
        <w:rPr>
          <w:rStyle w:val="VerbatimChar"/>
        </w:rPr>
        <w:t xml:space="preserve">&lt;Topology&gt;</w:t>
      </w:r>
    </w:p>
    <w:p>
      <w:pPr>
        <w:pStyle w:val="SourceCode"/>
        <w:keepLines/>
        <w:keepNext/>
      </w:pPr>
      <w:r>
        <w:rPr>
          <w:rStyle w:val="VerbatimChar"/>
        </w:rPr>
        <w:t xml:space="preserve">  &lt;Site Name="BrandabschnittA"</w:t>
      </w:r>
    </w:p>
    <w:p>
      <w:pPr>
        <w:pStyle w:val="SourceCode"/>
        <w:keepLines/>
        <w:keepNext/>
      </w:pPr>
      <w:r>
        <w:rPr>
          <w:rStyle w:val="VerbatimChar"/>
        </w:rPr>
        <w:t xml:space="preserve">        Location="RZ Gebäude 1, Brandabschnitt A"&gt;</w:t>
      </w:r>
    </w:p>
    <w:p>
      <w:pPr>
        <w:pStyle w:val="SourceCode"/>
        <w:keepLines/>
        <w:keepNext/>
      </w:pPr>
      <w:r>
        <w:rPr>
          <w:rStyle w:val="VerbatimChar"/>
        </w:rPr>
        <w:t xml:space="preserve">    &lt;Node Name="Node01" /&gt;</w:t>
      </w:r>
    </w:p>
    <w:p>
      <w:pPr>
        <w:pStyle w:val="SourceCode"/>
        <w:keepLines/>
        <w:keepNext/>
      </w:pPr>
      <w:r>
        <w:rPr>
          <w:rStyle w:val="VerbatimChar"/>
        </w:rPr>
        <w:t xml:space="preserve">    &lt;Node Name="Node02" /&gt;</w:t>
      </w:r>
    </w:p>
    <w:p>
      <w:pPr>
        <w:pStyle w:val="SourceCode"/>
        <w:keepLines/>
        <w:keepNext/>
      </w:pPr>
      <w:r>
        <w:rPr>
          <w:rStyle w:val="VerbatimChar"/>
        </w:rPr>
        <w:t xml:space="preserve">    &lt;Node Name="Node03" /&gt;</w:t>
      </w:r>
    </w:p>
    <w:p>
      <w:pPr>
        <w:pStyle w:val="SourceCode"/>
        <w:keepLines/>
        <w:keepNext/>
      </w:pPr>
      <w:r>
        <w:rPr>
          <w:rStyle w:val="VerbatimChar"/>
        </w:rPr>
        <w:t xml:space="preserve">  &lt;/Site&gt;</w:t>
      </w:r>
    </w:p>
    <w:p>
      <w:pPr>
        <w:pStyle w:val="SourceCode"/>
        <w:keepLines/>
        <w:keepNext/>
      </w:pPr>
      <w:r>
        <w:rPr>
          <w:rStyle w:val="VerbatimChar"/>
        </w:rPr>
        <w:t xml:space="preserve">  &lt;Site Name="BrandabschnittB"</w:t>
      </w:r>
    </w:p>
    <w:p>
      <w:pPr>
        <w:pStyle w:val="SourceCode"/>
        <w:keepLines/>
        <w:keepNext/>
      </w:pPr>
      <w:r>
        <w:rPr>
          <w:rStyle w:val="VerbatimChar"/>
        </w:rPr>
        <w:t xml:space="preserve">        Location="RZ Gebäude 1, Brandabschnitt B"&gt;</w:t>
      </w:r>
    </w:p>
    <w:p>
      <w:pPr>
        <w:pStyle w:val="SourceCode"/>
        <w:keepLines/>
        <w:keepNext/>
      </w:pPr>
      <w:r>
        <w:rPr>
          <w:rStyle w:val="VerbatimChar"/>
        </w:rPr>
        <w:t xml:space="preserve">    &lt;Node Name="Node04" /&gt;</w:t>
      </w:r>
    </w:p>
    <w:p>
      <w:pPr>
        <w:pStyle w:val="SourceCode"/>
        <w:keepLines/>
        <w:keepNext/>
      </w:pPr>
      <w:r>
        <w:rPr>
          <w:rStyle w:val="VerbatimChar"/>
        </w:rPr>
        <w:t xml:space="preserve">    &lt;Node Name="Node05" /&gt;</w:t>
      </w:r>
    </w:p>
    <w:p>
      <w:pPr>
        <w:pStyle w:val="SourceCode"/>
        <w:keepLines/>
        <w:keepNext/>
      </w:pPr>
      <w:r>
        <w:rPr>
          <w:rStyle w:val="VerbatimChar"/>
        </w:rPr>
        <w:t xml:space="preserve">    &lt;Node Name="Node06" /&gt;</w:t>
      </w:r>
    </w:p>
    <w:p>
      <w:pPr>
        <w:pStyle w:val="SourceCode"/>
        <w:keepLines/>
        <w:keepNext/>
      </w:pPr>
      <w:r>
        <w:rPr>
          <w:rStyle w:val="VerbatimChar"/>
        </w:rPr>
        <w:t xml:space="preserve">  &lt;/Site&gt;</w:t>
      </w:r>
    </w:p>
    <w:p>
      <w:pPr>
        <w:pStyle w:val="SourceCode"/>
        <w:keepLines/>
      </w:pPr>
      <w:r>
        <w:rPr>
          <w:rStyle w:val="VerbatimChar"/>
        </w:rPr>
        <w:t xml:space="preserve">&lt;/Topology&gt;</w:t>
      </w:r>
    </w:p>
    <w:p>
      <w:pPr>
        <w:pStyle w:val="SourceCode"/>
        <w:keepLines/>
        <w:keepNext/>
      </w:pPr>
      <w:r>
        <w:rPr>
          <w:rStyle w:val="VerbatimChar"/>
        </w:rPr>
        <w:t xml:space="preserve">$xml = Get-Content .\FaultDomains.xml | Out-String</w:t>
      </w:r>
    </w:p>
    <w:p>
      <w:pPr>
        <w:pStyle w:val="SourceCode"/>
        <w:keepLines/>
      </w:pPr>
      <w:r>
        <w:rPr>
          <w:rStyle w:val="VerbatimChar"/>
        </w:rPr>
        <w:t xml:space="preserve">Set-ClusterFaultDomainXML -XML $xml</w:t>
      </w:r>
    </w:p>
    <w:p>
      <w:pPr>
        <w:pStyle w:val="BlockText"/>
      </w:pPr>
      <w:r>
        <w:rPr>
          <w:b/>
          <w:bCs/>
        </w:rPr>
        <w:t xml:space="preserve">Wichtig</w:t>
      </w:r>
      <w:r>
        <w:t xml:space="preserve">: Microsoft weist explizit darauf hin, dass Fault Domains</w:t>
      </w:r>
      <w:r>
        <w:t xml:space="preserve"> </w:t>
      </w:r>
      <w:r>
        <w:rPr>
          <w:b/>
          <w:bCs/>
        </w:rPr>
        <w:t xml:space="preserve">vor</w:t>
      </w:r>
      <w:r>
        <w:t xml:space="preserve"> </w:t>
      </w:r>
      <w:r>
        <w:t xml:space="preserve">der Aktivierung von Storage Spaces Direct konfiguriert werden sollten. Nachträgliche Änderungen führen</w:t>
      </w:r>
      <w:r>
        <w:t xml:space="preserve"> </w:t>
      </w:r>
      <w:r>
        <w:rPr>
          <w:b/>
          <w:bCs/>
        </w:rPr>
        <w:t xml:space="preserve">nicht</w:t>
      </w:r>
      <w:r>
        <w:t xml:space="preserve"> </w:t>
      </w:r>
      <w:r>
        <w:t xml:space="preserve">zu einer automatischen Umverteilung der Daten [3].</w:t>
      </w:r>
    </w:p>
    <w:bookmarkEnd w:id="19"/>
    <w:bookmarkEnd w:id="20"/>
    <w:bookmarkEnd w:id="21"/>
    <w:bookmarkStart w:id="25" w:name="netzwerk-anforderungen"/>
    <w:p>
      <w:pPr>
        <w:pStyle w:val="Heading1"/>
      </w:pPr>
      <w:r>
        <w:rPr>
          <w:rStyle w:val="SectionNumber"/>
        </w:rPr>
        <w:t xml:space="preserve">5</w:t>
      </w:r>
      <w:r>
        <w:tab/>
      </w:r>
      <w:r>
        <w:t xml:space="preserve">Netzwerk-Anforderungen</w:t>
      </w:r>
    </w:p>
    <w:bookmarkStart w:id="22" w:name="validierte-anforderungen-microsoft"/>
    <w:p>
      <w:pPr>
        <w:pStyle w:val="Heading2"/>
      </w:pPr>
      <w:r>
        <w:rPr>
          <w:rStyle w:val="SectionNumber"/>
        </w:rPr>
        <w:t xml:space="preserve">5.1</w:t>
      </w:r>
      <w:r>
        <w:tab/>
      </w:r>
      <w:r>
        <w:t xml:space="preserve">Validierte Anforderungen (Microsoft)</w:t>
      </w:r>
    </w:p>
    <w:p>
      <w:pPr>
        <w:pStyle w:val="FirstParagraph"/>
      </w:pPr>
      <w:r>
        <w:t xml:space="preserve">Die Microsoft-Dokumentation definiert folgende Netzwerk-Anforderungen für S2D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Minimum (2–3 Knoten)</w:t>
            </w:r>
          </w:p>
        </w:tc>
        <w:tc>
          <w:tcPr/>
          <w:p>
            <w:pPr>
              <w:pStyle w:val="Compact"/>
            </w:pPr>
            <w:r>
              <w:t xml:space="preserve">10 GbE NIC oder schneller</w:t>
            </w:r>
          </w:p>
        </w:tc>
      </w:tr>
      <w:tr>
        <w:tc>
          <w:tcPr/>
          <w:p>
            <w:pPr>
              <w:pStyle w:val="Compact"/>
            </w:pPr>
            <w:r>
              <w:t xml:space="preserve">Empfohlen (4+ Knoten)</w:t>
            </w:r>
          </w:p>
        </w:tc>
        <w:tc>
          <w:tcPr/>
          <w:p>
            <w:pPr>
              <w:pStyle w:val="Compact"/>
            </w:pPr>
            <w:r>
              <w:t xml:space="preserve">25 GbE oder schneller, RDMA-fähig (iWARP oder RoCE)</w:t>
            </w:r>
          </w:p>
        </w:tc>
      </w:tr>
      <w:tr>
        <w:tc>
          <w:tcPr/>
          <w:p>
            <w:pPr>
              <w:pStyle w:val="Compact"/>
            </w:pPr>
            <w:r>
              <w:t xml:space="preserve">Redundanz</w:t>
            </w:r>
          </w:p>
        </w:tc>
        <w:tc>
          <w:tcPr/>
          <w:p>
            <w:pPr>
              <w:pStyle w:val="Compact"/>
            </w:pPr>
            <w:r>
              <w:t xml:space="preserve">Mindestens 2 Netzwerkverbindungen pro Knoten empfohlen</w:t>
            </w:r>
          </w:p>
        </w:tc>
      </w:tr>
      <w:tr>
        <w:tc>
          <w:tcPr/>
          <w:p>
            <w:pPr>
              <w:pStyle w:val="Compact"/>
            </w:pPr>
            <w:r>
              <w:t xml:space="preserve">Topologie</w:t>
            </w:r>
          </w:p>
        </w:tc>
        <w:tc>
          <w:tcPr/>
          <w:p>
            <w:pPr>
              <w:pStyle w:val="Compact"/>
            </w:pPr>
            <w:r>
              <w:t xml:space="preserve">Switched oder Switchless (direkte Verbindungen)</w:t>
            </w:r>
          </w:p>
        </w:tc>
      </w:tr>
    </w:tbl>
    <w:bookmarkEnd w:id="22"/>
    <w:bookmarkStart w:id="23" w:name="X88c7cce9c43c9cd42bfd20bcbe8b8cfba91a566"/>
    <w:p>
      <w:pPr>
        <w:pStyle w:val="Heading2"/>
      </w:pPr>
      <w:r>
        <w:rPr>
          <w:rStyle w:val="SectionNumber"/>
        </w:rPr>
        <w:t xml:space="preserve">5.2</w:t>
      </w:r>
      <w:r>
        <w:tab/>
      </w:r>
      <w:r>
        <w:t xml:space="preserve">Anforderungen bei Brandabschnitt-übergreifendem Betrieb</w:t>
      </w:r>
    </w:p>
    <w:p>
      <w:pPr>
        <w:pStyle w:val="FirstParagraph"/>
      </w:pPr>
      <w:r>
        <w:t xml:space="preserve">Zusätzlich zu den Standardanforderungen gelten für den Betrieb über zwei Brandabschnitte: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Begründung</w:t>
            </w:r>
          </w:p>
        </w:tc>
      </w:tr>
      <w:tr>
        <w:tc>
          <w:tcPr/>
          <w:p>
            <w:pPr>
              <w:pStyle w:val="Compact"/>
            </w:pPr>
            <w:r>
              <w:rPr>
                <w:b/>
                <w:bCs/>
              </w:rPr>
              <w:t xml:space="preserve">Latenz &lt; 1 ms (Round-Trip)</w:t>
            </w:r>
          </w:p>
        </w:tc>
        <w:tc>
          <w:tcPr/>
          <w:p>
            <w:pPr>
              <w:pStyle w:val="Compact"/>
            </w:pPr>
            <w:r>
              <w:t xml:space="preserve">S2D schreibt synchron über den Software Storage Bus. Erhöhte Latenz reduziert die I/O-Performance direkt proportional.</w:t>
            </w:r>
          </w:p>
        </w:tc>
      </w:tr>
      <w:tr>
        <w:tc>
          <w:tcPr/>
          <w:p>
            <w:pPr>
              <w:pStyle w:val="Compact"/>
            </w:pPr>
            <w:r>
              <w:rPr>
                <w:b/>
                <w:bCs/>
              </w:rPr>
              <w:t xml:space="preserve">Symmetrische Bandbreite</w:t>
            </w:r>
          </w:p>
        </w:tc>
        <w:tc>
          <w:tcPr/>
          <w:p>
            <w:pPr>
              <w:pStyle w:val="Compact"/>
            </w:pPr>
            <w:r>
              <w:t xml:space="preserve">Die Inter-Site-Verbindung wird zum Engpass für Schreibvorgänge. Gleiche Bandbreite in beide Richtungen ist erforderlich.</w:t>
            </w:r>
          </w:p>
        </w:tc>
      </w:tr>
      <w:tr>
        <w:tc>
          <w:tcPr/>
          <w:p>
            <w:pPr>
              <w:pStyle w:val="Compact"/>
            </w:pPr>
            <w:r>
              <w:rPr>
                <w:b/>
                <w:bCs/>
              </w:rPr>
              <w:t xml:space="preserve">Redundante Verbindung</w:t>
            </w:r>
          </w:p>
        </w:tc>
        <w:tc>
          <w:tcPr/>
          <w:p>
            <w:pPr>
              <w:pStyle w:val="Compact"/>
            </w:pPr>
            <w:r>
              <w:t xml:space="preserve">Einzelne Kabelwege durch Brandschotts sind ein Single Point of Failure. Mindestens 2 unabhängige Pfade empfohlen.</w:t>
            </w:r>
          </w:p>
        </w:tc>
      </w:tr>
      <w:tr>
        <w:tc>
          <w:tcPr/>
          <w:p>
            <w:pPr>
              <w:pStyle w:val="Compact"/>
            </w:pPr>
            <w:r>
              <w:rPr>
                <w:b/>
                <w:bCs/>
              </w:rPr>
              <w:t xml:space="preserve">RDMA-Konsistenz</w:t>
            </w:r>
          </w:p>
        </w:tc>
        <w:tc>
          <w:tcPr/>
          <w:p>
            <w:pPr>
              <w:pStyle w:val="Compact"/>
            </w:pPr>
            <w:hyperlink w:anchor="rdma-remote-direct-memory-access">
              <w:r>
                <w:rPr>
                  <w:rStyle w:val="Hyperlink"/>
                </w:rPr>
                <w:t xml:space="preserve">RDMA</w:t>
              </w:r>
            </w:hyperlink>
            <w:r>
              <w:t xml:space="preserve">-Konfiguration (</w:t>
            </w:r>
            <w:hyperlink w:anchor="iwarp-internet-wide-area-rdma-protocol">
              <w:r>
                <w:rPr>
                  <w:rStyle w:val="Hyperlink"/>
                </w:rPr>
                <w:t xml:space="preserve">iWARP</w:t>
              </w:r>
            </w:hyperlink>
            <w:r>
              <w:t xml:space="preserve">/</w:t>
            </w:r>
            <w:hyperlink w:anchor="roce-rdma-over-converged-ethernet">
              <w:r>
                <w:rPr>
                  <w:rStyle w:val="Hyperlink"/>
                </w:rPr>
                <w:t xml:space="preserve">RoCE</w:t>
              </w:r>
            </w:hyperlink>
            <w:r>
              <w:t xml:space="preserve">) muss auf beiden Seiten identisch sein. RoCE erfordert zusätzliche Switch-Konfiguration (</w:t>
            </w:r>
            <w:hyperlink w:anchor="pfc-priority-flow-control">
              <w:r>
                <w:rPr>
                  <w:rStyle w:val="Hyperlink"/>
                </w:rPr>
                <w:t xml:space="preserve">PFC</w:t>
              </w:r>
            </w:hyperlink>
            <w:r>
              <w:t xml:space="preserve">,</w:t>
            </w:r>
            <w:r>
              <w:t xml:space="preserve"> </w:t>
            </w:r>
            <w:hyperlink w:anchor="ecn-explicit-congestion-notification">
              <w:r>
                <w:rPr>
                  <w:rStyle w:val="Hyperlink"/>
                </w:rPr>
                <w:t xml:space="preserve">ECN</w:t>
              </w:r>
            </w:hyperlink>
            <w:r>
              <w:t xml:space="preserve">).</w:t>
            </w:r>
          </w:p>
        </w:tc>
      </w:tr>
    </w:tbl>
    <w:bookmarkEnd w:id="23"/>
    <w:bookmarkStart w:id="24" w:name="Xcdd5f27154bfc6df0a22953211f830db1b649a9"/>
    <w:p>
      <w:pPr>
        <w:pStyle w:val="Heading2"/>
      </w:pPr>
      <w:r>
        <w:rPr>
          <w:rStyle w:val="SectionNumber"/>
        </w:rPr>
        <w:t xml:space="preserve">5.3</w:t>
      </w:r>
      <w:r>
        <w:tab/>
      </w:r>
      <w:r>
        <w:t xml:space="preserve">Physische Kabelführung durch Brandabschnitte</w:t>
      </w:r>
    </w:p>
    <w:p>
      <w:pPr>
        <w:pStyle w:val="FirstParagraph"/>
      </w:pPr>
      <w:r>
        <w:t xml:space="preserve">Die Kabelführung durch Brandschottdurchführungen muss den geltenden Brandschutzvorschriften entsprechen:</w:t>
      </w:r>
    </w:p>
    <w:p>
      <w:pPr>
        <w:pStyle w:val="Compact"/>
        <w:numPr>
          <w:ilvl w:val="0"/>
          <w:numId w:val="1002"/>
        </w:numPr>
      </w:pPr>
      <w:r>
        <w:t xml:space="preserve">Zertifizierte</w:t>
      </w:r>
      <w:r>
        <w:t xml:space="preserve"> </w:t>
      </w:r>
      <w:hyperlink w:anchor="brandschott--brandschottdurchführung">
        <w:r>
          <w:rPr>
            <w:rStyle w:val="Hyperlink"/>
          </w:rPr>
          <w:t xml:space="preserve">Brandschottdurchführungen</w:t>
        </w:r>
      </w:hyperlink>
      <w:r>
        <w:t xml:space="preserve"> </w:t>
      </w:r>
      <w:r>
        <w:t xml:space="preserve">für</w:t>
      </w:r>
      <w:r>
        <w:t xml:space="preserve"> </w:t>
      </w:r>
      <w:hyperlink w:anchor="lwl-lichtwellenleiter">
        <w:r>
          <w:rPr>
            <w:rStyle w:val="Hyperlink"/>
          </w:rPr>
          <w:t xml:space="preserve">LWL</w:t>
        </w:r>
      </w:hyperlink>
      <w:r>
        <w:t xml:space="preserve">-/Kupferkabel</w:t>
      </w:r>
    </w:p>
    <w:p>
      <w:pPr>
        <w:pStyle w:val="Compact"/>
        <w:numPr>
          <w:ilvl w:val="0"/>
          <w:numId w:val="1002"/>
        </w:numPr>
      </w:pPr>
      <w:r>
        <w:t xml:space="preserve">Dokumentation der Durchführungen gemäß Bauordnung</w:t>
      </w:r>
    </w:p>
    <w:p>
      <w:pPr>
        <w:pStyle w:val="Compact"/>
        <w:numPr>
          <w:ilvl w:val="0"/>
          <w:numId w:val="1002"/>
        </w:numPr>
      </w:pPr>
      <w:r>
        <w:t xml:space="preserve">Regelmäßige Prüfung der Brandschottintegrität</w:t>
      </w:r>
    </w:p>
    <w:bookmarkEnd w:id="24"/>
    <w:bookmarkEnd w:id="25"/>
    <w:bookmarkStart w:id="29" w:name="resilienz-und-fehlertoleranz"/>
    <w:p>
      <w:pPr>
        <w:pStyle w:val="Heading1"/>
      </w:pPr>
      <w:r>
        <w:rPr>
          <w:rStyle w:val="SectionNumber"/>
        </w:rPr>
        <w:t xml:space="preserve">6</w:t>
      </w:r>
      <w:r>
        <w:tab/>
      </w:r>
      <w:r>
        <w:t xml:space="preserve">Resilienz und Fehlertoleranz</w:t>
      </w:r>
    </w:p>
    <w:bookmarkStart w:id="26" w:name="resilienz-optionen"/>
    <w:p>
      <w:pPr>
        <w:pStyle w:val="Heading2"/>
      </w:pPr>
      <w:r>
        <w:rPr>
          <w:rStyle w:val="SectionNumber"/>
        </w:rPr>
        <w:t xml:space="preserve">6.1</w:t>
      </w:r>
      <w:r>
        <w:tab/>
      </w:r>
      <w:r>
        <w:t xml:space="preserve">Resilienz-Optionen</w:t>
      </w:r>
    </w:p>
    <w:p>
      <w:pPr>
        <w:pStyle w:val="FirstParagraph"/>
      </w:pPr>
      <w:r>
        <w:t xml:space="preserve">Die folgende Tabelle zeigt die verfügbaren Resilienz-Typen und ihre Eigenschaften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Resilienz-Typ</w:t>
            </w:r>
          </w:p>
        </w:tc>
        <w:tc>
          <w:tcPr/>
          <w:p>
            <w:pPr>
              <w:pStyle w:val="Compact"/>
            </w:pPr>
            <w:r>
              <w:t xml:space="preserve">Tolerierte Ausfälle</w:t>
            </w:r>
          </w:p>
        </w:tc>
        <w:tc>
          <w:tcPr/>
          <w:p>
            <w:pPr>
              <w:pStyle w:val="Compact"/>
            </w:pPr>
            <w:r>
              <w:t xml:space="preserve">Speichereffizienz</w:t>
            </w:r>
          </w:p>
        </w:tc>
        <w:tc>
          <w:tcPr/>
          <w:p>
            <w:pPr>
              <w:pStyle w:val="Compact"/>
            </w:pPr>
            <w:r>
              <w:t xml:space="preserve">Min. Fault Domains</w:t>
            </w:r>
          </w:p>
        </w:tc>
      </w:tr>
      <w:tr>
        <w:tc>
          <w:tcPr/>
          <w:p>
            <w:pPr>
              <w:pStyle w:val="Compact"/>
            </w:pPr>
            <w:r>
              <w:t xml:space="preserve">Two-way Mirror</w:t>
            </w:r>
          </w:p>
        </w:tc>
        <w:tc>
          <w:tcPr/>
          <w:p>
            <w:pPr>
              <w:pStyle w:val="Compact"/>
            </w:pPr>
            <w:r>
              <w:t xml:space="preserve">1</w:t>
            </w:r>
          </w:p>
        </w:tc>
        <w:tc>
          <w:tcPr/>
          <w:p>
            <w:pPr>
              <w:pStyle w:val="Compact"/>
            </w:pPr>
            <w:r>
              <w:t xml:space="preserve">50,0 %</w:t>
            </w:r>
          </w:p>
        </w:tc>
        <w:tc>
          <w:tcPr/>
          <w:p>
            <w:pPr>
              <w:pStyle w:val="Compact"/>
            </w:pPr>
            <w:r>
              <w:t xml:space="preserve">2</w:t>
            </w:r>
          </w:p>
        </w:tc>
      </w:tr>
      <w:tr>
        <w:tc>
          <w:tcPr/>
          <w:p>
            <w:pPr>
              <w:pStyle w:val="Compact"/>
            </w:pPr>
            <w:hyperlink w:anchor="three-way-mirror">
              <w:r>
                <w:rPr>
                  <w:rStyle w:val="Hyperlink"/>
                  <w:b/>
                  <w:bCs/>
                </w:rPr>
                <w:t xml:space="preserve">Three-way Mirror</w:t>
              </w:r>
            </w:hyperlink>
          </w:p>
        </w:tc>
        <w:tc>
          <w:tcPr/>
          <w:p>
            <w:pPr>
              <w:pStyle w:val="Compact"/>
            </w:pPr>
            <w:r>
              <w:rPr>
                <w:b/>
                <w:bCs/>
              </w:rPr>
              <w:t xml:space="preserve">2</w:t>
            </w:r>
          </w:p>
        </w:tc>
        <w:tc>
          <w:tcPr/>
          <w:p>
            <w:pPr>
              <w:pStyle w:val="Compact"/>
            </w:pPr>
            <w:r>
              <w:rPr>
                <w:b/>
                <w:bCs/>
              </w:rPr>
              <w:t xml:space="preserve">33,3 %</w:t>
            </w:r>
          </w:p>
        </w:tc>
        <w:tc>
          <w:tcPr/>
          <w:p>
            <w:pPr>
              <w:pStyle w:val="Compact"/>
            </w:pPr>
            <w:r>
              <w:rPr>
                <w:b/>
                <w:bCs/>
              </w:rPr>
              <w:t xml:space="preserve">3</w:t>
            </w:r>
          </w:p>
        </w:tc>
      </w:tr>
      <w:tr>
        <w:tc>
          <w:tcPr/>
          <w:p>
            <w:pPr>
              <w:pStyle w:val="Compact"/>
            </w:pPr>
            <w:hyperlink w:anchor="dual-parity">
              <w:r>
                <w:rPr>
                  <w:rStyle w:val="Hyperlink"/>
                </w:rPr>
                <w:t xml:space="preserve">Dual Parity</w:t>
              </w:r>
            </w:hyperlink>
          </w:p>
        </w:tc>
        <w:tc>
          <w:tcPr/>
          <w:p>
            <w:pPr>
              <w:pStyle w:val="Compact"/>
            </w:pPr>
            <w:r>
              <w:t xml:space="preserve">2</w:t>
            </w:r>
          </w:p>
        </w:tc>
        <w:tc>
          <w:tcPr/>
          <w:p>
            <w:pPr>
              <w:pStyle w:val="Compact"/>
            </w:pPr>
            <w:r>
              <w:t xml:space="preserve">50,0–80,0 %</w:t>
            </w:r>
          </w:p>
        </w:tc>
        <w:tc>
          <w:tcPr/>
          <w:p>
            <w:pPr>
              <w:pStyle w:val="Compact"/>
            </w:pPr>
            <w:r>
              <w:t xml:space="preserve">4</w:t>
            </w:r>
          </w:p>
        </w:tc>
      </w:tr>
      <w:tr>
        <w:tc>
          <w:tcPr/>
          <w:p>
            <w:pPr>
              <w:pStyle w:val="Compact"/>
            </w:pPr>
            <w:hyperlink w:anchor="mirror-accelerated-parity">
              <w:r>
                <w:rPr>
                  <w:rStyle w:val="Hyperlink"/>
                </w:rPr>
                <w:t xml:space="preserve">Mixed (Mirror-Accelerated Parity)</w:t>
              </w:r>
            </w:hyperlink>
          </w:p>
        </w:tc>
        <w:tc>
          <w:tcPr/>
          <w:p>
            <w:pPr>
              <w:pStyle w:val="Compact"/>
            </w:pPr>
            <w:r>
              <w:t xml:space="preserve">2</w:t>
            </w:r>
          </w:p>
        </w:tc>
        <w:tc>
          <w:tcPr/>
          <w:p>
            <w:pPr>
              <w:pStyle w:val="Compact"/>
            </w:pPr>
            <w:r>
              <w:t xml:space="preserve">33,3–80,0 %</w:t>
            </w:r>
          </w:p>
        </w:tc>
        <w:tc>
          <w:tcPr/>
          <w:p>
            <w:pPr>
              <w:pStyle w:val="Compact"/>
            </w:pPr>
            <w:r>
              <w:t xml:space="preserve">4</w:t>
            </w:r>
          </w:p>
        </w:tc>
      </w:tr>
    </w:tbl>
    <w:bookmarkEnd w:id="26"/>
    <w:bookmarkStart w:id="27" w:name="Xf5ecad23ad974af1a8f364e9df3db60ed25bd7a"/>
    <w:p>
      <w:pPr>
        <w:pStyle w:val="Heading2"/>
      </w:pPr>
      <w:r>
        <w:rPr>
          <w:rStyle w:val="SectionNumber"/>
        </w:rPr>
        <w:t xml:space="preserve">6.2</w:t>
      </w:r>
      <w:r>
        <w:tab/>
      </w:r>
      <w:r>
        <w:t xml:space="preserve">Empfehlung für 6-Node-Cluster über Brandabschnitte</w:t>
      </w:r>
    </w:p>
    <w:p>
      <w:pPr>
        <w:pStyle w:val="FirstParagraph"/>
      </w:pPr>
      <w:r>
        <w:t xml:space="preserve">Für den Betrieb über zwei Brandabschnitte wird</w:t>
      </w:r>
      <w:r>
        <w:t xml:space="preserve"> </w:t>
      </w:r>
      <w:r>
        <w:rPr>
          <w:b/>
          <w:bCs/>
        </w:rPr>
        <w:t xml:space="preserve">Three-way Mirror</w:t>
      </w:r>
      <w:r>
        <w:t xml:space="preserve"> </w:t>
      </w:r>
      <w:r>
        <w:t xml:space="preserve">empfohlen: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Ausfallszenario</w:t>
            </w:r>
          </w:p>
        </w:tc>
        <w:tc>
          <w:tcPr/>
          <w:p>
            <w:pPr>
              <w:pStyle w:val="Compact"/>
            </w:pPr>
            <w:r>
              <w:t xml:space="preserve">Three-way Mirror</w:t>
            </w:r>
          </w:p>
        </w:tc>
        <w:tc>
          <w:tcPr/>
          <w:p>
            <w:pPr>
              <w:pStyle w:val="Compact"/>
            </w:pPr>
            <w:r>
              <w:t xml:space="preserve">Ergebnis</w:t>
            </w:r>
          </w:p>
        </w:tc>
      </w:tr>
      <w:tr>
        <w:tc>
          <w:tcPr/>
          <w:p>
            <w:pPr>
              <w:pStyle w:val="Compact"/>
            </w:pPr>
            <w:r>
              <w:t xml:space="preserve">1 Laufwerk ausgefallen</w:t>
            </w:r>
          </w:p>
        </w:tc>
        <w:tc>
          <w:tcPr/>
          <w:p>
            <w:pPr>
              <w:pStyle w:val="Compact"/>
            </w:pPr>
            <w:r>
              <w:t xml:space="preserve">Toleriert</w:t>
            </w:r>
          </w:p>
        </w:tc>
        <w:tc>
          <w:tcPr/>
          <w:p>
            <w:pPr>
              <w:pStyle w:val="Compact"/>
            </w:pPr>
            <w:r>
              <w:t xml:space="preserve">Cluster und Volumes online</w:t>
            </w:r>
          </w:p>
        </w:tc>
      </w:tr>
      <w:tr>
        <w:tc>
          <w:tcPr/>
          <w:p>
            <w:pPr>
              <w:pStyle w:val="Compact"/>
            </w:pPr>
            <w:r>
              <w:t xml:space="preserve">1 Server ausgefallen</w:t>
            </w:r>
          </w:p>
        </w:tc>
        <w:tc>
          <w:tcPr/>
          <w:p>
            <w:pPr>
              <w:pStyle w:val="Compact"/>
            </w:pPr>
            <w:r>
              <w:t xml:space="preserve">Toleriert</w:t>
            </w:r>
          </w:p>
        </w:tc>
        <w:tc>
          <w:tcPr/>
          <w:p>
            <w:pPr>
              <w:pStyle w:val="Compact"/>
            </w:pPr>
            <w:r>
              <w:t xml:space="preserve">Cluster und Volumes online</w:t>
            </w:r>
          </w:p>
        </w:tc>
      </w:tr>
      <w:tr>
        <w:tc>
          <w:tcPr/>
          <w:p>
            <w:pPr>
              <w:pStyle w:val="Compact"/>
            </w:pPr>
            <w:r>
              <w:t xml:space="preserve">1 Server + 1 Laufwerk ausgefallen</w:t>
            </w:r>
          </w:p>
        </w:tc>
        <w:tc>
          <w:tcPr/>
          <w:p>
            <w:pPr>
              <w:pStyle w:val="Compact"/>
            </w:pPr>
            <w:r>
              <w:t xml:space="preserve">Toleriert</w:t>
            </w:r>
          </w:p>
        </w:tc>
        <w:tc>
          <w:tcPr/>
          <w:p>
            <w:pPr>
              <w:pStyle w:val="Compact"/>
            </w:pPr>
            <w:r>
              <w:t xml:space="preserve">Cluster und Volumes online</w:t>
            </w:r>
          </w:p>
        </w:tc>
      </w:tr>
      <w:tr>
        <w:tc>
          <w:tcPr/>
          <w:p>
            <w:pPr>
              <w:pStyle w:val="Compact"/>
            </w:pPr>
            <w:r>
              <w:t xml:space="preserve">2 Server ausgefallen (gleicher Brandabschnitt)</w:t>
            </w:r>
          </w:p>
        </w:tc>
        <w:tc>
          <w:tcPr/>
          <w:p>
            <w:pPr>
              <w:pStyle w:val="Compact"/>
            </w:pPr>
            <w:r>
              <w:t xml:space="preserve">Toleriert</w:t>
            </w:r>
          </w:p>
        </w:tc>
        <w:tc>
          <w:tcPr/>
          <w:p>
            <w:pPr>
              <w:pStyle w:val="Compact"/>
            </w:pPr>
            <w:r>
              <w:t xml:space="preserve">Cluster und Volumes online</w:t>
            </w:r>
          </w:p>
        </w:tc>
      </w:tr>
      <w:tr>
        <w:tc>
          <w:tcPr/>
          <w:p>
            <w:pPr>
              <w:pStyle w:val="Compact"/>
            </w:pPr>
            <w:r>
              <w:t xml:space="preserve">2 Server ausgefallen (verschiedene Brandabschnitte)</w:t>
            </w:r>
          </w:p>
        </w:tc>
        <w:tc>
          <w:tcPr/>
          <w:p>
            <w:pPr>
              <w:pStyle w:val="Compact"/>
            </w:pPr>
            <w:r>
              <w:t xml:space="preserve">Toleriert</w:t>
            </w:r>
          </w:p>
        </w:tc>
        <w:tc>
          <w:tcPr/>
          <w:p>
            <w:pPr>
              <w:pStyle w:val="Compact"/>
            </w:pPr>
            <w:r>
              <w:t xml:space="preserve">Cluster und Volumes online</w:t>
            </w:r>
          </w:p>
        </w:tc>
      </w:tr>
      <w:tr>
        <w:tc>
          <w:tcPr/>
          <w:p>
            <w:pPr>
              <w:pStyle w:val="Compact"/>
            </w:pPr>
            <w:r>
              <w:t xml:space="preserve">3 Server ausgefallen (ganzer Brandabschnitt)</w:t>
            </w:r>
          </w:p>
        </w:tc>
        <w:tc>
          <w:tcPr/>
          <w:p>
            <w:pPr>
              <w:pStyle w:val="Compact"/>
            </w:pPr>
            <w:r>
              <w:rPr>
                <w:b/>
                <w:bCs/>
              </w:rPr>
              <w:t xml:space="preserve">Kritisch</w:t>
            </w:r>
          </w:p>
        </w:tc>
        <w:tc>
          <w:tcPr/>
          <w:p>
            <w:pPr>
              <w:pStyle w:val="Compact"/>
            </w:pPr>
            <w:r>
              <w:t xml:space="preserve">Abhängig von Quorum und Pool Quorum</w:t>
            </w:r>
          </w:p>
        </w:tc>
      </w:tr>
    </w:tbl>
    <w:p>
      <w:pPr>
        <w:pStyle w:val="BlockText"/>
      </w:pPr>
      <w:r>
        <w:rPr>
          <w:b/>
          <w:bCs/>
        </w:rPr>
        <w:t xml:space="preserve">Microsoft-Dokumentation</w:t>
      </w:r>
      <w:r>
        <w:t xml:space="preserve">: „Three-way mirroring can safely tolerate at least two hardware problems (drive or server) at a time.” [4] — „Storage Spaces Direct can’t handle more than two nodes down.” [5]</w:t>
      </w:r>
    </w:p>
    <w:bookmarkEnd w:id="27"/>
    <w:bookmarkStart w:id="28" w:name="X322ef53aa7f1323267322ea910d5e675e88c0e3"/>
    <w:p>
      <w:pPr>
        <w:pStyle w:val="Heading2"/>
      </w:pPr>
      <w:r>
        <w:rPr>
          <w:rStyle w:val="SectionNumber"/>
        </w:rPr>
        <w:t xml:space="preserve">6.3</w:t>
      </w:r>
      <w:r>
        <w:tab/>
      </w:r>
      <w:r>
        <w:t xml:space="preserve">Auswirkung bei Verlust eines Brandabschnitts</w:t>
      </w:r>
    </w:p>
    <w:p>
      <w:pPr>
        <w:pStyle w:val="FirstParagraph"/>
      </w:pPr>
      <w:r>
        <w:t xml:space="preserve">Wenn ein kompletter Brandabschnitt ausfällt (3 von 6 Knoten), gelten folgende Einschränkungen:</w:t>
      </w:r>
    </w:p>
    <w:p>
      <w:pPr>
        <w:pStyle w:val="BodyText"/>
      </w:pPr>
      <w:hyperlink w:anchor="quorum--cluster-quorum">
        <w:r>
          <w:rPr>
            <w:rStyle w:val="Hyperlink"/>
            <w:b/>
            <w:bCs/>
          </w:rPr>
          <w:t xml:space="preserve">Cluster Quorum</w:t>
        </w:r>
      </w:hyperlink>
      <w:r>
        <w:t xml:space="preserve">: Bei 6 Knoten (ungerade Stimmenzahl nach</w:t>
      </w:r>
      <w:r>
        <w:t xml:space="preserve"> </w:t>
      </w:r>
      <w:hyperlink w:anchor="dynamic-quorum">
        <w:r>
          <w:rPr>
            <w:rStyle w:val="Hyperlink"/>
          </w:rPr>
          <w:t xml:space="preserve">Dynamic Quorum</w:t>
        </w:r>
      </w:hyperlink>
      <w:r>
        <w:t xml:space="preserve">) überlebt der Cluster den Verlust von 3 Knoten grundsätzlich, da die verbleibenden 3 Knoten die Mehrheit bilden können [5].</w:t>
      </w:r>
    </w:p>
    <w:p>
      <w:pPr>
        <w:pStyle w:val="BodyText"/>
      </w:pPr>
      <w:hyperlink w:anchor="pool-quorum">
        <w:r>
          <w:rPr>
            <w:rStyle w:val="Hyperlink"/>
            <w:b/>
            <w:bCs/>
          </w:rPr>
          <w:t xml:space="preserve">Pool Quorum</w:t>
        </w:r>
      </w:hyperlink>
      <w:r>
        <w:t xml:space="preserve">: Die verbleibende Hälfte der Laufwerke muss zusammen mit dem Pool Resource Owner die Mehrheit der Stimmen haben. Bei symmetrischer Laufwerksverteilung (gleiche Anzahl pro Knoten) ist dies grenzwertig [5].</w:t>
      </w:r>
    </w:p>
    <w:p>
      <w:pPr>
        <w:pStyle w:val="BlockText"/>
      </w:pPr>
      <w:r>
        <w:rPr>
          <w:b/>
          <w:bCs/>
        </w:rPr>
        <w:t xml:space="preserve">Risiko</w:t>
      </w:r>
      <w:r>
        <w:t xml:space="preserve">: Der gleichzeitige Ausfall aller 3 Server eines Brandabschnitts überschreitet die von S2D unterstützte maximale Ausfalltoleranz von 2 Knoten. Volumes können offline gehen.</w:t>
      </w:r>
    </w:p>
    <w:bookmarkEnd w:id="28"/>
    <w:bookmarkEnd w:id="29"/>
    <w:bookmarkStart w:id="34" w:name="quorum-konfiguration"/>
    <w:p>
      <w:pPr>
        <w:pStyle w:val="Heading1"/>
      </w:pPr>
      <w:r>
        <w:rPr>
          <w:rStyle w:val="SectionNumber"/>
        </w:rPr>
        <w:t xml:space="preserve">7</w:t>
      </w:r>
      <w:r>
        <w:tab/>
      </w:r>
      <w:r>
        <w:t xml:space="preserve">Quorum-Konfiguration</w:t>
      </w:r>
    </w:p>
    <w:bookmarkStart w:id="30" w:name="cluster-quorum-bei-6-knoten"/>
    <w:p>
      <w:pPr>
        <w:pStyle w:val="Heading2"/>
      </w:pPr>
      <w:r>
        <w:rPr>
          <w:rStyle w:val="SectionNumber"/>
        </w:rPr>
        <w:t xml:space="preserve">7.1</w:t>
      </w:r>
      <w:r>
        <w:tab/>
      </w:r>
      <w:r>
        <w:t xml:space="preserve">Cluster Quorum bei 6 Knoten</w:t>
      </w:r>
    </w:p>
    <w:p>
      <w:pPr>
        <w:pStyle w:val="FirstParagraph"/>
      </w:pPr>
      <w:r>
        <w:t xml:space="preserve">Laut Microsoft-Dokumentation gilt für 5 oder mehr Knoten [5]:</w:t>
      </w:r>
    </w:p>
    <w:p>
      <w:pPr>
        <w:pStyle w:val="BlockText"/>
      </w:pPr>
      <w:r>
        <w:t xml:space="preserve">„Five nodes and beyond — All nodes vote, or all but one vote, whatever makes the total odd. Storage Spaces Direct can’t handle more than two nodes down anyway, so at this point, no witness is needed or useful.”</w:t>
      </w:r>
    </w:p>
    <w:p>
      <w:pPr>
        <w:pStyle w:val="FirstParagraph"/>
      </w:pPr>
      <w:r>
        <w:rPr>
          <w:b/>
          <w:bCs/>
        </w:rPr>
        <w:t xml:space="preserve">Für den Betrieb über zwei Brandabschnitte wird dennoch ein Witness dringend empfohlen</w:t>
      </w:r>
      <w:r>
        <w:t xml:space="preserve">, um bei einem exakten 3:3-Split eine deterministische Entscheidung zu erzwingen.</w:t>
      </w:r>
    </w:p>
    <w:bookmarkEnd w:id="30"/>
    <w:bookmarkStart w:id="32" w:name="witness-optionen-on-premises"/>
    <w:p>
      <w:pPr>
        <w:pStyle w:val="Heading2"/>
      </w:pPr>
      <w:r>
        <w:rPr>
          <w:rStyle w:val="SectionNumber"/>
        </w:rPr>
        <w:t xml:space="preserve">7.2</w:t>
      </w:r>
      <w:r>
        <w:tab/>
      </w:r>
      <w:r>
        <w:t xml:space="preserve">Witness-Optionen (On-Premises)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Witness-Typ</w:t>
            </w:r>
          </w:p>
        </w:tc>
        <w:tc>
          <w:tcPr/>
          <w:p>
            <w:pPr>
              <w:pStyle w:val="Compact"/>
            </w:pPr>
            <w:r>
              <w:t xml:space="preserve">Beschreibung</w:t>
            </w:r>
          </w:p>
        </w:tc>
        <w:tc>
          <w:tcPr/>
          <w:p>
            <w:pPr>
              <w:pStyle w:val="Compact"/>
            </w:pPr>
            <w:r>
              <w:t xml:space="preserve">Eignung</w:t>
            </w:r>
          </w:p>
        </w:tc>
      </w:tr>
      <w:tr>
        <w:tc>
          <w:tcPr/>
          <w:p>
            <w:pPr>
              <w:pStyle w:val="Compact"/>
            </w:pPr>
            <w:hyperlink w:anchor="file-share-witness">
              <w:r>
                <w:rPr>
                  <w:rStyle w:val="Hyperlink"/>
                  <w:b/>
                  <w:bCs/>
                </w:rPr>
                <w:t xml:space="preserve">File Share Witness</w:t>
              </w:r>
            </w:hyperlink>
          </w:p>
        </w:tc>
        <w:tc>
          <w:tcPr/>
          <w:p>
            <w:pPr>
              <w:pStyle w:val="Compact"/>
            </w:pPr>
            <w:hyperlink w:anchor="smb-server-message-block">
              <w:r>
                <w:rPr>
                  <w:rStyle w:val="Hyperlink"/>
                </w:rPr>
                <w:t xml:space="preserve">SMB</w:t>
              </w:r>
            </w:hyperlink>
            <w:r>
              <w:t xml:space="preserve">-Freigabe auf einem separaten Dateiserver</w:t>
            </w:r>
          </w:p>
        </w:tc>
        <w:tc>
          <w:tcPr/>
          <w:p>
            <w:pPr>
              <w:pStyle w:val="Compact"/>
            </w:pPr>
            <w:r>
              <w:rPr>
                <w:b/>
                <w:bCs/>
              </w:rPr>
              <w:t xml:space="preserve">Empfohlen</w:t>
            </w:r>
            <w:r>
              <w:t xml:space="preserve"> </w:t>
            </w:r>
            <w:r>
              <w:t xml:space="preserve">— rein on-premises</w:t>
            </w:r>
          </w:p>
        </w:tc>
      </w:tr>
      <w:tr>
        <w:tc>
          <w:tcPr/>
          <w:p>
            <w:pPr>
              <w:pStyle w:val="Compact"/>
            </w:pPr>
            <w:hyperlink w:anchor="cloud-witness">
              <w:r>
                <w:rPr>
                  <w:rStyle w:val="Hyperlink"/>
                </w:rPr>
                <w:t xml:space="preserve">Cloud Witness</w:t>
              </w:r>
            </w:hyperlink>
          </w:p>
        </w:tc>
        <w:tc>
          <w:tcPr/>
          <w:p>
            <w:pPr>
              <w:pStyle w:val="Compact"/>
            </w:pPr>
            <w:r>
              <w:t xml:space="preserve">Azure Blob Storage</w:t>
            </w:r>
          </w:p>
        </w:tc>
        <w:tc>
          <w:tcPr/>
          <w:p>
            <w:pPr>
              <w:pStyle w:val="Compact"/>
            </w:pPr>
            <w:r>
              <w:t xml:space="preserve">Erfordert Internetverbindung zu Azure</w:t>
            </w:r>
          </w:p>
        </w:tc>
      </w:tr>
      <w:tr>
        <w:tc>
          <w:tcPr/>
          <w:p>
            <w:pPr>
              <w:pStyle w:val="Compact"/>
            </w:pPr>
            <w:hyperlink w:anchor="disk-witness">
              <w:r>
                <w:rPr>
                  <w:rStyle w:val="Hyperlink"/>
                </w:rPr>
                <w:t xml:space="preserve">Disk Witness</w:t>
              </w:r>
            </w:hyperlink>
          </w:p>
        </w:tc>
        <w:tc>
          <w:tcPr/>
          <w:p>
            <w:pPr>
              <w:pStyle w:val="Compact"/>
            </w:pPr>
            <w:r>
              <w:t xml:space="preserve">Clustered Disk</w:t>
            </w:r>
          </w:p>
        </w:tc>
        <w:tc>
          <w:tcPr/>
          <w:p>
            <w:pPr>
              <w:pStyle w:val="Compact"/>
            </w:pPr>
            <w:r>
              <w:rPr>
                <w:b/>
                <w:bCs/>
              </w:rPr>
              <w:t xml:space="preserve">Nicht unterstützt</w:t>
            </w:r>
            <w:r>
              <w:t xml:space="preserve"> </w:t>
            </w:r>
            <w:r>
              <w:t xml:space="preserve">bei S2D [5]</w:t>
            </w:r>
          </w:p>
        </w:tc>
      </w:tr>
    </w:tbl>
    <w:bookmarkStart w:id="31" w:name="Xa9dda7054a0ae491b2233ac1e090dac01e1bd8e"/>
    <w:p>
      <w:pPr>
        <w:pStyle w:val="Heading3"/>
      </w:pPr>
      <w:r>
        <w:rPr>
          <w:rStyle w:val="SectionNumber"/>
        </w:rPr>
        <w:t xml:space="preserve">7.2.1</w:t>
      </w:r>
      <w:r>
        <w:tab/>
      </w:r>
      <w:r>
        <w:t xml:space="preserve">On-Premises File Share Witness einrichten</w:t>
      </w:r>
    </w:p>
    <w:p>
      <w:pPr>
        <w:pStyle w:val="FirstParagraph"/>
      </w:pPr>
      <w:r>
        <w:t xml:space="preserve">Der File Share Witness sollte an einem</w:t>
      </w:r>
      <w:r>
        <w:t xml:space="preserve"> </w:t>
      </w:r>
      <w:r>
        <w:rPr>
          <w:b/>
          <w:bCs/>
        </w:rPr>
        <w:t xml:space="preserve">dritten physischen Standort</w:t>
      </w:r>
      <w:r>
        <w:t xml:space="preserve"> </w:t>
      </w:r>
      <w:r>
        <w:t xml:space="preserve">platziert werden — also weder in Brandabschnitt A noch in Brandabschnitt B:</w:t>
      </w:r>
    </w:p>
    <w:p>
      <w:pPr>
        <w:pStyle w:val="SourceCode"/>
        <w:keepLines/>
        <w:keepNext/>
      </w:pPr>
      <w:r>
        <w:rPr>
          <w:rStyle w:val="VerbatimChar"/>
        </w:rPr>
        <w:t xml:space="preserve"># File Share Witness konfigurieren</w:t>
      </w:r>
    </w:p>
    <w:p>
      <w:pPr>
        <w:pStyle w:val="SourceCode"/>
        <w:keepLines/>
        <w:keepNext/>
      </w:pPr>
      <w:r>
        <w:rPr>
          <w:rStyle w:val="VerbatimChar"/>
        </w:rPr>
        <w:t xml:space="preserve"># Der Dateiserver muss AUSSERHALB beider Brandabschnitte stehen</w:t>
      </w:r>
    </w:p>
    <w:p>
      <w:pPr>
        <w:pStyle w:val="SourceCode"/>
        <w:keepLines/>
        <w:keepNext/>
      </w:pPr>
      <w:r>
        <w:rPr>
          <w:rStyle w:val="VerbatimChar"/>
        </w:rPr>
        <w:t xml:space="preserve">Set-ClusterQuorum -Cluster "S2DCluster" `</w:t>
      </w:r>
    </w:p>
    <w:p>
      <w:pPr>
        <w:pStyle w:val="SourceCode"/>
        <w:keepLines/>
      </w:pPr>
      <w:r>
        <w:rPr>
          <w:rStyle w:val="VerbatimChar"/>
        </w:rPr>
        <w:t xml:space="preserve">    -FileShareWitness "\\FileServer03\ClusterWitness$"</w:t>
      </w:r>
    </w:p>
    <w:p>
      <w:pPr>
        <w:pStyle w:val="BlockText"/>
      </w:pPr>
      <w:r>
        <w:rPr>
          <w:b/>
          <w:bCs/>
        </w:rPr>
        <w:t xml:space="preserve">Kritisch</w:t>
      </w:r>
      <w:r>
        <w:t xml:space="preserve">: Befindet sich der File Share Witness in einem der beiden Brandabschnitte, geht bei dessen Ausfall sowohl die Hälfte der Knoten als auch der Witness verloren — ein Split-Brain-Szenario wird wahrscheinlich.</w:t>
      </w:r>
    </w:p>
    <w:bookmarkEnd w:id="31"/>
    <w:bookmarkEnd w:id="32"/>
    <w:bookmarkStart w:id="33" w:name="quorum-empfehlung"/>
    <w:p>
      <w:pPr>
        <w:pStyle w:val="Heading2"/>
      </w:pPr>
      <w:r>
        <w:rPr>
          <w:rStyle w:val="SectionNumber"/>
        </w:rPr>
        <w:t xml:space="preserve">7.3</w:t>
      </w:r>
      <w:r>
        <w:tab/>
      </w:r>
      <w:r>
        <w:t xml:space="preserve">Quorum-Empfehlung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Empfehlung</w:t>
            </w:r>
          </w:p>
        </w:tc>
      </w:tr>
      <w:tr>
        <w:tc>
          <w:tcPr/>
          <w:p>
            <w:pPr>
              <w:pStyle w:val="Compact"/>
            </w:pPr>
            <w:r>
              <w:t xml:space="preserve">Witness-Typ</w:t>
            </w:r>
          </w:p>
        </w:tc>
        <w:tc>
          <w:tcPr/>
          <w:p>
            <w:pPr>
              <w:pStyle w:val="Compact"/>
            </w:pPr>
            <w:r>
              <w:t xml:space="preserve">File Share Witness (on-premises)</w:t>
            </w:r>
          </w:p>
        </w:tc>
      </w:tr>
      <w:tr>
        <w:tc>
          <w:tcPr/>
          <w:p>
            <w:pPr>
              <w:pStyle w:val="Compact"/>
            </w:pPr>
            <w:r>
              <w:t xml:space="preserve">Standort</w:t>
            </w:r>
          </w:p>
        </w:tc>
        <w:tc>
          <w:tcPr/>
          <w:p>
            <w:pPr>
              <w:pStyle w:val="Compact"/>
            </w:pPr>
            <w:r>
              <w:t xml:space="preserve">Dritter Brandabschnitt oder separater Netzwerkbereich</w:t>
            </w:r>
          </w:p>
        </w:tc>
      </w:tr>
      <w:tr>
        <w:tc>
          <w:tcPr/>
          <w:p>
            <w:pPr>
              <w:pStyle w:val="Compact"/>
            </w:pPr>
            <w:r>
              <w:t xml:space="preserve">Dateiserver</w:t>
            </w:r>
          </w:p>
        </w:tc>
        <w:tc>
          <w:tcPr/>
          <w:p>
            <w:pPr>
              <w:pStyle w:val="Compact"/>
            </w:pPr>
            <w:r>
              <w:t xml:space="preserve">Dedizierter Dateiserver, kein S2D-Clustermitglied</w:t>
            </w:r>
          </w:p>
        </w:tc>
      </w:tr>
      <w:tr>
        <w:tc>
          <w:tcPr/>
          <w:p>
            <w:pPr>
              <w:pStyle w:val="Compact"/>
            </w:pPr>
            <w:r>
              <w:t xml:space="preserve">Redundanz</w:t>
            </w:r>
          </w:p>
        </w:tc>
        <w:tc>
          <w:tcPr/>
          <w:p>
            <w:pPr>
              <w:pStyle w:val="Compact"/>
            </w:pPr>
            <w:r>
              <w:t xml:space="preserve">Dateiserver sollte selbst hochverfügbar sein</w:t>
            </w:r>
          </w:p>
        </w:tc>
      </w:tr>
    </w:tbl>
    <w:bookmarkEnd w:id="33"/>
    <w:bookmarkEnd w:id="34"/>
    <w:bookmarkStart w:id="37" w:name="architekturübersicht"/>
    <w:p>
      <w:pPr>
        <w:pStyle w:val="Heading1"/>
      </w:pPr>
      <w:r>
        <w:rPr>
          <w:rStyle w:val="SectionNumber"/>
        </w:rPr>
        <w:t xml:space="preserve">8</w:t>
      </w:r>
      <w:r>
        <w:tab/>
      </w:r>
      <w:r>
        <w:t xml:space="preserve">Architekturübersicht</w:t>
      </w:r>
    </w:p>
    <w:bookmarkStart w:id="35" w:name="physische-topologie"/>
    <w:p>
      <w:pPr>
        <w:pStyle w:val="Heading2"/>
      </w:pPr>
      <w:r>
        <w:rPr>
          <w:rStyle w:val="SectionNumber"/>
        </w:rPr>
        <w:t xml:space="preserve">8.1</w:t>
      </w:r>
      <w:r>
        <w:tab/>
      </w:r>
      <w:r>
        <w:t xml:space="preserve">Physische Topologie</w:t>
      </w:r>
    </w:p>
    <w:p>
      <w:pPr>
        <w:pStyle w:val="SourceCode"/>
        <w:keepLines/>
        <w:keepNext/>
      </w:pPr>
      <w:r>
        <w:rPr>
          <w:rStyle w:val="VerbatimChar"/>
        </w:rPr>
        <w:t xml:space="preserve">+============================+         +============================+</w:t>
      </w:r>
    </w:p>
    <w:p>
      <w:pPr>
        <w:pStyle w:val="SourceCode"/>
        <w:keepLines/>
        <w:keepNext/>
      </w:pPr>
      <w:r>
        <w:rPr>
          <w:rStyle w:val="VerbatimChar"/>
        </w:rPr>
        <w:t xml:space="preserve">|     Brandabschnitt A       |         |     Brandabschnitt B       |</w:t>
      </w:r>
    </w:p>
    <w:p>
      <w:pPr>
        <w:pStyle w:val="SourceCode"/>
        <w:keepLines/>
        <w:keepNext/>
      </w:pPr>
      <w:r>
        <w:rPr>
          <w:rStyle w:val="VerbatimChar"/>
        </w:rPr>
        <w:t xml:space="preserve">|                            |  &lt;1 ms  |                            |</w:t>
      </w:r>
    </w:p>
    <w:p>
      <w:pPr>
        <w:pStyle w:val="SourceCode"/>
        <w:keepLines/>
        <w:keepNext/>
      </w:pPr>
      <w:r>
        <w:rPr>
          <w:rStyle w:val="VerbatimChar"/>
        </w:rPr>
        <w:t xml:space="preserve">|  +------+ +------+ +------+|  25Gbps |+------+ +------+ +------+  |</w:t>
      </w:r>
    </w:p>
    <w:p>
      <w:pPr>
        <w:pStyle w:val="SourceCode"/>
        <w:keepLines/>
        <w:keepNext/>
      </w:pPr>
      <w:r>
        <w:rPr>
          <w:rStyle w:val="VerbatimChar"/>
        </w:rPr>
        <w:t xml:space="preserve">|  |Node01| |Node02| |Node03||=========||Node04| |Node05| |Node06|  |</w:t>
      </w:r>
    </w:p>
    <w:p>
      <w:pPr>
        <w:pStyle w:val="SourceCode"/>
        <w:keepLines/>
        <w:keepNext/>
      </w:pPr>
      <w:r>
        <w:rPr>
          <w:rStyle w:val="VerbatimChar"/>
        </w:rPr>
        <w:t xml:space="preserve">|  |      | |      | |      ||  RDMA   ||      | |      | |      |  |</w:t>
      </w:r>
    </w:p>
    <w:p>
      <w:pPr>
        <w:pStyle w:val="SourceCode"/>
        <w:keepLines/>
        <w:keepNext/>
      </w:pPr>
      <w:r>
        <w:rPr>
          <w:rStyle w:val="VerbatimChar"/>
        </w:rPr>
        <w:t xml:space="preserve">|  | SSD  | | SSD  | | SSD  ||  Link 1 || SSD  | | SSD  | | SSD  |  |</w:t>
      </w:r>
    </w:p>
    <w:p>
      <w:pPr>
        <w:pStyle w:val="SourceCode"/>
        <w:keepLines/>
        <w:keepNext/>
      </w:pPr>
      <w:r>
        <w:rPr>
          <w:rStyle w:val="VerbatimChar"/>
        </w:rPr>
        <w:t xml:space="preserve">|  | HDD  | | HDD  | | HDD  ||  Link 2 || HDD  | | HDD  | | HDD  |  |</w:t>
      </w:r>
    </w:p>
    <w:p>
      <w:pPr>
        <w:pStyle w:val="SourceCode"/>
        <w:keepLines/>
        <w:keepNext/>
      </w:pPr>
      <w:r>
        <w:rPr>
          <w:rStyle w:val="VerbatimChar"/>
        </w:rPr>
        <w:t xml:space="preserve">|  +------+ +------+ +------+|=========|+------+ +------+ +------+  |</w:t>
      </w:r>
    </w:p>
    <w:p>
      <w:pPr>
        <w:pStyle w:val="SourceCode"/>
        <w:keepLines/>
        <w:keepNext/>
      </w:pPr>
      <w:r>
        <w:rPr>
          <w:rStyle w:val="VerbatimChar"/>
        </w:rPr>
        <w:t xml:space="preserve">+============================+         +============================+</w:t>
      </w:r>
    </w:p>
    <w:p>
      <w:pPr>
        <w:pStyle w:val="SourceCode"/>
        <w:keepLines/>
        <w:keepNext/>
      </w:pPr>
      <w:r>
        <w:rPr>
          <w:rStyle w:val="VerbatimChar"/>
        </w:rPr>
        <w:t xml:space="preserve">              |                                       |</w:t>
      </w:r>
    </w:p>
    <w:p>
      <w:pPr>
        <w:pStyle w:val="SourceCode"/>
        <w:keepLines/>
        <w:keepNext/>
      </w:pPr>
      <w:r>
        <w:rPr>
          <w:rStyle w:val="VerbatimChar"/>
        </w:rPr>
        <w:t xml:space="preserve">              |          Brandabschnitt C             |</w:t>
      </w:r>
    </w:p>
    <w:p>
      <w:pPr>
        <w:pStyle w:val="SourceCode"/>
        <w:keepLines/>
        <w:keepNext/>
      </w:pPr>
      <w:r>
        <w:rPr>
          <w:rStyle w:val="VerbatimChar"/>
        </w:rPr>
        <w:t xml:space="preserve">              |    +---------------------------+      |</w:t>
      </w:r>
    </w:p>
    <w:p>
      <w:pPr>
        <w:pStyle w:val="SourceCode"/>
        <w:keepLines/>
        <w:keepNext/>
      </w:pPr>
      <w:r>
        <w:rPr>
          <w:rStyle w:val="VerbatimChar"/>
        </w:rPr>
        <w:t xml:space="preserve">              +---&gt;| File Share Witness         |&lt;----+</w:t>
      </w:r>
    </w:p>
    <w:p>
      <w:pPr>
        <w:pStyle w:val="SourceCode"/>
        <w:keepLines/>
        <w:keepNext/>
      </w:pPr>
      <w:r>
        <w:rPr>
          <w:rStyle w:val="VerbatimChar"/>
        </w:rPr>
        <w:t xml:space="preserve">                   | (\\FileServer03\Witness$)  |</w:t>
      </w:r>
    </w:p>
    <w:p>
      <w:pPr>
        <w:pStyle w:val="SourceCode"/>
        <w:keepLines/>
      </w:pPr>
      <w:r>
        <w:rPr>
          <w:rStyle w:val="VerbatimChar"/>
        </w:rPr>
        <w:t xml:space="preserve">                   +---------------------------+</w:t>
      </w:r>
    </w:p>
    <w:bookmarkEnd w:id="35"/>
    <w:bookmarkStart w:id="36" w:name="logische-komponenten"/>
    <w:p>
      <w:pPr>
        <w:pStyle w:val="Heading2"/>
      </w:pPr>
      <w:r>
        <w:rPr>
          <w:rStyle w:val="SectionNumber"/>
        </w:rPr>
        <w:t xml:space="preserve">8.2</w:t>
      </w:r>
      <w:r>
        <w:tab/>
      </w:r>
      <w:r>
        <w:t xml:space="preserve">Logische Komponenten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Konfiguration</w:t>
            </w:r>
          </w:p>
        </w:tc>
      </w:tr>
      <w:tr>
        <w:tc>
          <w:tcPr/>
          <w:p>
            <w:pPr>
              <w:pStyle w:val="Compact"/>
            </w:pPr>
            <w:r>
              <w:t xml:space="preserve">Fault Domain Level</w:t>
            </w:r>
          </w:p>
        </w:tc>
        <w:tc>
          <w:tcPr/>
          <w:p>
            <w:pPr>
              <w:pStyle w:val="Compact"/>
            </w:pPr>
            <w:r>
              <w:t xml:space="preserve">Site</w:t>
            </w:r>
          </w:p>
        </w:tc>
      </w:tr>
      <w:tr>
        <w:tc>
          <w:tcPr/>
          <w:p>
            <w:pPr>
              <w:pStyle w:val="Compact"/>
            </w:pPr>
            <w:r>
              <w:t xml:space="preserve">Fault Domain A</w:t>
            </w:r>
          </w:p>
        </w:tc>
        <w:tc>
          <w:tcPr/>
          <w:p>
            <w:pPr>
              <w:pStyle w:val="Compact"/>
            </w:pPr>
            <w:r>
              <w:t xml:space="preserve">BrandabschnittA (Node01, Node02, Node03)</w:t>
            </w:r>
          </w:p>
        </w:tc>
      </w:tr>
      <w:tr>
        <w:tc>
          <w:tcPr/>
          <w:p>
            <w:pPr>
              <w:pStyle w:val="Compact"/>
            </w:pPr>
            <w:r>
              <w:t xml:space="preserve">Fault Domain B</w:t>
            </w:r>
          </w:p>
        </w:tc>
        <w:tc>
          <w:tcPr/>
          <w:p>
            <w:pPr>
              <w:pStyle w:val="Compact"/>
            </w:pPr>
            <w:r>
              <w:t xml:space="preserve">BrandabschnittB (Node04, Node05, Node06)</w:t>
            </w:r>
          </w:p>
        </w:tc>
      </w:tr>
      <w:tr>
        <w:tc>
          <w:tcPr/>
          <w:p>
            <w:pPr>
              <w:pStyle w:val="Compact"/>
            </w:pPr>
            <w:r>
              <w:t xml:space="preserve">Storage Pool</w:t>
            </w:r>
          </w:p>
        </w:tc>
        <w:tc>
          <w:tcPr/>
          <w:p>
            <w:pPr>
              <w:pStyle w:val="Compact"/>
            </w:pPr>
            <w:r>
              <w:t xml:space="preserve">1 Pool über alle 6 Knoten</w:t>
            </w:r>
          </w:p>
        </w:tc>
      </w:tr>
      <w:tr>
        <w:tc>
          <w:tcPr/>
          <w:p>
            <w:pPr>
              <w:pStyle w:val="Compact"/>
            </w:pPr>
            <w:r>
              <w:t xml:space="preserve">Resilienz</w:t>
            </w:r>
          </w:p>
        </w:tc>
        <w:tc>
          <w:tcPr/>
          <w:p>
            <w:pPr>
              <w:pStyle w:val="Compact"/>
            </w:pPr>
            <w:r>
              <w:t xml:space="preserve">Three-way Mirror</w:t>
            </w:r>
          </w:p>
        </w:tc>
      </w:tr>
      <w:tr>
        <w:tc>
          <w:tcPr/>
          <w:p>
            <w:pPr>
              <w:pStyle w:val="Compact"/>
            </w:pPr>
            <w:r>
              <w:t xml:space="preserve">Quorum Witness</w:t>
            </w:r>
          </w:p>
        </w:tc>
        <w:tc>
          <w:tcPr/>
          <w:p>
            <w:pPr>
              <w:pStyle w:val="Compact"/>
            </w:pPr>
            <w:r>
              <w:t xml:space="preserve">File Share Witness (dritter Standort)</w:t>
            </w:r>
          </w:p>
        </w:tc>
      </w:tr>
      <w:tr>
        <w:tc>
          <w:tcPr/>
          <w:p>
            <w:pPr>
              <w:pStyle w:val="Compact"/>
            </w:pPr>
            <w:r>
              <w:t xml:space="preserve">Netzwerk</w:t>
            </w:r>
          </w:p>
        </w:tc>
        <w:tc>
          <w:tcPr/>
          <w:p>
            <w:pPr>
              <w:pStyle w:val="Compact"/>
            </w:pPr>
            <w:r>
              <w:t xml:space="preserve">25 GbE RDMA, mindestens 2 Pfade zwischen Brandabschnitten</w:t>
            </w:r>
          </w:p>
        </w:tc>
      </w:tr>
    </w:tbl>
    <w:bookmarkEnd w:id="36"/>
    <w:bookmarkEnd w:id="37"/>
    <w:bookmarkStart w:id="38" w:name="Xb86952b053f83970d9b1e06cb7bac880751c2b6"/>
    <w:p>
      <w:pPr>
        <w:pStyle w:val="Heading1"/>
      </w:pPr>
      <w:r>
        <w:rPr>
          <w:rStyle w:val="SectionNumber"/>
        </w:rPr>
        <w:t xml:space="preserve">9</w:t>
      </w:r>
      <w:r>
        <w:tab/>
      </w:r>
      <w:r>
        <w:t xml:space="preserve">Validierung gegen Microsoft-Dokumentation</w:t>
      </w:r>
    </w:p>
    <w:p>
      <w:pPr>
        <w:pStyle w:val="FirstParagraph"/>
      </w:pPr>
      <w:r>
        <w:t xml:space="preserve">Die folgende Tabelle dokumentiert die Validierung der technischen Aussagen: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Aussage</w:t>
            </w:r>
          </w:p>
        </w:tc>
        <w:tc>
          <w:tcPr/>
          <w:p>
            <w:pPr>
              <w:pStyle w:val="Compact"/>
            </w:pPr>
            <w:r>
              <w:t xml:space="preserve">Validiert?</w:t>
            </w:r>
          </w:p>
        </w:tc>
        <w:tc>
          <w:tcPr/>
          <w:p>
            <w:pPr>
              <w:pStyle w:val="Compact"/>
            </w:pPr>
            <w:r>
              <w:t xml:space="preserve">Microsoft-Quelle</w:t>
            </w:r>
          </w:p>
        </w:tc>
      </w:tr>
      <w:tr>
        <w:tc>
          <w:tcPr/>
          <w:p>
            <w:pPr>
              <w:pStyle w:val="Compact"/>
            </w:pPr>
            <w:r>
              <w:t xml:space="preserve">S2D unterstützt 2–16 Knoten</w:t>
            </w:r>
          </w:p>
        </w:tc>
        <w:tc>
          <w:tcPr/>
          <w:p>
            <w:pPr>
              <w:pStyle w:val="Compact"/>
            </w:pPr>
            <w:r>
              <w:t xml:space="preserve">Ja</w:t>
            </w:r>
          </w:p>
        </w:tc>
        <w:tc>
          <w:tcPr/>
          <w:p>
            <w:pPr>
              <w:pStyle w:val="Compact"/>
            </w:pPr>
            <w:r>
              <w:t xml:space="preserve">Hardware Requirements [2]</w:t>
            </w:r>
          </w:p>
        </w:tc>
      </w:tr>
      <w:tr>
        <w:tc>
          <w:tcPr/>
          <w:p>
            <w:pPr>
              <w:pStyle w:val="Compact"/>
            </w:pPr>
            <w:r>
              <w:t xml:space="preserve">Fault Domains vom Typ</w:t>
            </w:r>
            <w:r>
              <w:t xml:space="preserve"> </w:t>
            </w:r>
            <w:r>
              <w:t xml:space="preserve">“Site”</w:t>
            </w:r>
            <w:r>
              <w:t xml:space="preserve"> </w:t>
            </w:r>
            <w:r>
              <w:t xml:space="preserve">werden unterstützt</w:t>
            </w:r>
          </w:p>
        </w:tc>
        <w:tc>
          <w:tcPr/>
          <w:p>
            <w:pPr>
              <w:pStyle w:val="Compact"/>
            </w:pPr>
            <w:r>
              <w:t xml:space="preserve">Ja</w:t>
            </w:r>
          </w:p>
        </w:tc>
        <w:tc>
          <w:tcPr/>
          <w:p>
            <w:pPr>
              <w:pStyle w:val="Compact"/>
            </w:pPr>
            <w:r>
              <w:t xml:space="preserve">Fault Domain Awareness [3]</w:t>
            </w:r>
          </w:p>
        </w:tc>
      </w:tr>
      <w:tr>
        <w:tc>
          <w:tcPr/>
          <w:p>
            <w:pPr>
              <w:pStyle w:val="Compact"/>
            </w:pPr>
            <w:r>
              <w:t xml:space="preserve">S2D nutzt Fault Domains zur Datenverteilung</w:t>
            </w:r>
          </w:p>
        </w:tc>
        <w:tc>
          <w:tcPr/>
          <w:p>
            <w:pPr>
              <w:pStyle w:val="Compact"/>
            </w:pPr>
            <w:r>
              <w:t xml:space="preserve">Ja</w:t>
            </w:r>
          </w:p>
        </w:tc>
        <w:tc>
          <w:tcPr/>
          <w:p>
            <w:pPr>
              <w:pStyle w:val="Compact"/>
            </w:pPr>
            <w:r>
              <w:t xml:space="preserve">Fault Domain Awareness: Benefits [3]</w:t>
            </w:r>
          </w:p>
        </w:tc>
      </w:tr>
      <w:tr>
        <w:tc>
          <w:tcPr/>
          <w:p>
            <w:pPr>
              <w:pStyle w:val="Compact"/>
            </w:pPr>
            <w:r>
              <w:t xml:space="preserve">Stretch Clustering nutzt Fault Domains für Storage Affinity</w:t>
            </w:r>
          </w:p>
        </w:tc>
        <w:tc>
          <w:tcPr/>
          <w:p>
            <w:pPr>
              <w:pStyle w:val="Compact"/>
            </w:pPr>
            <w:r>
              <w:t xml:space="preserve">Ja</w:t>
            </w:r>
          </w:p>
        </w:tc>
        <w:tc>
          <w:tcPr/>
          <w:p>
            <w:pPr>
              <w:pStyle w:val="Compact"/>
            </w:pPr>
            <w:r>
              <w:t xml:space="preserve">Fault Domain Awareness: Benefits [3]</w:t>
            </w:r>
          </w:p>
        </w:tc>
      </w:tr>
      <w:tr>
        <w:tc>
          <w:tcPr/>
          <w:p>
            <w:pPr>
              <w:pStyle w:val="Compact"/>
            </w:pPr>
            <w:r>
              <w:t xml:space="preserve">10 GbE Minimum, 25 GbE empfohlen für 4+ Knoten</w:t>
            </w:r>
          </w:p>
        </w:tc>
        <w:tc>
          <w:tcPr/>
          <w:p>
            <w:pPr>
              <w:pStyle w:val="Compact"/>
            </w:pPr>
            <w:r>
              <w:t xml:space="preserve">Ja</w:t>
            </w:r>
          </w:p>
        </w:tc>
        <w:tc>
          <w:tcPr/>
          <w:p>
            <w:pPr>
              <w:pStyle w:val="Compact"/>
            </w:pPr>
            <w:r>
              <w:t xml:space="preserve">Hardware Requirements: Network [2]</w:t>
            </w:r>
          </w:p>
        </w:tc>
      </w:tr>
      <w:tr>
        <w:tc>
          <w:tcPr/>
          <w:p>
            <w:pPr>
              <w:pStyle w:val="Compact"/>
            </w:pPr>
            <w:r>
              <w:t xml:space="preserve">RDMA empfohlen (iWARP oder RoCE)</w:t>
            </w:r>
          </w:p>
        </w:tc>
        <w:tc>
          <w:tcPr/>
          <w:p>
            <w:pPr>
              <w:pStyle w:val="Compact"/>
            </w:pPr>
            <w:r>
              <w:t xml:space="preserve">Ja</w:t>
            </w:r>
          </w:p>
        </w:tc>
        <w:tc>
          <w:tcPr/>
          <w:p>
            <w:pPr>
              <w:pStyle w:val="Compact"/>
            </w:pPr>
            <w:r>
              <w:t xml:space="preserve">Hardware Requirements: Network [2]</w:t>
            </w:r>
          </w:p>
        </w:tc>
      </w:tr>
      <w:tr>
        <w:tc>
          <w:tcPr/>
          <w:p>
            <w:pPr>
              <w:pStyle w:val="Compact"/>
            </w:pPr>
            <w:r>
              <w:t xml:space="preserve">Three-way Mirror toleriert 2 gleichzeitige Ausfälle</w:t>
            </w:r>
          </w:p>
        </w:tc>
        <w:tc>
          <w:tcPr/>
          <w:p>
            <w:pPr>
              <w:pStyle w:val="Compact"/>
            </w:pPr>
            <w:r>
              <w:t xml:space="preserve">Ja</w:t>
            </w:r>
          </w:p>
        </w:tc>
        <w:tc>
          <w:tcPr/>
          <w:p>
            <w:pPr>
              <w:pStyle w:val="Compact"/>
            </w:pPr>
            <w:r>
              <w:t xml:space="preserve">Fault Tolerance [4]</w:t>
            </w:r>
          </w:p>
        </w:tc>
      </w:tr>
      <w:tr>
        <w:tc>
          <w:tcPr/>
          <w:p>
            <w:pPr>
              <w:pStyle w:val="Compact"/>
            </w:pPr>
            <w:r>
              <w:t xml:space="preserve">S2D verträgt maximal 2 Knotenausfälle gleichzeitig</w:t>
            </w:r>
          </w:p>
        </w:tc>
        <w:tc>
          <w:tcPr/>
          <w:p>
            <w:pPr>
              <w:pStyle w:val="Compact"/>
            </w:pPr>
            <w:r>
              <w:t xml:space="preserve">Ja</w:t>
            </w:r>
          </w:p>
        </w:tc>
        <w:tc>
          <w:tcPr/>
          <w:p>
            <w:pPr>
              <w:pStyle w:val="Compact"/>
            </w:pPr>
            <w:r>
              <w:t xml:space="preserve">Cluster and Pool Quorum [5]</w:t>
            </w:r>
          </w:p>
        </w:tc>
      </w:tr>
      <w:tr>
        <w:tc>
          <w:tcPr/>
          <w:p>
            <w:pPr>
              <w:pStyle w:val="Compact"/>
            </w:pPr>
            <w:r>
              <w:t xml:space="preserve">Disk Witness nicht unterstützt bei S2D</w:t>
            </w:r>
          </w:p>
        </w:tc>
        <w:tc>
          <w:tcPr/>
          <w:p>
            <w:pPr>
              <w:pStyle w:val="Compact"/>
            </w:pPr>
            <w:r>
              <w:t xml:space="preserve">Ja</w:t>
            </w:r>
          </w:p>
        </w:tc>
        <w:tc>
          <w:tcPr/>
          <w:p>
            <w:pPr>
              <w:pStyle w:val="Compact"/>
            </w:pPr>
            <w:r>
              <w:t xml:space="preserve">Cluster and Pool Quorum [5]</w:t>
            </w:r>
          </w:p>
        </w:tc>
      </w:tr>
      <w:tr>
        <w:tc>
          <w:tcPr/>
          <w:p>
            <w:pPr>
              <w:pStyle w:val="Compact"/>
            </w:pPr>
            <w:r>
              <w:t xml:space="preserve">File Share Witness als on-premises Option</w:t>
            </w:r>
          </w:p>
        </w:tc>
        <w:tc>
          <w:tcPr/>
          <w:p>
            <w:pPr>
              <w:pStyle w:val="Compact"/>
            </w:pPr>
            <w:r>
              <w:t xml:space="preserve">Ja</w:t>
            </w:r>
          </w:p>
        </w:tc>
        <w:tc>
          <w:tcPr/>
          <w:p>
            <w:pPr>
              <w:pStyle w:val="Compact"/>
            </w:pPr>
            <w:r>
              <w:t xml:space="preserve">Deploy a Quorum Witness [6]</w:t>
            </w:r>
          </w:p>
        </w:tc>
      </w:tr>
      <w:tr>
        <w:tc>
          <w:tcPr/>
          <w:p>
            <w:pPr>
              <w:pStyle w:val="Compact"/>
            </w:pPr>
            <w:r>
              <w:t xml:space="preserve">Fault Domains vor S2D-Aktivierung konfigurieren</w:t>
            </w:r>
          </w:p>
        </w:tc>
        <w:tc>
          <w:tcPr/>
          <w:p>
            <w:pPr>
              <w:pStyle w:val="Compact"/>
            </w:pPr>
            <w:r>
              <w:t xml:space="preserve">Ja</w:t>
            </w:r>
          </w:p>
        </w:tc>
        <w:tc>
          <w:tcPr/>
          <w:p>
            <w:pPr>
              <w:pStyle w:val="Compact"/>
            </w:pPr>
            <w:r>
              <w:t xml:space="preserve">Fault Domain Awareness: Usage [3]</w:t>
            </w:r>
          </w:p>
        </w:tc>
      </w:tr>
      <w:tr>
        <w:tc>
          <w:tcPr/>
          <w:p>
            <w:pPr>
              <w:pStyle w:val="Compact"/>
            </w:pPr>
            <w:r>
              <w:t xml:space="preserve">Pool Quorum benötigt 50 % + 1 der Laufwerke</w:t>
            </w:r>
          </w:p>
        </w:tc>
        <w:tc>
          <w:tcPr/>
          <w:p>
            <w:pPr>
              <w:pStyle w:val="Compact"/>
            </w:pPr>
            <w:r>
              <w:t xml:space="preserve">Ja</w:t>
            </w:r>
          </w:p>
        </w:tc>
        <w:tc>
          <w:tcPr/>
          <w:p>
            <w:pPr>
              <w:pStyle w:val="Compact"/>
            </w:pPr>
            <w:r>
              <w:t xml:space="preserve">Cluster and Pool Quorum [5]</w:t>
            </w:r>
          </w:p>
        </w:tc>
      </w:tr>
      <w:tr>
        <w:tc>
          <w:tcPr/>
          <w:p>
            <w:pPr>
              <w:pStyle w:val="Compact"/>
            </w:pPr>
            <w:r>
              <w:t xml:space="preserve">SMB-Verschlüsselung für East-West-Traffic (CSV/SBL) ab WS2022</w:t>
            </w:r>
          </w:p>
        </w:tc>
        <w:tc>
          <w:tcPr/>
          <w:p>
            <w:pPr>
              <w:pStyle w:val="Compact"/>
            </w:pPr>
            <w:r>
              <w:t xml:space="preserve">Ja</w:t>
            </w:r>
          </w:p>
        </w:tc>
        <w:tc>
          <w:tcPr/>
          <w:p>
            <w:pPr>
              <w:pStyle w:val="Compact"/>
            </w:pPr>
            <w:r>
              <w:t xml:space="preserve">SMB Security Enhancements [7]</w:t>
            </w:r>
          </w:p>
        </w:tc>
      </w:tr>
      <w:tr>
        <w:tc>
          <w:tcPr/>
          <w:p>
            <w:pPr>
              <w:pStyle w:val="Compact"/>
            </w:pPr>
            <w:r>
              <w:t xml:space="preserve">SMB Direct + Encryption kompatibel ab WS2022</w:t>
            </w:r>
          </w:p>
        </w:tc>
        <w:tc>
          <w:tcPr/>
          <w:p>
            <w:pPr>
              <w:pStyle w:val="Compact"/>
            </w:pPr>
            <w:r>
              <w:t xml:space="preserve">Ja</w:t>
            </w:r>
          </w:p>
        </w:tc>
        <w:tc>
          <w:tcPr/>
          <w:p>
            <w:pPr>
              <w:pStyle w:val="Compact"/>
            </w:pPr>
            <w:r>
              <w:t xml:space="preserve">SMB Security Enhancements [7]</w:t>
            </w:r>
          </w:p>
        </w:tc>
      </w:tr>
      <w:tr>
        <w:tc>
          <w:tcPr/>
          <w:p>
            <w:pPr>
              <w:pStyle w:val="Compact"/>
            </w:pPr>
            <w:r>
              <w:t xml:space="preserve">SMB 1.0 Deaktivierung empfohlen</w:t>
            </w:r>
          </w:p>
        </w:tc>
        <w:tc>
          <w:tcPr/>
          <w:p>
            <w:pPr>
              <w:pStyle w:val="Compact"/>
            </w:pPr>
            <w:r>
              <w:t xml:space="preserve">Ja</w:t>
            </w:r>
          </w:p>
        </w:tc>
        <w:tc>
          <w:tcPr/>
          <w:p>
            <w:pPr>
              <w:pStyle w:val="Compact"/>
            </w:pPr>
            <w:r>
              <w:t xml:space="preserve">SMB Security Enhancements [7]</w:t>
            </w:r>
          </w:p>
        </w:tc>
      </w:tr>
      <w:tr>
        <w:tc>
          <w:tcPr/>
          <w:p>
            <w:pPr>
              <w:pStyle w:val="Compact"/>
            </w:pPr>
            <w:r>
              <w:t xml:space="preserve">Storage QoS für IOPS-Management pro VM</w:t>
            </w:r>
          </w:p>
        </w:tc>
        <w:tc>
          <w:tcPr/>
          <w:p>
            <w:pPr>
              <w:pStyle w:val="Compact"/>
            </w:pPr>
            <w:r>
              <w:t xml:space="preserve">Ja</w:t>
            </w:r>
          </w:p>
        </w:tc>
        <w:tc>
          <w:tcPr/>
          <w:p>
            <w:pPr>
              <w:pStyle w:val="Compact"/>
            </w:pPr>
            <w:r>
              <w:t xml:space="preserve">Storage Quality of Service [8]</w:t>
            </w:r>
          </w:p>
        </w:tc>
      </w:tr>
    </w:tbl>
    <w:bookmarkEnd w:id="38"/>
    <w:bookmarkStart w:id="41" w:name="empfehlungen"/>
    <w:p>
      <w:pPr>
        <w:pStyle w:val="Heading1"/>
      </w:pPr>
      <w:r>
        <w:rPr>
          <w:rStyle w:val="SectionNumber"/>
        </w:rPr>
        <w:t xml:space="preserve">10</w:t>
      </w:r>
      <w:r>
        <w:tab/>
      </w:r>
      <w:r>
        <w:t xml:space="preserve">Empfehlungen</w:t>
      </w:r>
    </w:p>
    <w:bookmarkStart w:id="39" w:name="checkliste-vor-deployment"/>
    <w:p>
      <w:pPr>
        <w:pStyle w:val="Heading2"/>
      </w:pPr>
      <w:r>
        <w:rPr>
          <w:rStyle w:val="SectionNumber"/>
        </w:rPr>
        <w:t xml:space="preserve">10.1</w:t>
      </w:r>
      <w:r>
        <w:tab/>
      </w:r>
      <w:r>
        <w:t xml:space="preserve">Checkliste vor Deployment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Aufgabe</w:t>
            </w:r>
          </w:p>
        </w:tc>
        <w:tc>
          <w:tcPr/>
          <w:p>
            <w:pPr>
              <w:pStyle w:val="Compact"/>
            </w:pPr>
            <w:r>
              <w:t xml:space="preserve">Status</w:t>
            </w:r>
          </w:p>
        </w:tc>
      </w:tr>
      <w:tr>
        <w:tc>
          <w:tcPr/>
          <w:p>
            <w:pPr>
              <w:pStyle w:val="Compact"/>
            </w:pPr>
            <w:r>
              <w:t xml:space="preserve">1</w:t>
            </w:r>
          </w:p>
        </w:tc>
        <w:tc>
          <w:tcPr/>
          <w:p>
            <w:pPr>
              <w:pStyle w:val="Compact"/>
            </w:pPr>
            <w:r>
              <w:t xml:space="preserve">Netzwerk-Latenz zwischen Brandabschnitten messen (&lt; 1 ms RTT)</w:t>
            </w:r>
          </w:p>
        </w:tc>
        <w:tc>
          <w:tcPr/>
          <w:p>
            <w:pPr>
              <w:pStyle w:val="Compact"/>
            </w:pPr>
            <w:r>
              <w:t xml:space="preserve">Offen</w:t>
            </w:r>
          </w:p>
        </w:tc>
      </w:tr>
      <w:tr>
        <w:tc>
          <w:tcPr/>
          <w:p>
            <w:pPr>
              <w:pStyle w:val="Compact"/>
            </w:pPr>
            <w:r>
              <w:t xml:space="preserve">2</w:t>
            </w:r>
          </w:p>
        </w:tc>
        <w:tc>
          <w:tcPr/>
          <w:p>
            <w:pPr>
              <w:pStyle w:val="Compact"/>
            </w:pPr>
            <w:r>
              <w:t xml:space="preserve">Mindestens 25 GbE RDMA-NICs in allen Knoten</w:t>
            </w:r>
          </w:p>
        </w:tc>
        <w:tc>
          <w:tcPr/>
          <w:p>
            <w:pPr>
              <w:pStyle w:val="Compact"/>
            </w:pPr>
            <w:r>
              <w:t xml:space="preserve">Offen</w:t>
            </w:r>
          </w:p>
        </w:tc>
      </w:tr>
      <w:tr>
        <w:tc>
          <w:tcPr/>
          <w:p>
            <w:pPr>
              <w:pStyle w:val="Compact"/>
            </w:pPr>
            <w:r>
              <w:t xml:space="preserve">3</w:t>
            </w:r>
          </w:p>
        </w:tc>
        <w:tc>
          <w:tcPr/>
          <w:p>
            <w:pPr>
              <w:pStyle w:val="Compact"/>
            </w:pPr>
            <w:r>
              <w:t xml:space="preserve">Mindestens 2 redundante Netzwerkpfade durch Brandschotts</w:t>
            </w:r>
          </w:p>
        </w:tc>
        <w:tc>
          <w:tcPr/>
          <w:p>
            <w:pPr>
              <w:pStyle w:val="Compact"/>
            </w:pPr>
            <w:r>
              <w:t xml:space="preserve">Offen</w:t>
            </w:r>
          </w:p>
        </w:tc>
      </w:tr>
      <w:tr>
        <w:tc>
          <w:tcPr/>
          <w:p>
            <w:pPr>
              <w:pStyle w:val="Compact"/>
            </w:pPr>
            <w:r>
              <w:t xml:space="preserve">4</w:t>
            </w:r>
          </w:p>
        </w:tc>
        <w:tc>
          <w:tcPr/>
          <w:p>
            <w:pPr>
              <w:pStyle w:val="Compact"/>
            </w:pPr>
            <w:r>
              <w:t xml:space="preserve">Brandschottdurchführungen zertifiziert und dokumentiert</w:t>
            </w:r>
          </w:p>
        </w:tc>
        <w:tc>
          <w:tcPr/>
          <w:p>
            <w:pPr>
              <w:pStyle w:val="Compact"/>
            </w:pPr>
            <w:r>
              <w:t xml:space="preserve">Offen</w:t>
            </w:r>
          </w:p>
        </w:tc>
      </w:tr>
      <w:tr>
        <w:tc>
          <w:tcPr/>
          <w:p>
            <w:pPr>
              <w:pStyle w:val="Compact"/>
            </w:pPr>
            <w:r>
              <w:t xml:space="preserve">5</w:t>
            </w:r>
          </w:p>
        </w:tc>
        <w:tc>
          <w:tcPr/>
          <w:p>
            <w:pPr>
              <w:pStyle w:val="Compact"/>
            </w:pPr>
            <w:r>
              <w:t xml:space="preserve">File Share Witness auf drittem Server (dritter Brandabschnitt)</w:t>
            </w:r>
          </w:p>
        </w:tc>
        <w:tc>
          <w:tcPr/>
          <w:p>
            <w:pPr>
              <w:pStyle w:val="Compact"/>
            </w:pPr>
            <w:r>
              <w:t xml:space="preserve">Offen</w:t>
            </w:r>
          </w:p>
        </w:tc>
      </w:tr>
      <w:tr>
        <w:tc>
          <w:tcPr/>
          <w:p>
            <w:pPr>
              <w:pStyle w:val="Compact"/>
            </w:pPr>
            <w:r>
              <w:t xml:space="preserve">6</w:t>
            </w:r>
          </w:p>
        </w:tc>
        <w:tc>
          <w:tcPr/>
          <w:p>
            <w:pPr>
              <w:pStyle w:val="Compact"/>
            </w:pPr>
            <w:r>
              <w:t xml:space="preserve">Symmetrische Laufwerkskonfiguration auf allen Knoten</w:t>
            </w:r>
          </w:p>
        </w:tc>
        <w:tc>
          <w:tcPr/>
          <w:p>
            <w:pPr>
              <w:pStyle w:val="Compact"/>
            </w:pPr>
            <w:r>
              <w:t xml:space="preserve">Offen</w:t>
            </w:r>
          </w:p>
        </w:tc>
      </w:tr>
      <w:tr>
        <w:tc>
          <w:tcPr/>
          <w:p>
            <w:pPr>
              <w:pStyle w:val="Compact"/>
            </w:pPr>
            <w:r>
              <w:t xml:space="preserve">7</w:t>
            </w:r>
          </w:p>
        </w:tc>
        <w:tc>
          <w:tcPr/>
          <w:p>
            <w:pPr>
              <w:pStyle w:val="Compact"/>
            </w:pPr>
            <w:r>
              <w:t xml:space="preserve">Fault Domains als</w:t>
            </w:r>
            <w:r>
              <w:t xml:space="preserve"> </w:t>
            </w:r>
            <w:r>
              <w:t xml:space="preserve">“Site”</w:t>
            </w:r>
            <w:r>
              <w:t xml:space="preserve"> </w:t>
            </w:r>
            <w:r>
              <w:t xml:space="preserve">konfiguriert VOR S2D-Aktivierung</w:t>
            </w:r>
          </w:p>
        </w:tc>
        <w:tc>
          <w:tcPr/>
          <w:p>
            <w:pPr>
              <w:pStyle w:val="Compact"/>
            </w:pPr>
            <w:r>
              <w:t xml:space="preserve">Offen</w:t>
            </w:r>
          </w:p>
        </w:tc>
      </w:tr>
      <w:tr>
        <w:tc>
          <w:tcPr/>
          <w:p>
            <w:pPr>
              <w:pStyle w:val="Compact"/>
            </w:pPr>
            <w:r>
              <w:t xml:space="preserve">8</w:t>
            </w:r>
          </w:p>
        </w:tc>
        <w:tc>
          <w:tcPr/>
          <w:p>
            <w:pPr>
              <w:pStyle w:val="Compact"/>
            </w:pPr>
            <w:r>
              <w:t xml:space="preserve">Three-way Mirror als Resilienz-Typ gewählt</w:t>
            </w:r>
          </w:p>
        </w:tc>
        <w:tc>
          <w:tcPr/>
          <w:p>
            <w:pPr>
              <w:pStyle w:val="Compact"/>
            </w:pPr>
            <w:r>
              <w:t xml:space="preserve">Offen</w:t>
            </w:r>
          </w:p>
        </w:tc>
      </w:tr>
      <w:tr>
        <w:tc>
          <w:tcPr/>
          <w:p>
            <w:pPr>
              <w:pStyle w:val="Compact"/>
            </w:pPr>
            <w:r>
              <w:t xml:space="preserve">9</w:t>
            </w:r>
          </w:p>
        </w:tc>
        <w:tc>
          <w:tcPr/>
          <w:p>
            <w:pPr>
              <w:pStyle w:val="Compact"/>
            </w:pPr>
            <w:r>
              <w:t xml:space="preserve">Cluster Validation Test bestanden</w:t>
            </w:r>
          </w:p>
        </w:tc>
        <w:tc>
          <w:tcPr/>
          <w:p>
            <w:pPr>
              <w:pStyle w:val="Compact"/>
            </w:pPr>
            <w:r>
              <w:t xml:space="preserve">Offen</w:t>
            </w:r>
          </w:p>
        </w:tc>
      </w:tr>
      <w:tr>
        <w:tc>
          <w:tcPr/>
          <w:p>
            <w:pPr>
              <w:pStyle w:val="Compact"/>
            </w:pPr>
            <w:r>
              <w:t xml:space="preserve">10</w:t>
            </w:r>
          </w:p>
        </w:tc>
        <w:tc>
          <w:tcPr/>
          <w:p>
            <w:pPr>
              <w:pStyle w:val="Compact"/>
            </w:pPr>
            <w:r>
              <w:t xml:space="preserve">Failover-Test: Ausfall eines Brandabschnitts simuliert</w:t>
            </w:r>
          </w:p>
        </w:tc>
        <w:tc>
          <w:tcPr/>
          <w:p>
            <w:pPr>
              <w:pStyle w:val="Compact"/>
            </w:pPr>
            <w:r>
              <w:t xml:space="preserve">Offen</w:t>
            </w:r>
          </w:p>
        </w:tc>
      </w:tr>
      <w:tr>
        <w:tc>
          <w:tcPr/>
          <w:p>
            <w:pPr>
              <w:pStyle w:val="Compact"/>
            </w:pPr>
            <w:r>
              <w:t xml:space="preserve">11</w:t>
            </w:r>
          </w:p>
        </w:tc>
        <w:tc>
          <w:tcPr/>
          <w:p>
            <w:pPr>
              <w:pStyle w:val="Compact"/>
            </w:pPr>
            <w:r>
              <w:t xml:space="preserve">SMB-Verschlüsselung für East-West-Traffic aktiviert (ab WS2022)</w:t>
            </w:r>
          </w:p>
        </w:tc>
        <w:tc>
          <w:tcPr/>
          <w:p>
            <w:pPr>
              <w:pStyle w:val="Compact"/>
            </w:pPr>
            <w:r>
              <w:t xml:space="preserve">Offen</w:t>
            </w:r>
          </w:p>
        </w:tc>
      </w:tr>
      <w:tr>
        <w:tc>
          <w:tcPr/>
          <w:p>
            <w:pPr>
              <w:pStyle w:val="Compact"/>
            </w:pPr>
            <w:r>
              <w:t xml:space="preserve">12</w:t>
            </w:r>
          </w:p>
        </w:tc>
        <w:tc>
          <w:tcPr/>
          <w:p>
            <w:pPr>
              <w:pStyle w:val="Compact"/>
            </w:pPr>
            <w:r>
              <w:t xml:space="preserve">SMB 1.0 auf allen Knoten deaktiviert</w:t>
            </w:r>
          </w:p>
        </w:tc>
        <w:tc>
          <w:tcPr/>
          <w:p>
            <w:pPr>
              <w:pStyle w:val="Compact"/>
            </w:pPr>
            <w:r>
              <w:t xml:space="preserve">Offen</w:t>
            </w:r>
          </w:p>
        </w:tc>
      </w:tr>
      <w:tr>
        <w:tc>
          <w:tcPr/>
          <w:p>
            <w:pPr>
              <w:pStyle w:val="Compact"/>
            </w:pPr>
            <w:r>
              <w:t xml:space="preserve">13</w:t>
            </w:r>
          </w:p>
        </w:tc>
        <w:tc>
          <w:tcPr/>
          <w:p>
            <w:pPr>
              <w:pStyle w:val="Compact"/>
            </w:pPr>
            <w:r>
              <w:t xml:space="preserve">SMB Signing oder SMB-Verschlüsselung erzwungen</w:t>
            </w:r>
          </w:p>
        </w:tc>
        <w:tc>
          <w:tcPr/>
          <w:p>
            <w:pPr>
              <w:pStyle w:val="Compact"/>
            </w:pPr>
            <w:r>
              <w:t xml:space="preserve">Offen</w:t>
            </w:r>
          </w:p>
        </w:tc>
      </w:tr>
      <w:tr>
        <w:tc>
          <w:tcPr/>
          <w:p>
            <w:pPr>
              <w:pStyle w:val="Compact"/>
            </w:pPr>
            <w:r>
              <w:t xml:space="preserve">14</w:t>
            </w:r>
          </w:p>
        </w:tc>
        <w:tc>
          <w:tcPr/>
          <w:p>
            <w:pPr>
              <w:pStyle w:val="Compact"/>
            </w:pPr>
            <w:r>
              <w:t xml:space="preserve">BitLocker auf Boot- und CSV-Volumes aktiviert (Encryption at Rest)</w:t>
            </w:r>
          </w:p>
        </w:tc>
        <w:tc>
          <w:tcPr/>
          <w:p>
            <w:pPr>
              <w:pStyle w:val="Compact"/>
            </w:pPr>
            <w:r>
              <w:t xml:space="preserve">Offen</w:t>
            </w:r>
          </w:p>
        </w:tc>
      </w:tr>
      <w:tr>
        <w:tc>
          <w:tcPr/>
          <w:p>
            <w:pPr>
              <w:pStyle w:val="Compact"/>
            </w:pPr>
            <w:r>
              <w:t xml:space="preserve">15</w:t>
            </w:r>
          </w:p>
        </w:tc>
        <w:tc>
          <w:tcPr/>
          <w:p>
            <w:pPr>
              <w:pStyle w:val="Compact"/>
            </w:pPr>
            <w:r>
              <w:t xml:space="preserve">Storage QoS Policies für IO-intensive VMs konfiguriert</w:t>
            </w:r>
          </w:p>
        </w:tc>
        <w:tc>
          <w:tcPr/>
          <w:p>
            <w:pPr>
              <w:pStyle w:val="Compact"/>
            </w:pPr>
            <w:r>
              <w:t xml:space="preserve">Offen</w:t>
            </w:r>
          </w:p>
        </w:tc>
      </w:tr>
      <w:tr>
        <w:tc>
          <w:tcPr/>
          <w:p>
            <w:pPr>
              <w:pStyle w:val="Compact"/>
            </w:pPr>
            <w:r>
              <w:t xml:space="preserve">16</w:t>
            </w:r>
          </w:p>
        </w:tc>
        <w:tc>
          <w:tcPr/>
          <w:p>
            <w:pPr>
              <w:pStyle w:val="Compact"/>
            </w:pPr>
            <w:r>
              <w:t xml:space="preserve">CSV In-Memory Read Cache konfiguriert (bei read-intensiven Workloads)</w:t>
            </w:r>
          </w:p>
        </w:tc>
        <w:tc>
          <w:tcPr/>
          <w:p>
            <w:pPr>
              <w:pStyle w:val="Compact"/>
            </w:pPr>
            <w:r>
              <w:t xml:space="preserve">Offen</w:t>
            </w:r>
          </w:p>
        </w:tc>
      </w:tr>
      <w:tr>
        <w:tc>
          <w:tcPr/>
          <w:p>
            <w:pPr>
              <w:pStyle w:val="Compact"/>
            </w:pPr>
            <w:r>
              <w:t xml:space="preserve">17</w:t>
            </w:r>
          </w:p>
        </w:tc>
        <w:tc>
          <w:tcPr/>
          <w:p>
            <w:pPr>
              <w:pStyle w:val="Compact"/>
            </w:pPr>
            <w:r>
              <w:t xml:space="preserve">Windows-Firewall auf allen Knoten aktiviert und gehärtet</w:t>
            </w:r>
          </w:p>
        </w:tc>
        <w:tc>
          <w:tcPr/>
          <w:p>
            <w:pPr>
              <w:pStyle w:val="Compact"/>
            </w:pPr>
            <w:r>
              <w:t xml:space="preserve">Offen</w:t>
            </w:r>
          </w:p>
        </w:tc>
      </w:tr>
    </w:tbl>
    <w:bookmarkEnd w:id="39"/>
    <w:bookmarkStart w:id="40" w:name="risikobewertung"/>
    <w:p>
      <w:pPr>
        <w:pStyle w:val="Heading2"/>
      </w:pPr>
      <w:r>
        <w:rPr>
          <w:rStyle w:val="SectionNumber"/>
        </w:rPr>
        <w:t xml:space="preserve">10.2</w:t>
      </w:r>
      <w:r>
        <w:tab/>
      </w:r>
      <w:r>
        <w:t xml:space="preserve">Risikobewertung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Risiko</w:t>
            </w:r>
          </w:p>
        </w:tc>
        <w:tc>
          <w:tcPr/>
          <w:p>
            <w:pPr>
              <w:pStyle w:val="Compact"/>
            </w:pPr>
            <w:r>
              <w:t xml:space="preserve">Wahrscheinlichkeit</w:t>
            </w:r>
          </w:p>
        </w:tc>
        <w:tc>
          <w:tcPr/>
          <w:p>
            <w:pPr>
              <w:pStyle w:val="Compact"/>
            </w:pPr>
            <w:r>
              <w:t xml:space="preserve">Auswirkung</w:t>
            </w:r>
          </w:p>
        </w:tc>
        <w:tc>
          <w:tcPr/>
          <w:p>
            <w:pPr>
              <w:pStyle w:val="Compact"/>
            </w:pPr>
            <w:r>
              <w:t xml:space="preserve">Mitigation</w:t>
            </w:r>
          </w:p>
        </w:tc>
      </w:tr>
      <w:tr>
        <w:tc>
          <w:tcPr/>
          <w:p>
            <w:pPr>
              <w:pStyle w:val="Compact"/>
            </w:pPr>
            <w:r>
              <w:t xml:space="preserve">Ausfall eines einzelnen Servers</w:t>
            </w:r>
          </w:p>
        </w:tc>
        <w:tc>
          <w:tcPr/>
          <w:p>
            <w:pPr>
              <w:pStyle w:val="Compact"/>
            </w:pPr>
            <w:r>
              <w:t xml:space="preserve">Mittel</w:t>
            </w:r>
          </w:p>
        </w:tc>
        <w:tc>
          <w:tcPr/>
          <w:p>
            <w:pPr>
              <w:pStyle w:val="Compact"/>
            </w:pPr>
            <w:r>
              <w:t xml:space="preserve">Gering — toleriert durch Three-way Mirror</w:t>
            </w:r>
          </w:p>
        </w:tc>
        <w:tc>
          <w:tcPr/>
          <w:p>
            <w:pPr>
              <w:pStyle w:val="Compact"/>
            </w:pPr>
            <w:r>
              <w:t xml:space="preserve">Automatische Reparatur durch S2D</w:t>
            </w:r>
          </w:p>
        </w:tc>
      </w:tr>
      <w:tr>
        <w:tc>
          <w:tcPr/>
          <w:p>
            <w:pPr>
              <w:pStyle w:val="Compact"/>
            </w:pPr>
            <w:r>
              <w:t xml:space="preserve">Ausfall beider Netzwerkpfade zwischen Abschnitten</w:t>
            </w:r>
          </w:p>
        </w:tc>
        <w:tc>
          <w:tcPr/>
          <w:p>
            <w:pPr>
              <w:pStyle w:val="Compact"/>
            </w:pPr>
            <w:r>
              <w:t xml:space="preserve">Niedrig</w:t>
            </w:r>
          </w:p>
        </w:tc>
        <w:tc>
          <w:tcPr/>
          <w:p>
            <w:pPr>
              <w:pStyle w:val="Compact"/>
            </w:pPr>
            <w:r>
              <w:t xml:space="preserve">Hoch — Cluster-Partition</w:t>
            </w:r>
          </w:p>
        </w:tc>
        <w:tc>
          <w:tcPr/>
          <w:p>
            <w:pPr>
              <w:pStyle w:val="Compact"/>
            </w:pPr>
            <w:r>
              <w:t xml:space="preserve">Redundante, physisch getrennte Kabelwege</w:t>
            </w:r>
          </w:p>
        </w:tc>
      </w:tr>
      <w:tr>
        <w:tc>
          <w:tcPr/>
          <w:p>
            <w:pPr>
              <w:pStyle w:val="Compact"/>
            </w:pPr>
            <w:r>
              <w:t xml:space="preserve">Ausfall eines kompletten Brandabschnitts (3 Knoten)</w:t>
            </w:r>
          </w:p>
        </w:tc>
        <w:tc>
          <w:tcPr/>
          <w:p>
            <w:pPr>
              <w:pStyle w:val="Compact"/>
            </w:pPr>
            <w:r>
              <w:t xml:space="preserve">Niedrig</w:t>
            </w:r>
          </w:p>
        </w:tc>
        <w:tc>
          <w:tcPr/>
          <w:p>
            <w:pPr>
              <w:pStyle w:val="Compact"/>
            </w:pPr>
            <w:r>
              <w:t xml:space="preserve">Kritisch — Volumes gehen möglicherweise offline</w:t>
            </w:r>
          </w:p>
        </w:tc>
        <w:tc>
          <w:tcPr/>
          <w:p>
            <w:pPr>
              <w:pStyle w:val="Compact"/>
            </w:pPr>
            <w:r>
              <w:t xml:space="preserve">Witness an drittem Standort; schneller Wiederaufbau</w:t>
            </w:r>
          </w:p>
        </w:tc>
      </w:tr>
      <w:tr>
        <w:tc>
          <w:tcPr/>
          <w:p>
            <w:pPr>
              <w:pStyle w:val="Compact"/>
            </w:pPr>
            <w:r>
              <w:t xml:space="preserve">File Share Witness nicht erreichbar</w:t>
            </w:r>
          </w:p>
        </w:tc>
        <w:tc>
          <w:tcPr/>
          <w:p>
            <w:pPr>
              <w:pStyle w:val="Compact"/>
            </w:pPr>
            <w:r>
              <w:t xml:space="preserve">Niedrig</w:t>
            </w:r>
          </w:p>
        </w:tc>
        <w:tc>
          <w:tcPr/>
          <w:p>
            <w:pPr>
              <w:pStyle w:val="Compact"/>
            </w:pPr>
            <w:r>
              <w:t xml:space="preserve">Mittel — bei zusätzlichem Knotenausfall kein Quorum</w:t>
            </w:r>
          </w:p>
        </w:tc>
        <w:tc>
          <w:tcPr/>
          <w:p>
            <w:pPr>
              <w:pStyle w:val="Compact"/>
            </w:pPr>
            <w:r>
              <w:t xml:space="preserve">Hochverfügbaren Dateiserver verwenden</w:t>
            </w:r>
          </w:p>
        </w:tc>
      </w:tr>
      <w:tr>
        <w:tc>
          <w:tcPr/>
          <w:p>
            <w:pPr>
              <w:pStyle w:val="Compact"/>
            </w:pPr>
            <w:r>
              <w:t xml:space="preserve">Latenz-Anstieg zwischen Brandabschnitten</w:t>
            </w:r>
          </w:p>
        </w:tc>
        <w:tc>
          <w:tcPr/>
          <w:p>
            <w:pPr>
              <w:pStyle w:val="Compact"/>
            </w:pPr>
            <w:r>
              <w:t xml:space="preserve">Mittel</w:t>
            </w:r>
          </w:p>
        </w:tc>
        <w:tc>
          <w:tcPr/>
          <w:p>
            <w:pPr>
              <w:pStyle w:val="Compact"/>
            </w:pPr>
            <w:r>
              <w:t xml:space="preserve">Mittel — Performance-Degradation</w:t>
            </w:r>
          </w:p>
        </w:tc>
        <w:tc>
          <w:tcPr/>
          <w:p>
            <w:pPr>
              <w:pStyle w:val="Compact"/>
            </w:pPr>
            <w:r>
              <w:t xml:space="preserve">Monitoring; dedizierte Storage-NICs</w:t>
            </w:r>
          </w:p>
        </w:tc>
      </w:tr>
      <w:tr>
        <w:tc>
          <w:tcPr/>
          <w:p>
            <w:pPr>
              <w:pStyle w:val="Compact"/>
            </w:pPr>
            <w:r>
              <w:t xml:space="preserve">Unverschlüsselter Storage-Traffic über Brandschotts</w:t>
            </w:r>
          </w:p>
        </w:tc>
        <w:tc>
          <w:tcPr/>
          <w:p>
            <w:pPr>
              <w:pStyle w:val="Compact"/>
            </w:pPr>
            <w:r>
              <w:t xml:space="preserve">Mittel</w:t>
            </w:r>
          </w:p>
        </w:tc>
        <w:tc>
          <w:tcPr/>
          <w:p>
            <w:pPr>
              <w:pStyle w:val="Compact"/>
            </w:pPr>
            <w:r>
              <w:t xml:space="preserve">Hoch — Daten im Klartext über physische Grenzen</w:t>
            </w:r>
          </w:p>
        </w:tc>
        <w:tc>
          <w:tcPr/>
          <w:p>
            <w:pPr>
              <w:pStyle w:val="Compact"/>
            </w:pPr>
            <w:r>
              <w:t xml:space="preserve">SMB-Verschlüsselung aktivieren (ab WS2022 RDMA-kompatibel) [7]</w:t>
            </w:r>
          </w:p>
        </w:tc>
      </w:tr>
      <w:tr>
        <w:tc>
          <w:tcPr/>
          <w:p>
            <w:pPr>
              <w:pStyle w:val="Compact"/>
            </w:pPr>
            <w:r>
              <w:t xml:space="preserve">Noisy-Neighbor bei IO-intensiven VMs</w:t>
            </w:r>
          </w:p>
        </w:tc>
        <w:tc>
          <w:tcPr/>
          <w:p>
            <w:pPr>
              <w:pStyle w:val="Compact"/>
            </w:pPr>
            <w:r>
              <w:t xml:space="preserve">Hoch</w:t>
            </w:r>
          </w:p>
        </w:tc>
        <w:tc>
          <w:tcPr/>
          <w:p>
            <w:pPr>
              <w:pStyle w:val="Compact"/>
            </w:pPr>
            <w:r>
              <w:t xml:space="preserve">Mittel — Performance-Degradation anderer VMs</w:t>
            </w:r>
          </w:p>
        </w:tc>
        <w:tc>
          <w:tcPr/>
          <w:p>
            <w:pPr>
              <w:pStyle w:val="Compact"/>
            </w:pPr>
            <w:r>
              <w:t xml:space="preserve">Storage QoS Policies mit IOPS-Limits konfigurieren [8]</w:t>
            </w:r>
          </w:p>
        </w:tc>
      </w:tr>
    </w:tbl>
    <w:bookmarkEnd w:id="40"/>
    <w:bookmarkEnd w:id="41"/>
    <w:bookmarkStart w:id="50" w:name="quellenverzeichnis"/>
    <w:p>
      <w:pPr>
        <w:pStyle w:val="Heading1"/>
      </w:pPr>
      <w:r>
        <w:rPr>
          <w:rStyle w:val="SectionNumber"/>
        </w:rPr>
        <w:t xml:space="preserve">11</w:t>
      </w:r>
      <w:r>
        <w:tab/>
      </w:r>
      <w:r>
        <w:t xml:space="preserve">Quellenverzeichnis</w:t>
      </w:r>
    </w:p>
    <w:p>
      <w:pPr>
        <w:numPr>
          <w:ilvl w:val="0"/>
          <w:numId w:val="1003"/>
        </w:numPr>
      </w:pPr>
      <w:r>
        <w:rPr>
          <w:b/>
          <w:bCs/>
        </w:rPr>
        <w:t xml:space="preserve">Microsoft Learn</w:t>
      </w:r>
      <w:r>
        <w:t xml:space="preserve"> </w:t>
      </w:r>
      <w:r>
        <w:t xml:space="preserve">— „Storage Spaces Direct overview”</w:t>
      </w:r>
      <w:r>
        <w:br/>
      </w:r>
      <w:hyperlink r:id="rId42">
        <w:r>
          <w:rPr>
            <w:rStyle w:val="Hyperlink"/>
          </w:rPr>
          <w:t xml:space="preserve">https://learn.microsoft.com/en-us/windows-server/storage/storage-spaces/storage-spaces-direct-overview</w:t>
        </w:r>
      </w:hyperlink>
      <w:r>
        <w:br/>
      </w:r>
      <w:r>
        <w:t xml:space="preserve">Abgerufen: 20. April 2026</w:t>
      </w:r>
    </w:p>
    <w:p>
      <w:pPr>
        <w:numPr>
          <w:ilvl w:val="0"/>
          <w:numId w:val="1003"/>
        </w:numPr>
      </w:pPr>
      <w:r>
        <w:rPr>
          <w:b/>
          <w:bCs/>
        </w:rPr>
        <w:t xml:space="preserve">Microsoft Learn</w:t>
      </w:r>
      <w:r>
        <w:t xml:space="preserve"> </w:t>
      </w:r>
      <w:r>
        <w:t xml:space="preserve">— „Storage Spaces Direct hardware requirements in Windows Server”</w:t>
      </w:r>
      <w:r>
        <w:br/>
      </w:r>
      <w:hyperlink r:id="rId43">
        <w:r>
          <w:rPr>
            <w:rStyle w:val="Hyperlink"/>
          </w:rPr>
          <w:t xml:space="preserve">https://learn.microsoft.com/en-us/windows-server/storage/storage-spaces/storage-spaces-direct-hardware-requirements</w:t>
        </w:r>
      </w:hyperlink>
      <w:r>
        <w:br/>
      </w:r>
      <w:r>
        <w:t xml:space="preserve">Abgerufen: 20. April 2026</w:t>
      </w:r>
    </w:p>
    <w:p>
      <w:pPr>
        <w:numPr>
          <w:ilvl w:val="0"/>
          <w:numId w:val="1003"/>
        </w:numPr>
      </w:pPr>
      <w:r>
        <w:rPr>
          <w:b/>
          <w:bCs/>
        </w:rPr>
        <w:t xml:space="preserve">Microsoft Learn</w:t>
      </w:r>
      <w:r>
        <w:t xml:space="preserve"> </w:t>
      </w:r>
      <w:r>
        <w:t xml:space="preserve">— „Fault domain awareness”</w:t>
      </w:r>
      <w:r>
        <w:br/>
      </w:r>
      <w:hyperlink r:id="rId44">
        <w:r>
          <w:rPr>
            <w:rStyle w:val="Hyperlink"/>
          </w:rPr>
          <w:t xml:space="preserve">https://learn.microsoft.com/en-us/windows-server/failover-clustering/fault-domains</w:t>
        </w:r>
      </w:hyperlink>
      <w:r>
        <w:br/>
      </w:r>
      <w:r>
        <w:t xml:space="preserve">Abgerufen: 20. April 2026</w:t>
      </w:r>
    </w:p>
    <w:p>
      <w:pPr>
        <w:numPr>
          <w:ilvl w:val="0"/>
          <w:numId w:val="1003"/>
        </w:numPr>
      </w:pPr>
      <w:r>
        <w:rPr>
          <w:b/>
          <w:bCs/>
        </w:rPr>
        <w:t xml:space="preserve">Microsoft Learn</w:t>
      </w:r>
      <w:r>
        <w:t xml:space="preserve"> </w:t>
      </w:r>
      <w:r>
        <w:t xml:space="preserve">— „Fault tolerance and storage efficiency on Azure Local and Windows Server clusters”</w:t>
      </w:r>
      <w:r>
        <w:br/>
      </w:r>
      <w:hyperlink r:id="rId45">
        <w:r>
          <w:rPr>
            <w:rStyle w:val="Hyperlink"/>
          </w:rPr>
          <w:t xml:space="preserve">https://learn.microsoft.com/en-us/windows-server/storage/storage-spaces/fault-tolerance</w:t>
        </w:r>
      </w:hyperlink>
      <w:r>
        <w:br/>
      </w:r>
      <w:r>
        <w:t xml:space="preserve">Abgerufen: 20. April 2026</w:t>
      </w:r>
    </w:p>
    <w:p>
      <w:pPr>
        <w:numPr>
          <w:ilvl w:val="0"/>
          <w:numId w:val="1003"/>
        </w:numPr>
      </w:pPr>
      <w:r>
        <w:rPr>
          <w:b/>
          <w:bCs/>
        </w:rPr>
        <w:t xml:space="preserve">Microsoft Learn</w:t>
      </w:r>
      <w:r>
        <w:t xml:space="preserve"> </w:t>
      </w:r>
      <w:r>
        <w:t xml:space="preserve">— „Understanding cluster and pool quorum”</w:t>
      </w:r>
      <w:r>
        <w:br/>
      </w:r>
      <w:hyperlink r:id="rId46">
        <w:r>
          <w:rPr>
            <w:rStyle w:val="Hyperlink"/>
          </w:rPr>
          <w:t xml:space="preserve">https://learn.microsoft.com/en-us/windows-server/storage/storage-spaces/quorum</w:t>
        </w:r>
      </w:hyperlink>
      <w:r>
        <w:br/>
      </w:r>
      <w:r>
        <w:t xml:space="preserve">Abgerufen: 20. April 2026</w:t>
      </w:r>
    </w:p>
    <w:p>
      <w:pPr>
        <w:numPr>
          <w:ilvl w:val="0"/>
          <w:numId w:val="1003"/>
        </w:numPr>
      </w:pPr>
      <w:r>
        <w:rPr>
          <w:b/>
          <w:bCs/>
        </w:rPr>
        <w:t xml:space="preserve">Microsoft Learn</w:t>
      </w:r>
      <w:r>
        <w:t xml:space="preserve"> </w:t>
      </w:r>
      <w:r>
        <w:t xml:space="preserve">— „Deploy a quorum witness”</w:t>
      </w:r>
      <w:r>
        <w:br/>
      </w:r>
      <w:hyperlink r:id="rId47">
        <w:r>
          <w:rPr>
            <w:rStyle w:val="Hyperlink"/>
          </w:rPr>
          <w:t xml:space="preserve">https://learn.microsoft.com/en-us/windows-server/failover-clustering/deploy-quorum-witness</w:t>
        </w:r>
      </w:hyperlink>
      <w:r>
        <w:br/>
      </w:r>
      <w:r>
        <w:t xml:space="preserve">Abgerufen: 20. April 2026</w:t>
      </w:r>
    </w:p>
    <w:p>
      <w:pPr>
        <w:numPr>
          <w:ilvl w:val="0"/>
          <w:numId w:val="1003"/>
        </w:numPr>
      </w:pPr>
      <w:r>
        <w:rPr>
          <w:b/>
          <w:bCs/>
        </w:rPr>
        <w:t xml:space="preserve">Microsoft Learn</w:t>
      </w:r>
      <w:r>
        <w:t xml:space="preserve"> </w:t>
      </w:r>
      <w:r>
        <w:t xml:space="preserve">— „SMB security enhancements”</w:t>
      </w:r>
      <w:r>
        <w:br/>
      </w:r>
      <w:hyperlink r:id="rId48">
        <w:r>
          <w:rPr>
            <w:rStyle w:val="Hyperlink"/>
          </w:rPr>
          <w:t xml:space="preserve">https://learn.microsoft.com/en-us/windows-server/storage/file-server/smb-security</w:t>
        </w:r>
      </w:hyperlink>
      <w:r>
        <w:br/>
      </w:r>
      <w:r>
        <w:t xml:space="preserve">Abgerufen: 21. April 2026</w:t>
      </w:r>
    </w:p>
    <w:p>
      <w:pPr>
        <w:numPr>
          <w:ilvl w:val="0"/>
          <w:numId w:val="1003"/>
        </w:numPr>
      </w:pPr>
      <w:r>
        <w:rPr>
          <w:b/>
          <w:bCs/>
        </w:rPr>
        <w:t xml:space="preserve">Microsoft Learn</w:t>
      </w:r>
      <w:r>
        <w:t xml:space="preserve"> </w:t>
      </w:r>
      <w:r>
        <w:t xml:space="preserve">— „Storage Quality of Service”</w:t>
      </w:r>
      <w:r>
        <w:br/>
      </w:r>
      <w:hyperlink r:id="rId49">
        <w:r>
          <w:rPr>
            <w:rStyle w:val="Hyperlink"/>
          </w:rPr>
          <w:t xml:space="preserve">https://learn.microsoft.com/en-us/windows-server/storage/storage-qos/storage-qos-overview</w:t>
        </w:r>
      </w:hyperlink>
      <w:r>
        <w:br/>
      </w:r>
      <w:r>
        <w:t xml:space="preserve">Abgerufen: 21. April 2026</w:t>
      </w:r>
    </w:p>
    <w:p>
      <w:r>
        <w:br w:type="page"/>
      </w:r>
    </w:p>
    <w:bookmarkEnd w:id="50"/>
    <w:bookmarkStart w:id="51" w:name="zusammenfassung-1"/>
    <w:p>
      <w:pPr>
        <w:pStyle w:val="Heading1"/>
      </w:pPr>
      <w:r>
        <w:rPr>
          <w:rStyle w:val="SectionNumber"/>
        </w:rPr>
        <w:t xml:space="preserve">12</w:t>
      </w:r>
      <w:r>
        <w:tab/>
      </w:r>
      <w:r>
        <w:t xml:space="preserve">Zusammenfassung</w:t>
      </w:r>
    </w:p>
    <w:p>
      <w:pPr>
        <w:pStyle w:val="FirstParagraph"/>
      </w:pPr>
      <w:r>
        <w:t xml:space="preserve">Dieses Dokument beschreibt den vollständigen Aufbau eines</w:t>
      </w:r>
      <w:r>
        <w:t xml:space="preserve"> </w:t>
      </w:r>
      <w:r>
        <w:rPr>
          <w:b/>
          <w:bCs/>
        </w:rPr>
        <w:t xml:space="preserve">Storage Spaces Direct (S2D)</w:t>
      </w:r>
      <w:r>
        <w:t xml:space="preserve"> </w:t>
      </w:r>
      <w:r>
        <w:t xml:space="preserve">Clusters unter Windows Server. Es behandelt alle Hardware- und Software-Voraussetzungen, die Netzwerk-Konfiguration, das schrittweise Deployment per PowerShell sowie die Post-Deployment-Validierung und Fehlerbehebung. Alle technischen Aussagen wurden gegen die offizielle Microsoft-Dokumentation validiert und mit Quellenangaben versehen.</w:t>
      </w:r>
    </w:p>
    <w:p>
      <w:pPr>
        <w:pStyle w:val="BodyText"/>
      </w:pPr>
      <w:r>
        <w:rPr>
          <w:b/>
          <w:bCs/>
        </w:rPr>
        <w:t xml:space="preserve">Zielgruppe</w:t>
      </w:r>
      <w:r>
        <w:t xml:space="preserve">: Windows Server Administratoren und Infrastruktur-Architekten, die einen S2D-Cluster planen und implementieren.</w:t>
      </w:r>
    </w:p>
    <w:bookmarkEnd w:id="51"/>
    <w:bookmarkStart w:id="68" w:name="hardware-voraussetzungen"/>
    <w:p>
      <w:pPr>
        <w:pStyle w:val="Heading1"/>
      </w:pPr>
      <w:r>
        <w:rPr>
          <w:rStyle w:val="SectionNumber"/>
        </w:rPr>
        <w:t xml:space="preserve">13</w:t>
      </w:r>
      <w:r>
        <w:tab/>
      </w:r>
      <w:r>
        <w:t xml:space="preserve">Hardware-Voraussetzungen</w:t>
      </w:r>
    </w:p>
    <w:bookmarkStart w:id="53" w:name="server"/>
    <w:p>
      <w:pPr>
        <w:pStyle w:val="Heading2"/>
      </w:pPr>
      <w:r>
        <w:rPr>
          <w:rStyle w:val="SectionNumber"/>
        </w:rPr>
        <w:t xml:space="preserve">13.1</w:t>
      </w:r>
      <w:r>
        <w:tab/>
      </w:r>
      <w:r>
        <w:t xml:space="preserve">Server</w:t>
      </w:r>
    </w:p>
    <w:p>
      <w:pPr>
        <w:pStyle w:val="FirstParagraph"/>
      </w:pPr>
      <w:r>
        <w:t xml:space="preserve">Storage Spaces Direct erfordert mindestens</w:t>
      </w:r>
      <w:r>
        <w:t xml:space="preserve"> </w:t>
      </w:r>
      <w:r>
        <w:rPr>
          <w:b/>
          <w:bCs/>
        </w:rPr>
        <w:t xml:space="preserve">2 Server</w:t>
      </w:r>
      <w:r>
        <w:t xml:space="preserve"> </w:t>
      </w:r>
      <w:r>
        <w:t xml:space="preserve">und unterstützt maximal</w:t>
      </w:r>
      <w:r>
        <w:t xml:space="preserve"> </w:t>
      </w:r>
      <w:r>
        <w:rPr>
          <w:b/>
          <w:bCs/>
        </w:rPr>
        <w:t xml:space="preserve">16 Server</w:t>
      </w:r>
      <w:r>
        <w:t xml:space="preserve"> </w:t>
      </w:r>
      <w:r>
        <w:t xml:space="preserve">pro Cluster [1][2]. Microsoft empfiehlt, dass alle Server vom selben Hersteller und Modell stammen (</w:t>
      </w:r>
      <w:r>
        <w:rPr>
          <w:b/>
          <w:bCs/>
        </w:rPr>
        <w:t xml:space="preserve">symmetrische Hardware</w:t>
      </w:r>
      <w:r>
        <w:t xml:space="preserve">)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Minimale Knotenzahl</w:t>
            </w:r>
          </w:p>
        </w:tc>
        <w:tc>
          <w:tcPr/>
          <w:p>
            <w:pPr>
              <w:pStyle w:val="Compact"/>
            </w:pPr>
            <w:r>
              <w:t xml:space="preserve">2 Server</w:t>
            </w:r>
          </w:p>
        </w:tc>
      </w:tr>
      <w:tr>
        <w:tc>
          <w:tcPr/>
          <w:p>
            <w:pPr>
              <w:pStyle w:val="Compact"/>
            </w:pPr>
            <w:r>
              <w:t xml:space="preserve">Maximale Knotenzahl</w:t>
            </w:r>
          </w:p>
        </w:tc>
        <w:tc>
          <w:tcPr/>
          <w:p>
            <w:pPr>
              <w:pStyle w:val="Compact"/>
            </w:pPr>
            <w:r>
              <w:t xml:space="preserve">16 Server</w:t>
            </w:r>
          </w:p>
        </w:tc>
      </w:tr>
      <w:tr>
        <w:tc>
          <w:tcPr/>
          <w:p>
            <w:pPr>
              <w:pStyle w:val="Compact"/>
            </w:pPr>
            <w:r>
              <w:t xml:space="preserve">Hardware-Empfehlung</w:t>
            </w:r>
          </w:p>
        </w:tc>
        <w:tc>
          <w:tcPr/>
          <w:p>
            <w:pPr>
              <w:pStyle w:val="Compact"/>
            </w:pPr>
            <w:r>
              <w:t xml:space="preserve">Identischer Hersteller und identisches Modell</w:t>
            </w:r>
          </w:p>
        </w:tc>
      </w:tr>
      <w:tr>
        <w:tc>
          <w:tcPr/>
          <w:p>
            <w:pPr>
              <w:pStyle w:val="Compact"/>
            </w:pPr>
            <w:r>
              <w:t xml:space="preserve">Zertifizierung</w:t>
            </w:r>
          </w:p>
        </w:tc>
        <w:tc>
          <w:tcPr/>
          <w:p>
            <w:pPr>
              <w:pStyle w:val="Compact"/>
            </w:pPr>
            <w:r>
              <w:t xml:space="preserve">Windows Server Catalog (SDDC Standard/Premium AQ empfohlen) [2]</w:t>
            </w:r>
          </w:p>
        </w:tc>
      </w:tr>
    </w:tbl>
    <w:p>
      <w:pPr>
        <w:pStyle w:val="BlockText"/>
      </w:pPr>
      <w:r>
        <w:rPr>
          <w:b/>
          <w:bCs/>
        </w:rPr>
        <w:t xml:space="preserve">Wichtig</w:t>
      </w:r>
      <w:r>
        <w:t xml:space="preserve">: Systeme, Komponenten, Geräte und Treiber müssen für das verwendete Betriebssystem im</w:t>
      </w:r>
      <w:r>
        <w:t xml:space="preserve"> </w:t>
      </w:r>
      <w:hyperlink r:id="rId52">
        <w:r>
          <w:rPr>
            <w:rStyle w:val="Hyperlink"/>
          </w:rPr>
          <w:t xml:space="preserve">Windows Server Catalog</w:t>
        </w:r>
      </w:hyperlink>
      <w:r>
        <w:t xml:space="preserve"> </w:t>
      </w:r>
      <w:r>
        <w:t xml:space="preserve">zertifiziert sein. Microsoft empfiehlt zusätzlich die Qualifikationen</w:t>
      </w:r>
      <w:r>
        <w:t xml:space="preserve"> </w:t>
      </w:r>
      <w:r>
        <w:rPr>
          <w:b/>
          <w:bCs/>
        </w:rPr>
        <w:t xml:space="preserve">Software-Defined Data Center (SDDC) Standard</w:t>
      </w:r>
      <w:r>
        <w:t xml:space="preserve"> </w:t>
      </w:r>
      <w:r>
        <w:t xml:space="preserve">oder</w:t>
      </w:r>
      <w:r>
        <w:t xml:space="preserve"> </w:t>
      </w:r>
      <w:r>
        <w:rPr>
          <w:b/>
          <w:bCs/>
        </w:rPr>
        <w:t xml:space="preserve">Premium</w:t>
      </w:r>
      <w:r>
        <w:t xml:space="preserve"> </w:t>
      </w:r>
      <w:r>
        <w:t xml:space="preserve">[2].</w:t>
      </w:r>
    </w:p>
    <w:bookmarkEnd w:id="53"/>
    <w:bookmarkStart w:id="54" w:name="prozessoren"/>
    <w:p>
      <w:pPr>
        <w:pStyle w:val="Heading2"/>
      </w:pPr>
      <w:r>
        <w:rPr>
          <w:rStyle w:val="SectionNumber"/>
        </w:rPr>
        <w:t xml:space="preserve">13.2</w:t>
      </w:r>
      <w:r>
        <w:tab/>
      </w:r>
      <w:r>
        <w:t xml:space="preserve">Prozessoren</w:t>
      </w:r>
    </w:p>
    <w:p>
      <w:pPr>
        <w:pStyle w:val="FirstParagraph"/>
      </w:pPr>
      <w:r>
        <w:t xml:space="preserve">Die Mindestanforderungen an die CPU sind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Intel</w:t>
            </w:r>
          </w:p>
        </w:tc>
        <w:tc>
          <w:tcPr/>
          <w:p>
            <w:pPr>
              <w:pStyle w:val="Compact"/>
            </w:pPr>
            <w:r>
              <w:t xml:space="preserve">Intel Nehalem oder neuer (empfohlen: Intel Xeon Scalable)</w:t>
            </w:r>
          </w:p>
        </w:tc>
      </w:tr>
      <w:tr>
        <w:tc>
          <w:tcPr/>
          <w:p>
            <w:pPr>
              <w:pStyle w:val="Compact"/>
            </w:pPr>
            <w:r>
              <w:t xml:space="preserve">AMD</w:t>
            </w:r>
          </w:p>
        </w:tc>
        <w:tc>
          <w:tcPr/>
          <w:p>
            <w:pPr>
              <w:pStyle w:val="Compact"/>
            </w:pPr>
            <w:r>
              <w:t xml:space="preserve">AMD EPYC oder neuer</w:t>
            </w:r>
          </w:p>
        </w:tc>
      </w:tr>
      <w:tr>
        <w:tc>
          <w:tcPr/>
          <w:p>
            <w:pPr>
              <w:pStyle w:val="Compact"/>
            </w:pPr>
            <w:r>
              <w:t xml:space="preserve">Symmetrie</w:t>
            </w:r>
          </w:p>
        </w:tc>
        <w:tc>
          <w:tcPr/>
          <w:p>
            <w:pPr>
              <w:pStyle w:val="Compact"/>
            </w:pPr>
            <w:r>
              <w:t xml:space="preserve">Identische CPU-Familien über alle Knoten empfohlen</w:t>
            </w:r>
          </w:p>
        </w:tc>
      </w:tr>
    </w:tbl>
    <w:p>
      <w:pPr>
        <w:pStyle w:val="BlockText"/>
      </w:pPr>
      <w:r>
        <w:rPr>
          <w:b/>
          <w:bCs/>
        </w:rPr>
        <w:t xml:space="preserve">Hinweis</w:t>
      </w:r>
      <w:r>
        <w:t xml:space="preserve">: Identische CPU-Familien auf allen Knoten vereinfachen die Live Migration von VMs und gewährleisten konsistente Performance im Cluster.</w:t>
      </w:r>
    </w:p>
    <w:bookmarkEnd w:id="54"/>
    <w:bookmarkStart w:id="55" w:name="arbeitsspeicher"/>
    <w:p>
      <w:pPr>
        <w:pStyle w:val="Heading2"/>
      </w:pPr>
      <w:r>
        <w:rPr>
          <w:rStyle w:val="SectionNumber"/>
        </w:rPr>
        <w:t xml:space="preserve">13.3</w:t>
      </w:r>
      <w:r>
        <w:tab/>
      </w:r>
      <w:r>
        <w:t xml:space="preserve">Arbeitsspeicher</w:t>
      </w:r>
    </w:p>
    <w:p>
      <w:pPr>
        <w:pStyle w:val="FirstParagraph"/>
      </w:pPr>
      <w:r>
        <w:t xml:space="preserve">Die RAM-Anforderungen für S2D setzen sich aus mehreren Komponenten zusammen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Anforderung</w:t>
            </w:r>
          </w:p>
        </w:tc>
      </w:tr>
      <w:tr>
        <w:tc>
          <w:tcPr/>
          <w:p>
            <w:pPr>
              <w:pStyle w:val="Compact"/>
            </w:pPr>
            <w:r>
              <w:t xml:space="preserve">Betriebssystem</w:t>
            </w:r>
          </w:p>
        </w:tc>
        <w:tc>
          <w:tcPr/>
          <w:p>
            <w:pPr>
              <w:pStyle w:val="Compact"/>
            </w:pPr>
            <w:r>
              <w:t xml:space="preserve">Minimum gemäß Windows Server Systemanforderungen</w:t>
            </w:r>
          </w:p>
        </w:tc>
      </w:tr>
      <w:tr>
        <w:tc>
          <w:tcPr/>
          <w:p>
            <w:pPr>
              <w:pStyle w:val="Compact"/>
            </w:pPr>
            <w:r>
              <w:t xml:space="preserve">VMs und Workloads</w:t>
            </w:r>
          </w:p>
        </w:tc>
        <w:tc>
          <w:tcPr/>
          <w:p>
            <w:pPr>
              <w:pStyle w:val="Compact"/>
            </w:pPr>
            <w:r>
              <w:t xml:space="preserve">Abhängig von der geplanten Auslastung</w:t>
            </w:r>
          </w:p>
        </w:tc>
      </w:tr>
      <w:tr>
        <w:tc>
          <w:tcPr/>
          <w:p>
            <w:pPr>
              <w:pStyle w:val="Compact"/>
            </w:pPr>
            <w:r>
              <w:t xml:space="preserve">S2D-Metadaten</w:t>
            </w:r>
          </w:p>
        </w:tc>
        <w:tc>
          <w:tcPr/>
          <w:p>
            <w:pPr>
              <w:pStyle w:val="Compact"/>
            </w:pPr>
            <w:r>
              <w:rPr>
                <w:b/>
                <w:bCs/>
              </w:rPr>
              <w:t xml:space="preserve">4 GB RAM pro TB Cache-Laufwerkskapazität</w:t>
            </w:r>
            <w:r>
              <w:t xml:space="preserve"> </w:t>
            </w:r>
            <w:r>
              <w:t xml:space="preserve">pro Server</w:t>
            </w:r>
          </w:p>
        </w:tc>
      </w:tr>
      <w:tr>
        <w:tc>
          <w:tcPr/>
          <w:p>
            <w:pPr>
              <w:pStyle w:val="Compact"/>
            </w:pPr>
            <w:r>
              <w:t xml:space="preserve">RAM-Typ</w:t>
            </w:r>
          </w:p>
        </w:tc>
        <w:tc>
          <w:tcPr/>
          <w:p>
            <w:pPr>
              <w:pStyle w:val="Compact"/>
            </w:pPr>
            <w:r>
              <w:t xml:space="preserve">ECC-RAM erforderlich (Server-Hardware-Standard)</w:t>
            </w:r>
          </w:p>
        </w:tc>
      </w:tr>
    </w:tbl>
    <w:p>
      <w:pPr>
        <w:pStyle w:val="BodyText"/>
      </w:pPr>
      <w:r>
        <w:rPr>
          <w:b/>
          <w:bCs/>
        </w:rPr>
        <w:t xml:space="preserve">Beispiel</w:t>
      </w:r>
      <w:r>
        <w:t xml:space="preserve">: Ein Server mit 2× 800 GB NVMe-Cache-Laufwerken (1,6 TB Cache) benötigt mindestens 6,4 GB RAM allein für S2D-Metadaten — zusätzlich zum Bedarf des Betriebssystems und der Workloads.</w:t>
      </w:r>
    </w:p>
    <w:bookmarkEnd w:id="55"/>
    <w:bookmarkStart w:id="61" w:name="speicherlaufwerke"/>
    <w:p>
      <w:pPr>
        <w:pStyle w:val="Heading2"/>
      </w:pPr>
      <w:r>
        <w:rPr>
          <w:rStyle w:val="SectionNumber"/>
        </w:rPr>
        <w:t xml:space="preserve">13.4</w:t>
      </w:r>
      <w:r>
        <w:tab/>
      </w:r>
      <w:r>
        <w:t xml:space="preserve">Speicherlaufwerke</w:t>
      </w:r>
    </w:p>
    <w:bookmarkStart w:id="56" w:name="unterstützte-laufwerkstypen"/>
    <w:p>
      <w:pPr>
        <w:pStyle w:val="Heading3"/>
      </w:pPr>
      <w:r>
        <w:rPr>
          <w:rStyle w:val="SectionNumber"/>
        </w:rPr>
        <w:t xml:space="preserve">13.4.1</w:t>
      </w:r>
      <w:r>
        <w:tab/>
      </w:r>
      <w:r>
        <w:t xml:space="preserve">Unterstützte Laufwerkstypen</w:t>
      </w:r>
    </w:p>
    <w:p>
      <w:pPr>
        <w:pStyle w:val="FirstParagraph"/>
      </w:pPr>
      <w:r>
        <w:t xml:space="preserve">S2D arbeitet mit direkt angeschlossenen Laufwerken der folgenden Typen [2][3]: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Laufwerkstyp</w:t>
            </w:r>
          </w:p>
        </w:tc>
        <w:tc>
          <w:tcPr/>
          <w:p>
            <w:pPr>
              <w:pStyle w:val="Compact"/>
            </w:pPr>
            <w:r>
              <w:t xml:space="preserve">Beschreibung</w:t>
            </w:r>
          </w:p>
        </w:tc>
      </w:tr>
      <w:tr>
        <w:tc>
          <w:tcPr/>
          <w:p>
            <w:pPr>
              <w:pStyle w:val="Compact"/>
            </w:pPr>
            <w:hyperlink w:anchor="nvme-non-volatile-memory-express">
              <w:r>
                <w:rPr>
                  <w:rStyle w:val="Hyperlink"/>
                  <w:b/>
                  <w:bCs/>
                </w:rPr>
                <w:t xml:space="preserve">NVMe</w:t>
              </w:r>
            </w:hyperlink>
          </w:p>
        </w:tc>
        <w:tc>
          <w:tcPr/>
          <w:p>
            <w:pPr>
              <w:pStyle w:val="Compact"/>
            </w:pPr>
            <w:r>
              <w:t xml:space="preserve">Non-Volatile Memory Express — höchste</w:t>
            </w:r>
            <w:r>
              <w:t xml:space="preserve"> </w:t>
            </w:r>
            <w:hyperlink w:anchor="iops-inputoutput-operations-per-second">
              <w:r>
                <w:rPr>
                  <w:rStyle w:val="Hyperlink"/>
                </w:rPr>
                <w:t xml:space="preserve">IOPS</w:t>
              </w:r>
            </w:hyperlink>
            <w:r>
              <w:t xml:space="preserve"> </w:t>
            </w:r>
            <w:r>
              <w:t xml:space="preserve">und niedrigste Latenz (M.2, U.2, Add-in Card)</w:t>
            </w:r>
          </w:p>
        </w:tc>
      </w:tr>
      <w:tr>
        <w:tc>
          <w:tcPr/>
          <w:p>
            <w:pPr>
              <w:pStyle w:val="Compact"/>
            </w:pPr>
            <w:hyperlink w:anchor="ssd-solid-state-drive">
              <w:r>
                <w:rPr>
                  <w:rStyle w:val="Hyperlink"/>
                  <w:b/>
                  <w:bCs/>
                </w:rPr>
                <w:t xml:space="preserve">SSD</w:t>
              </w:r>
            </w:hyperlink>
          </w:p>
        </w:tc>
        <w:tc>
          <w:tcPr/>
          <w:p>
            <w:pPr>
              <w:pStyle w:val="Compact"/>
            </w:pPr>
            <w:r>
              <w:t xml:space="preserve">Solid-State Drives über</w:t>
            </w:r>
            <w:r>
              <w:t xml:space="preserve"> </w:t>
            </w:r>
            <w:hyperlink w:anchor="X8f4e50ee79f33dccdfaabc802b9c528c86b931e">
              <w:r>
                <w:rPr>
                  <w:rStyle w:val="Hyperlink"/>
                </w:rPr>
                <w:t xml:space="preserve">SATA</w:t>
              </w:r>
            </w:hyperlink>
            <w:r>
              <w:t xml:space="preserve"> </w:t>
            </w:r>
            <w:r>
              <w:t xml:space="preserve">oder</w:t>
            </w:r>
            <w:r>
              <w:t xml:space="preserve"> </w:t>
            </w:r>
            <w:hyperlink w:anchor="sas-serial-attached-scsi">
              <w:r>
                <w:rPr>
                  <w:rStyle w:val="Hyperlink"/>
                </w:rPr>
                <w:t xml:space="preserve">SAS</w:t>
              </w:r>
            </w:hyperlink>
          </w:p>
        </w:tc>
      </w:tr>
      <w:tr>
        <w:tc>
          <w:tcPr/>
          <w:p>
            <w:pPr>
              <w:pStyle w:val="Compact"/>
            </w:pPr>
            <w:hyperlink w:anchor="hdd-hard-disk-drive">
              <w:r>
                <w:rPr>
                  <w:rStyle w:val="Hyperlink"/>
                  <w:b/>
                  <w:bCs/>
                </w:rPr>
                <w:t xml:space="preserve">HDD</w:t>
              </w:r>
            </w:hyperlink>
          </w:p>
        </w:tc>
        <w:tc>
          <w:tcPr/>
          <w:p>
            <w:pPr>
              <w:pStyle w:val="Compact"/>
            </w:pPr>
            <w:r>
              <w:t xml:space="preserve">Rotierende Festplatten über SATA oder SAS</w:t>
            </w:r>
          </w:p>
        </w:tc>
      </w:tr>
      <w:tr>
        <w:tc>
          <w:tcPr/>
          <w:p>
            <w:pPr>
              <w:pStyle w:val="Compact"/>
            </w:pPr>
            <w:hyperlink w:anchor="pmem-persistent-memory">
              <w:r>
                <w:rPr>
                  <w:rStyle w:val="Hyperlink"/>
                  <w:b/>
                  <w:bCs/>
                </w:rPr>
                <w:t xml:space="preserve">Persistent Memory (PMem)</w:t>
              </w:r>
            </w:hyperlink>
          </w:p>
        </w:tc>
        <w:tc>
          <w:tcPr/>
          <w:p>
            <w:pPr>
              <w:pStyle w:val="Compact"/>
            </w:pPr>
            <w:r>
              <w:t xml:space="preserve">Persistenter Speicher im Block-Storage-Modus</w:t>
            </w:r>
          </w:p>
        </w:tc>
      </w:tr>
    </w:tbl>
    <w:p>
      <w:pPr>
        <w:pStyle w:val="BlockText"/>
      </w:pPr>
      <w:r>
        <w:rPr>
          <w:b/>
          <w:bCs/>
        </w:rPr>
        <w:t xml:space="preserve">Nicht unterstützt</w:t>
      </w:r>
      <w:r>
        <w:t xml:space="preserve">: Reine HDD-Deployments ohne schnellere Laufwerke als Cache-Tier.</w:t>
      </w:r>
      <w:r>
        <w:t xml:space="preserve"> </w:t>
      </w:r>
      <w:hyperlink w:anchor="san-storage-area-network">
        <w:r>
          <w:rPr>
            <w:rStyle w:val="Hyperlink"/>
          </w:rPr>
          <w:t xml:space="preserve">SAN</w:t>
        </w:r>
      </w:hyperlink>
      <w:r>
        <w:t xml:space="preserve">-Storage (Fibre Channel,</w:t>
      </w:r>
      <w:r>
        <w:t xml:space="preserve"> </w:t>
      </w:r>
      <w:hyperlink w:anchor="X0723a9c564830f1d6f9dd621cde400393ed5da3">
        <w:r>
          <w:rPr>
            <w:rStyle w:val="Hyperlink"/>
          </w:rPr>
          <w:t xml:space="preserve">iSCSI</w:t>
        </w:r>
      </w:hyperlink>
      <w:r>
        <w:t xml:space="preserve">,</w:t>
      </w:r>
      <w:r>
        <w:t xml:space="preserve"> </w:t>
      </w:r>
      <w:hyperlink w:anchor="fcoe-fibre-channel-over-ethernet">
        <w:r>
          <w:rPr>
            <w:rStyle w:val="Hyperlink"/>
          </w:rPr>
          <w:t xml:space="preserve">FCoE</w:t>
        </w:r>
      </w:hyperlink>
      <w:r>
        <w:t xml:space="preserve">) wird ebenfalls nicht unterstützt [2].</w:t>
      </w:r>
    </w:p>
    <w:bookmarkEnd w:id="56"/>
    <w:bookmarkStart w:id="57" w:name="laufwerkssymmetrie"/>
    <w:p>
      <w:pPr>
        <w:pStyle w:val="Heading3"/>
      </w:pPr>
      <w:r>
        <w:rPr>
          <w:rStyle w:val="SectionNumber"/>
        </w:rPr>
        <w:t xml:space="preserve">13.4.2</w:t>
      </w:r>
      <w:r>
        <w:tab/>
      </w:r>
      <w:r>
        <w:t xml:space="preserve">Laufwerkssymmetrie</w:t>
      </w:r>
    </w:p>
    <w:p>
      <w:pPr>
        <w:pStyle w:val="FirstParagraph"/>
      </w:pPr>
      <w:r>
        <w:t xml:space="preserve">Alle Server im Cluster müssen über die</w:t>
      </w:r>
      <w:r>
        <w:t xml:space="preserve"> </w:t>
      </w:r>
      <w:r>
        <w:rPr>
          <w:b/>
          <w:bCs/>
        </w:rPr>
        <w:t xml:space="preserve">gleiche Anzahl und die gleichen Typen</w:t>
      </w:r>
      <w:r>
        <w:t xml:space="preserve"> </w:t>
      </w:r>
      <w:r>
        <w:t xml:space="preserve">von Laufwerken verfügen [2]. Weitere Empfehlungen:</w:t>
      </w:r>
    </w:p>
    <w:p>
      <w:pPr>
        <w:pStyle w:val="Compact"/>
        <w:numPr>
          <w:ilvl w:val="0"/>
          <w:numId w:val="1004"/>
        </w:numPr>
      </w:pPr>
      <w:r>
        <w:t xml:space="preserve">SSDs müssen über</w:t>
      </w:r>
      <w:r>
        <w:t xml:space="preserve"> </w:t>
      </w:r>
      <w:hyperlink w:anchor="power-loss-protection">
        <w:r>
          <w:rPr>
            <w:rStyle w:val="Hyperlink"/>
            <w:b/>
            <w:bCs/>
          </w:rPr>
          <w:t xml:space="preserve">Power-Loss Protection</w:t>
        </w:r>
      </w:hyperlink>
      <w:r>
        <w:t xml:space="preserve"> </w:t>
      </w:r>
      <w:r>
        <w:t xml:space="preserve">verfügen (keine Consumer-SSDs) [2]</w:t>
      </w:r>
    </w:p>
    <w:p>
      <w:pPr>
        <w:pStyle w:val="Compact"/>
        <w:numPr>
          <w:ilvl w:val="0"/>
          <w:numId w:val="1004"/>
        </w:numPr>
      </w:pPr>
      <w:r>
        <w:t xml:space="preserve">Cache-Laufwerke müssen mindestens</w:t>
      </w:r>
      <w:r>
        <w:t xml:space="preserve"> </w:t>
      </w:r>
      <w:r>
        <w:rPr>
          <w:b/>
          <w:bCs/>
        </w:rPr>
        <w:t xml:space="preserve">32 GB</w:t>
      </w:r>
      <w:r>
        <w:t xml:space="preserve"> </w:t>
      </w:r>
      <w:r>
        <w:t xml:space="preserve">groß sein [2]</w:t>
      </w:r>
    </w:p>
    <w:p>
      <w:pPr>
        <w:pStyle w:val="Compact"/>
        <w:numPr>
          <w:ilvl w:val="0"/>
          <w:numId w:val="1004"/>
        </w:numPr>
      </w:pPr>
      <w:r>
        <w:t xml:space="preserve">Der NVMe-Treiber muss der von Microsoft bereitgestellte Treiber sein (</w:t>
      </w:r>
      <w:r>
        <w:rPr>
          <w:rStyle w:val="VerbatimChar"/>
        </w:rPr>
        <w:t xml:space="preserve">stornvme.sys</w:t>
      </w:r>
      <w:r>
        <w:t xml:space="preserve">) [2]</w:t>
      </w:r>
    </w:p>
    <w:p>
      <w:pPr>
        <w:pStyle w:val="Compact"/>
        <w:numPr>
          <w:ilvl w:val="0"/>
          <w:numId w:val="1004"/>
        </w:numPr>
      </w:pPr>
      <w:r>
        <w:t xml:space="preserve">Die Anzahl der Kapazitätslaufwerke sollte ein ganzzahliges Vielfaches der Cache-Laufwerke sein [2]</w:t>
      </w:r>
    </w:p>
    <w:bookmarkEnd w:id="57"/>
    <w:bookmarkStart w:id="58" w:name="X64b2491912d912e398354cfe264880a3e847493"/>
    <w:p>
      <w:pPr>
        <w:pStyle w:val="Heading3"/>
      </w:pPr>
      <w:r>
        <w:rPr>
          <w:rStyle w:val="SectionNumber"/>
        </w:rPr>
        <w:t xml:space="preserve">13.4.3</w:t>
      </w:r>
      <w:r>
        <w:tab/>
      </w:r>
      <w:r>
        <w:t xml:space="preserve">Minimale Laufwerksanzahl (ohne Boot-Laufwerk)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Konfiguration</w:t>
            </w:r>
          </w:p>
        </w:tc>
        <w:tc>
          <w:tcPr/>
          <w:p>
            <w:pPr>
              <w:pStyle w:val="Compact"/>
            </w:pPr>
            <w:r>
              <w:t xml:space="preserve">Mindestanzahl pro Server</w:t>
            </w:r>
          </w:p>
        </w:tc>
      </w:tr>
      <w:tr>
        <w:tc>
          <w:tcPr/>
          <w:p>
            <w:pPr>
              <w:pStyle w:val="Compact"/>
            </w:pPr>
            <w:r>
              <w:t xml:space="preserve">Nur NVMe (gleicher Typ)</w:t>
            </w:r>
          </w:p>
        </w:tc>
        <w:tc>
          <w:tcPr/>
          <w:p>
            <w:pPr>
              <w:pStyle w:val="Compact"/>
            </w:pPr>
            <w:r>
              <w:t xml:space="preserve">2 NVMe</w:t>
            </w:r>
          </w:p>
        </w:tc>
      </w:tr>
      <w:tr>
        <w:tc>
          <w:tcPr/>
          <w:p>
            <w:pPr>
              <w:pStyle w:val="Compact"/>
            </w:pPr>
            <w:r>
              <w:t xml:space="preserve">Nur SSD (gleicher Typ)</w:t>
            </w:r>
          </w:p>
        </w:tc>
        <w:tc>
          <w:tcPr/>
          <w:p>
            <w:pPr>
              <w:pStyle w:val="Compact"/>
            </w:pPr>
            <w:r>
              <w:t xml:space="preserve">2 SSD</w:t>
            </w:r>
          </w:p>
        </w:tc>
      </w:tr>
      <w:tr>
        <w:tc>
          <w:tcPr/>
          <w:p>
            <w:pPr>
              <w:pStyle w:val="Compact"/>
            </w:pPr>
            <w:r>
              <w:t xml:space="preserve">NVMe + SSD (Cache + Kapazität)</w:t>
            </w:r>
          </w:p>
        </w:tc>
        <w:tc>
          <w:tcPr/>
          <w:p>
            <w:pPr>
              <w:pStyle w:val="Compact"/>
            </w:pPr>
            <w:r>
              <w:t xml:space="preserve">2 NVMe (Cache) + 4 SSD (Kapazität)</w:t>
            </w:r>
          </w:p>
        </w:tc>
      </w:tr>
      <w:tr>
        <w:tc>
          <w:tcPr/>
          <w:p>
            <w:pPr>
              <w:pStyle w:val="Compact"/>
            </w:pPr>
            <w:r>
              <w:t xml:space="preserve">NVMe + HDD (Cache + Kapazität)</w:t>
            </w:r>
          </w:p>
        </w:tc>
        <w:tc>
          <w:tcPr/>
          <w:p>
            <w:pPr>
              <w:pStyle w:val="Compact"/>
            </w:pPr>
            <w:r>
              <w:t xml:space="preserve">2 NVMe (Cache) + 4 HDD (Kapazität)</w:t>
            </w:r>
          </w:p>
        </w:tc>
      </w:tr>
      <w:tr>
        <w:tc>
          <w:tcPr/>
          <w:p>
            <w:pPr>
              <w:pStyle w:val="Compact"/>
            </w:pPr>
            <w:r>
              <w:t xml:space="preserve">SSD + HDD (Cache + Kapazität)</w:t>
            </w:r>
          </w:p>
        </w:tc>
        <w:tc>
          <w:tcPr/>
          <w:p>
            <w:pPr>
              <w:pStyle w:val="Compact"/>
            </w:pPr>
            <w:r>
              <w:t xml:space="preserve">2 SSD (Cache) + 4 HDD (Kapazität)</w:t>
            </w:r>
          </w:p>
        </w:tc>
      </w:tr>
    </w:tbl>
    <w:p>
      <w:pPr>
        <w:pStyle w:val="BodyText"/>
      </w:pPr>
      <w:r>
        <w:rPr>
          <w:i/>
          <w:iCs/>
        </w:rPr>
        <w:t xml:space="preserve">Quelle: Microsoft Learn — Storage Spaces Direct Hardware Requirements [2]</w:t>
      </w:r>
    </w:p>
    <w:bookmarkEnd w:id="58"/>
    <w:bookmarkStart w:id="59" w:name="cache-tier-und-kapazitäts-tier"/>
    <w:p>
      <w:pPr>
        <w:pStyle w:val="Heading3"/>
      </w:pPr>
      <w:r>
        <w:rPr>
          <w:rStyle w:val="SectionNumber"/>
        </w:rPr>
        <w:t xml:space="preserve">13.4.4</w:t>
      </w:r>
      <w:r>
        <w:tab/>
      </w:r>
      <w:r>
        <w:t xml:space="preserve">Cache-Tier und Kapazitäts-Tier</w:t>
      </w:r>
    </w:p>
    <w:p>
      <w:pPr>
        <w:pStyle w:val="FirstParagraph"/>
      </w:pPr>
      <w:r>
        <w:t xml:space="preserve">Wenn</w:t>
      </w:r>
      <w:r>
        <w:t xml:space="preserve"> </w:t>
      </w:r>
      <w:r>
        <w:rPr>
          <w:b/>
          <w:bCs/>
        </w:rPr>
        <w:t xml:space="preserve">zwei unterschiedliche Laufwerkstypen</w:t>
      </w:r>
      <w:r>
        <w:t xml:space="preserve"> </w:t>
      </w:r>
      <w:r>
        <w:t xml:space="preserve">vorhanden sind, verwendet S2D automatisch die schnelleren Laufwerke als</w:t>
      </w:r>
      <w:r>
        <w:t xml:space="preserve"> </w:t>
      </w:r>
      <w:r>
        <w:rPr>
          <w:b/>
          <w:bCs/>
        </w:rPr>
        <w:t xml:space="preserve">Cache</w:t>
      </w:r>
      <w:r>
        <w:t xml:space="preserve"> </w:t>
      </w:r>
      <w:r>
        <w:t xml:space="preserve">und die langsameren als</w:t>
      </w:r>
      <w:r>
        <w:t xml:space="preserve"> </w:t>
      </w:r>
      <w:r>
        <w:rPr>
          <w:b/>
          <w:bCs/>
        </w:rPr>
        <w:t xml:space="preserve">Kapazität</w:t>
      </w:r>
      <w:r>
        <w:t xml:space="preserve"> </w:t>
      </w:r>
      <w:r>
        <w:t xml:space="preserve">[3]: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Deployment</w:t>
            </w:r>
          </w:p>
        </w:tc>
        <w:tc>
          <w:tcPr/>
          <w:p>
            <w:pPr>
              <w:pStyle w:val="Compact"/>
            </w:pPr>
            <w:r>
              <w:t xml:space="preserve">Cache</w:t>
            </w:r>
          </w:p>
        </w:tc>
        <w:tc>
          <w:tcPr/>
          <w:p>
            <w:pPr>
              <w:pStyle w:val="Compact"/>
            </w:pPr>
            <w:r>
              <w:t xml:space="preserve">Kapazität</w:t>
            </w:r>
          </w:p>
        </w:tc>
        <w:tc>
          <w:tcPr/>
          <w:p>
            <w:pPr>
              <w:pStyle w:val="Compact"/>
            </w:pPr>
            <w:r>
              <w:t xml:space="preserve">Cache-Verhalten</w:t>
            </w:r>
          </w:p>
        </w:tc>
      </w:tr>
      <w:tr>
        <w:tc>
          <w:tcPr/>
          <w:p>
            <w:pPr>
              <w:pStyle w:val="Compact"/>
            </w:pPr>
            <w:r>
              <w:t xml:space="preserve">Nur NVMe</w:t>
            </w:r>
          </w:p>
        </w:tc>
        <w:tc>
          <w:tcPr/>
          <w:p>
            <w:pPr>
              <w:pStyle w:val="Compact"/>
            </w:pPr>
            <w:r>
              <w:t xml:space="preserve">Keiner (optional manuell)</w:t>
            </w:r>
          </w:p>
        </w:tc>
        <w:tc>
          <w:tcPr/>
          <w:p>
            <w:pPr>
              <w:pStyle w:val="Compact"/>
            </w:pPr>
            <w:r>
              <w:t xml:space="preserve">NVMe</w:t>
            </w:r>
          </w:p>
        </w:tc>
        <w:tc>
          <w:tcPr/>
          <w:p>
            <w:pPr>
              <w:pStyle w:val="Compact"/>
            </w:pPr>
            <w:r>
              <w:t xml:space="preserve">Write-only (falls konfiguriert)</w:t>
            </w:r>
          </w:p>
        </w:tc>
      </w:tr>
      <w:tr>
        <w:tc>
          <w:tcPr/>
          <w:p>
            <w:pPr>
              <w:pStyle w:val="Compact"/>
            </w:pPr>
            <w:r>
              <w:t xml:space="preserve">Nur SSD</w:t>
            </w:r>
          </w:p>
        </w:tc>
        <w:tc>
          <w:tcPr/>
          <w:p>
            <w:pPr>
              <w:pStyle w:val="Compact"/>
            </w:pPr>
            <w:r>
              <w:t xml:space="preserve">Keiner (optional manuell)</w:t>
            </w:r>
          </w:p>
        </w:tc>
        <w:tc>
          <w:tcPr/>
          <w:p>
            <w:pPr>
              <w:pStyle w:val="Compact"/>
            </w:pPr>
            <w:r>
              <w:t xml:space="preserve">SSD</w:t>
            </w:r>
          </w:p>
        </w:tc>
        <w:tc>
          <w:tcPr/>
          <w:p>
            <w:pPr>
              <w:pStyle w:val="Compact"/>
            </w:pPr>
            <w:r>
              <w:t xml:space="preserve">Write-only (falls konfiguriert)</w:t>
            </w:r>
          </w:p>
        </w:tc>
      </w:tr>
      <w:tr>
        <w:tc>
          <w:tcPr/>
          <w:p>
            <w:pPr>
              <w:pStyle w:val="Compact"/>
            </w:pPr>
            <w:r>
              <w:t xml:space="preserve">NVMe + SSD</w:t>
            </w:r>
          </w:p>
        </w:tc>
        <w:tc>
          <w:tcPr/>
          <w:p>
            <w:pPr>
              <w:pStyle w:val="Compact"/>
            </w:pPr>
            <w:r>
              <w:t xml:space="preserve">NVMe</w:t>
            </w:r>
          </w:p>
        </w:tc>
        <w:tc>
          <w:tcPr/>
          <w:p>
            <w:pPr>
              <w:pStyle w:val="Compact"/>
            </w:pPr>
            <w:r>
              <w:t xml:space="preserve">SSD</w:t>
            </w:r>
          </w:p>
        </w:tc>
        <w:tc>
          <w:tcPr/>
          <w:p>
            <w:pPr>
              <w:pStyle w:val="Compact"/>
            </w:pPr>
            <w:r>
              <w:t xml:space="preserve">Write-only</w:t>
            </w:r>
          </w:p>
        </w:tc>
      </w:tr>
      <w:tr>
        <w:tc>
          <w:tcPr/>
          <w:p>
            <w:pPr>
              <w:pStyle w:val="Compact"/>
            </w:pPr>
            <w:r>
              <w:t xml:space="preserve">NVMe + HDD</w:t>
            </w:r>
          </w:p>
        </w:tc>
        <w:tc>
          <w:tcPr/>
          <w:p>
            <w:pPr>
              <w:pStyle w:val="Compact"/>
            </w:pPr>
            <w:r>
              <w:t xml:space="preserve">NVMe</w:t>
            </w:r>
          </w:p>
        </w:tc>
        <w:tc>
          <w:tcPr/>
          <w:p>
            <w:pPr>
              <w:pStyle w:val="Compact"/>
            </w:pPr>
            <w:r>
              <w:t xml:space="preserve">HDD</w:t>
            </w:r>
          </w:p>
        </w:tc>
        <w:tc>
          <w:tcPr/>
          <w:p>
            <w:pPr>
              <w:pStyle w:val="Compact"/>
            </w:pPr>
            <w:r>
              <w:t xml:space="preserve">Read + Write</w:t>
            </w:r>
          </w:p>
        </w:tc>
      </w:tr>
      <w:tr>
        <w:tc>
          <w:tcPr/>
          <w:p>
            <w:pPr>
              <w:pStyle w:val="Compact"/>
            </w:pPr>
            <w:r>
              <w:t xml:space="preserve">SSD + HDD</w:t>
            </w:r>
          </w:p>
        </w:tc>
        <w:tc>
          <w:tcPr/>
          <w:p>
            <w:pPr>
              <w:pStyle w:val="Compact"/>
            </w:pPr>
            <w:r>
              <w:t xml:space="preserve">SSD</w:t>
            </w:r>
          </w:p>
        </w:tc>
        <w:tc>
          <w:tcPr/>
          <w:p>
            <w:pPr>
              <w:pStyle w:val="Compact"/>
            </w:pPr>
            <w:r>
              <w:t xml:space="preserve">HDD</w:t>
            </w:r>
          </w:p>
        </w:tc>
        <w:tc>
          <w:tcPr/>
          <w:p>
            <w:pPr>
              <w:pStyle w:val="Compact"/>
            </w:pPr>
            <w:r>
              <w:t xml:space="preserve">Read + Write</w:t>
            </w:r>
          </w:p>
        </w:tc>
      </w:tr>
      <w:tr>
        <w:tc>
          <w:tcPr/>
          <w:p>
            <w:pPr>
              <w:pStyle w:val="Compact"/>
            </w:pPr>
            <w:r>
              <w:t xml:space="preserve">NVMe + SSD + HDD</w:t>
            </w:r>
          </w:p>
        </w:tc>
        <w:tc>
          <w:tcPr/>
          <w:p>
            <w:pPr>
              <w:pStyle w:val="Compact"/>
            </w:pPr>
            <w:r>
              <w:t xml:space="preserve">NVMe</w:t>
            </w:r>
          </w:p>
        </w:tc>
        <w:tc>
          <w:tcPr/>
          <w:p>
            <w:pPr>
              <w:pStyle w:val="Compact"/>
            </w:pPr>
            <w:r>
              <w:t xml:space="preserve">SSD + HDD</w:t>
            </w:r>
          </w:p>
        </w:tc>
        <w:tc>
          <w:tcPr/>
          <w:p>
            <w:pPr>
              <w:pStyle w:val="Compact"/>
            </w:pPr>
            <w:r>
              <w:t xml:space="preserve">Read + Write (HDD), Write-only (SSD)</w:t>
            </w:r>
          </w:p>
        </w:tc>
      </w:tr>
    </w:tbl>
    <w:p>
      <w:pPr>
        <w:pStyle w:val="BodyText"/>
      </w:pPr>
      <w:r>
        <w:rPr>
          <w:i/>
          <w:iCs/>
        </w:rPr>
        <w:t xml:space="preserve">Quelle: Microsoft Learn — Understanding the Storage Pool Cache [3]</w:t>
      </w:r>
    </w:p>
    <w:bookmarkEnd w:id="59"/>
    <w:bookmarkStart w:id="60" w:name="boot-laufwerk"/>
    <w:p>
      <w:pPr>
        <w:pStyle w:val="Heading3"/>
      </w:pPr>
      <w:r>
        <w:rPr>
          <w:rStyle w:val="SectionNumber"/>
        </w:rPr>
        <w:t xml:space="preserve">13.4.5</w:t>
      </w:r>
      <w:r>
        <w:tab/>
      </w:r>
      <w:r>
        <w:t xml:space="preserve">Boot-Laufwerk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Boot-Gerät</w:t>
            </w:r>
          </w:p>
        </w:tc>
        <w:tc>
          <w:tcPr/>
          <w:p>
            <w:pPr>
              <w:pStyle w:val="Compact"/>
            </w:pPr>
            <w:r>
              <w:t xml:space="preserve">Jedes von Windows Server unterstützte Boot-Gerät (inkl. SATADOM)</w:t>
            </w:r>
          </w:p>
        </w:tc>
      </w:tr>
      <w:tr>
        <w:tc>
          <w:tcPr/>
          <w:p>
            <w:pPr>
              <w:pStyle w:val="Compact"/>
            </w:pPr>
            <w:hyperlink w:anchor="X89233fff48174d436e8a31f57d2bc600f50e5df">
              <w:r>
                <w:rPr>
                  <w:rStyle w:val="Hyperlink"/>
                </w:rPr>
                <w:t xml:space="preserve">RAID</w:t>
              </w:r>
            </w:hyperlink>
            <w:r>
              <w:t xml:space="preserve"> </w:t>
            </w:r>
            <w:r>
              <w:t xml:space="preserve">1</w:t>
            </w:r>
          </w:p>
        </w:tc>
        <w:tc>
          <w:tcPr/>
          <w:p>
            <w:pPr>
              <w:pStyle w:val="Compact"/>
            </w:pPr>
            <w:r>
              <w:t xml:space="preserve">Nicht erforderlich, aber für Boot unterstützt</w:t>
            </w:r>
          </w:p>
        </w:tc>
      </w:tr>
      <w:tr>
        <w:tc>
          <w:tcPr/>
          <w:p>
            <w:pPr>
              <w:pStyle w:val="Compact"/>
            </w:pPr>
            <w:r>
              <w:t xml:space="preserve">Mindestgröße</w:t>
            </w:r>
          </w:p>
        </w:tc>
        <w:tc>
          <w:tcPr/>
          <w:p>
            <w:pPr>
              <w:pStyle w:val="Compact"/>
            </w:pPr>
            <w:r>
              <w:t xml:space="preserve">200 GB empfohlen</w:t>
            </w:r>
          </w:p>
        </w:tc>
      </w:tr>
      <w:tr>
        <w:tc>
          <w:tcPr/>
          <w:p>
            <w:pPr>
              <w:pStyle w:val="Compact"/>
            </w:pPr>
            <w:r>
              <w:t xml:space="preserve">Trennung</w:t>
            </w:r>
          </w:p>
        </w:tc>
        <w:tc>
          <w:tcPr/>
          <w:p>
            <w:pPr>
              <w:pStyle w:val="Compact"/>
            </w:pPr>
            <w:r>
              <w:t xml:space="preserve">Boot-Laufwerk muss</w:t>
            </w:r>
            <w:r>
              <w:t xml:space="preserve"> </w:t>
            </w:r>
            <w:r>
              <w:rPr>
                <w:b/>
                <w:bCs/>
              </w:rPr>
              <w:t xml:space="preserve">separat</w:t>
            </w:r>
            <w:r>
              <w:t xml:space="preserve"> </w:t>
            </w:r>
            <w:r>
              <w:t xml:space="preserve">von den S2D-Datenlaufwerken sein</w:t>
            </w:r>
          </w:p>
        </w:tc>
      </w:tr>
    </w:tbl>
    <w:p>
      <w:pPr>
        <w:pStyle w:val="BodyText"/>
      </w:pPr>
      <w:r>
        <w:rPr>
          <w:i/>
          <w:iCs/>
        </w:rPr>
        <w:t xml:space="preserve">Quelle: Microsoft Learn — Storage Spaces Direct Hardware Requirements [2]</w:t>
      </w:r>
    </w:p>
    <w:bookmarkEnd w:id="60"/>
    <w:bookmarkEnd w:id="61"/>
    <w:bookmarkStart w:id="65" w:name="netzwerk"/>
    <w:p>
      <w:pPr>
        <w:pStyle w:val="Heading2"/>
      </w:pPr>
      <w:r>
        <w:rPr>
          <w:rStyle w:val="SectionNumber"/>
        </w:rPr>
        <w:t xml:space="preserve">13.5</w:t>
      </w:r>
      <w:r>
        <w:tab/>
      </w:r>
      <w:r>
        <w:t xml:space="preserve">Netzwerk</w:t>
      </w:r>
    </w:p>
    <w:bookmarkStart w:id="62" w:name="mindestanforderungen"/>
    <w:p>
      <w:pPr>
        <w:pStyle w:val="Heading3"/>
      </w:pPr>
      <w:r>
        <w:rPr>
          <w:rStyle w:val="SectionNumber"/>
        </w:rPr>
        <w:t xml:space="preserve">13.5.1</w:t>
      </w:r>
      <w:r>
        <w:tab/>
      </w:r>
      <w:r>
        <w:t xml:space="preserve">Mindestanforderungen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Szenario</w:t>
            </w:r>
          </w:p>
        </w:tc>
        <w:tc>
          <w:tcPr/>
          <w:p>
            <w:pPr>
              <w:pStyle w:val="Compact"/>
            </w:pPr>
            <w:r>
              <w:t xml:space="preserve">Anforderung</w:t>
            </w:r>
          </w:p>
        </w:tc>
      </w:tr>
      <w:tr>
        <w:tc>
          <w:tcPr/>
          <w:p>
            <w:pPr>
              <w:pStyle w:val="Compact"/>
            </w:pPr>
            <w:r>
              <w:t xml:space="preserve">2–3 Knoten (Minimum)</w:t>
            </w:r>
          </w:p>
        </w:tc>
        <w:tc>
          <w:tcPr/>
          <w:p>
            <w:pPr>
              <w:pStyle w:val="Compact"/>
            </w:pPr>
            <w:r>
              <w:rPr>
                <w:b/>
                <w:bCs/>
              </w:rPr>
              <w:t xml:space="preserve">10 GbE</w:t>
            </w:r>
            <w:r>
              <w:t xml:space="preserve"> </w:t>
            </w:r>
            <w:r>
              <w:t xml:space="preserve">NIC oder schneller</w:t>
            </w:r>
          </w:p>
        </w:tc>
      </w:tr>
      <w:tr>
        <w:tc>
          <w:tcPr/>
          <w:p>
            <w:pPr>
              <w:pStyle w:val="Compact"/>
            </w:pPr>
            <w:r>
              <w:t xml:space="preserve">4+ Knoten (empfohlen)</w:t>
            </w:r>
          </w:p>
        </w:tc>
        <w:tc>
          <w:tcPr/>
          <w:p>
            <w:pPr>
              <w:pStyle w:val="Compact"/>
            </w:pPr>
            <w:hyperlink w:anchor="gbe-gigabit-ethernet">
              <w:r>
                <w:rPr>
                  <w:rStyle w:val="Hyperlink"/>
                  <w:b/>
                  <w:bCs/>
                </w:rPr>
                <w:t xml:space="preserve">25 GbE</w:t>
              </w:r>
            </w:hyperlink>
            <w:r>
              <w:t xml:space="preserve"> </w:t>
            </w:r>
            <w:r>
              <w:t xml:space="preserve">oder schneller,</w:t>
            </w:r>
            <w:r>
              <w:t xml:space="preserve"> </w:t>
            </w:r>
            <w:hyperlink w:anchor="rdma-remote-direct-memory-access">
              <w:r>
                <w:rPr>
                  <w:rStyle w:val="Hyperlink"/>
                </w:rPr>
                <w:t xml:space="preserve">RDMA</w:t>
              </w:r>
            </w:hyperlink>
            <w:r>
              <w:t xml:space="preserve">-fähig</w:t>
            </w:r>
          </w:p>
        </w:tc>
      </w:tr>
      <w:tr>
        <w:tc>
          <w:tcPr/>
          <w:p>
            <w:pPr>
              <w:pStyle w:val="Compact"/>
            </w:pPr>
            <w:r>
              <w:t xml:space="preserve">Redundanz</w:t>
            </w:r>
          </w:p>
        </w:tc>
        <w:tc>
          <w:tcPr/>
          <w:p>
            <w:pPr>
              <w:pStyle w:val="Compact"/>
            </w:pPr>
            <w:r>
              <w:t xml:space="preserve">Mindestens</w:t>
            </w:r>
            <w:r>
              <w:t xml:space="preserve"> </w:t>
            </w:r>
            <w:r>
              <w:rPr>
                <w:b/>
                <w:bCs/>
              </w:rPr>
              <w:t xml:space="preserve">2 Netzwerkverbindungen</w:t>
            </w:r>
            <w:r>
              <w:t xml:space="preserve"> </w:t>
            </w:r>
            <w:r>
              <w:t xml:space="preserve">pro Knoten empfohlen</w:t>
            </w:r>
          </w:p>
        </w:tc>
      </w:tr>
      <w:tr>
        <w:tc>
          <w:tcPr/>
          <w:p>
            <w:pPr>
              <w:pStyle w:val="Compact"/>
            </w:pPr>
            <w:r>
              <w:t xml:space="preserve">RDMA-Protokoll</w:t>
            </w:r>
          </w:p>
        </w:tc>
        <w:tc>
          <w:tcPr/>
          <w:p>
            <w:pPr>
              <w:pStyle w:val="Compact"/>
            </w:pPr>
            <w:hyperlink w:anchor="iwarp-internet-wide-area-rdma-protocol">
              <w:r>
                <w:rPr>
                  <w:rStyle w:val="Hyperlink"/>
                  <w:b/>
                  <w:bCs/>
                </w:rPr>
                <w:t xml:space="preserve">iWARP</w:t>
              </w:r>
            </w:hyperlink>
            <w:r>
              <w:t xml:space="preserve"> </w:t>
            </w:r>
            <w:r>
              <w:t xml:space="preserve">(empfohlen, einfacher einzurichten) oder</w:t>
            </w:r>
            <w:r>
              <w:t xml:space="preserve"> </w:t>
            </w:r>
            <w:hyperlink w:anchor="roce-rdma-over-converged-ethernet">
              <w:r>
                <w:rPr>
                  <w:rStyle w:val="Hyperlink"/>
                  <w:b/>
                  <w:bCs/>
                </w:rPr>
                <w:t xml:space="preserve">RoCE</w:t>
              </w:r>
            </w:hyperlink>
            <w:r>
              <w:t xml:space="preserve"> </w:t>
            </w:r>
            <w:r>
              <w:t xml:space="preserve">(v1/v2)</w:t>
            </w:r>
          </w:p>
        </w:tc>
      </w:tr>
      <w:tr>
        <w:tc>
          <w:tcPr/>
          <w:p>
            <w:pPr>
              <w:pStyle w:val="Compact"/>
            </w:pPr>
            <w:r>
              <w:t xml:space="preserve">Topologie</w:t>
            </w:r>
          </w:p>
        </w:tc>
        <w:tc>
          <w:tcPr/>
          <w:p>
            <w:pPr>
              <w:pStyle w:val="Compact"/>
            </w:pPr>
            <w:r>
              <w:t xml:space="preserve">Switched oder Switchless (Direct-Attach)</w:t>
            </w:r>
          </w:p>
        </w:tc>
      </w:tr>
    </w:tbl>
    <w:p>
      <w:pPr>
        <w:pStyle w:val="BodyText"/>
      </w:pPr>
      <w:r>
        <w:rPr>
          <w:i/>
          <w:iCs/>
        </w:rPr>
        <w:t xml:space="preserve">Quelle: Microsoft Learn — Storage Spaces Direct Hardware Requirements [2]</w:t>
      </w:r>
    </w:p>
    <w:p>
      <w:pPr>
        <w:pStyle w:val="BlockText"/>
      </w:pPr>
      <w:r>
        <w:rPr>
          <w:b/>
          <w:bCs/>
        </w:rPr>
        <w:t xml:space="preserve">Produktionswarnung — Bandbreite realistisch dimensionieren</w:t>
      </w:r>
      <w:r>
        <w:t xml:space="preserve">: Die oben genannten 10 GbE bzw. 25 GbE sind Microsofts</w:t>
      </w:r>
      <w:r>
        <w:t xml:space="preserve"> </w:t>
      </w:r>
      <w:r>
        <w:rPr>
          <w:b/>
          <w:bCs/>
        </w:rPr>
        <w:t xml:space="preserve">absolute Mindestanforderungen</w:t>
      </w:r>
      <w:r>
        <w:t xml:space="preserve">. In Produktionsumgebungen reichen diese Bandbreiten in der Regel</w:t>
      </w:r>
      <w:r>
        <w:t xml:space="preserve"> </w:t>
      </w:r>
      <w:r>
        <w:rPr>
          <w:b/>
          <w:bCs/>
        </w:rPr>
        <w:t xml:space="preserve">nicht</w:t>
      </w:r>
      <w:r>
        <w:t xml:space="preserve"> </w:t>
      </w:r>
      <w:r>
        <w:t xml:space="preserve">aus. S2D erzeugt erheblichen Storage-Traffic: Jeder Schreibvorgang wird je nach Resilienz-Level (Two-Way Mirror, Three-Way Mirror, Mirror-Accelerated Parity)</w:t>
      </w:r>
      <w:r>
        <w:t xml:space="preserve"> </w:t>
      </w:r>
      <w:r>
        <w:rPr>
          <w:b/>
          <w:bCs/>
        </w:rPr>
        <w:t xml:space="preserve">zwei- bis dreifach repliziert</w:t>
      </w:r>
      <w:r>
        <w:t xml:space="preserve">. Hinzu kommen Re-Sync-Operationen nach Knotenausfällen oder Wartungsfenstern, die das gesamte verfügbare Storage-Netzwerk auslasten können.</w:t>
      </w:r>
    </w:p>
    <w:p>
      <w:pPr>
        <w:pStyle w:val="BlockText"/>
      </w:pPr>
      <w:r>
        <w:rPr>
          <w:b/>
          <w:bCs/>
        </w:rPr>
        <w:t xml:space="preserve">Empfehlung für Produktionsumgebungen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Cluster-Größe</w:t>
            </w:r>
          </w:p>
        </w:tc>
        <w:tc>
          <w:tcPr/>
          <w:p>
            <w:pPr>
              <w:pStyle w:val="Compact"/>
            </w:pPr>
            <w:r>
              <w:t xml:space="preserve">Empfohlene Bandbreite (Storage)</w:t>
            </w:r>
          </w:p>
        </w:tc>
      </w:tr>
      <w:tr>
        <w:tc>
          <w:tcPr/>
          <w:p>
            <w:pPr>
              <w:pStyle w:val="Compact"/>
            </w:pPr>
            <w:r>
              <w:t xml:space="preserve">2–3 Knoten</w:t>
            </w:r>
          </w:p>
        </w:tc>
        <w:tc>
          <w:tcPr/>
          <w:p>
            <w:pPr>
              <w:pStyle w:val="Compact"/>
            </w:pPr>
            <w:r>
              <w:rPr>
                <w:b/>
                <w:bCs/>
              </w:rPr>
              <w:t xml:space="preserve">25 GbE</w:t>
            </w:r>
            <w:r>
              <w:t xml:space="preserve"> </w:t>
            </w:r>
            <w:r>
              <w:t xml:space="preserve">mit RDMA (mindestens 2× pro Knoten)</w:t>
            </w:r>
          </w:p>
        </w:tc>
      </w:tr>
      <w:tr>
        <w:tc>
          <w:tcPr/>
          <w:p>
            <w:pPr>
              <w:pStyle w:val="Compact"/>
            </w:pPr>
            <w:r>
              <w:t xml:space="preserve">4–8 Knoten</w:t>
            </w:r>
          </w:p>
        </w:tc>
        <w:tc>
          <w:tcPr/>
          <w:p>
            <w:pPr>
              <w:pStyle w:val="Compact"/>
            </w:pPr>
            <w:r>
              <w:rPr>
                <w:b/>
                <w:bCs/>
              </w:rPr>
              <w:t xml:space="preserve">2× 25 GbE</w:t>
            </w:r>
            <w:r>
              <w:t xml:space="preserve"> </w:t>
            </w:r>
            <w:r>
              <w:t xml:space="preserve">oder</w:t>
            </w:r>
            <w:r>
              <w:t xml:space="preserve"> </w:t>
            </w:r>
            <w:r>
              <w:rPr>
                <w:b/>
                <w:bCs/>
              </w:rPr>
              <w:t xml:space="preserve">2× 100 GbE</w:t>
            </w:r>
            <w:r>
              <w:t xml:space="preserve"> </w:t>
            </w:r>
            <w:r>
              <w:t xml:space="preserve">mit RDMA</w:t>
            </w:r>
          </w:p>
        </w:tc>
      </w:tr>
      <w:tr>
        <w:tc>
          <w:tcPr/>
          <w:p>
            <w:pPr>
              <w:pStyle w:val="Compact"/>
            </w:pPr>
            <w:r>
              <w:t xml:space="preserve">8–16 Knoten / IO-intensive Workloads</w:t>
            </w:r>
          </w:p>
        </w:tc>
        <w:tc>
          <w:tcPr/>
          <w:p>
            <w:pPr>
              <w:pStyle w:val="Compact"/>
            </w:pPr>
            <w:r>
              <w:rPr>
                <w:b/>
                <w:bCs/>
              </w:rPr>
              <w:t xml:space="preserve">2× 100 GbE</w:t>
            </w:r>
            <w:r>
              <w:t xml:space="preserve"> </w:t>
            </w:r>
            <w:r>
              <w:t xml:space="preserve">mit RDMA</w:t>
            </w:r>
          </w:p>
        </w:tc>
      </w:tr>
    </w:tbl>
    <w:p>
      <w:pPr>
        <w:pStyle w:val="BlockText"/>
      </w:pPr>
      <w:r>
        <w:t xml:space="preserve">Gründe für höhere Bandbreite in Produktion:</w:t>
      </w:r>
    </w:p>
    <w:p>
      <w:pPr>
        <w:pStyle w:val="Compact"/>
        <w:numPr>
          <w:ilvl w:val="0"/>
          <w:numId w:val="1005"/>
        </w:numPr>
      </w:pPr>
      <w:r>
        <w:rPr>
          <w:b/>
          <w:bCs/>
        </w:rPr>
        <w:t xml:space="preserve">Replikations-Overhead</w:t>
      </w:r>
      <w:r>
        <w:t xml:space="preserve">: Ein VM-Schreibvorgang mit 1 GB/s erzeugt bei Three-Way Mirror 3 GB/s Storage-Netzwerkverkehr</w:t>
      </w:r>
    </w:p>
    <w:p>
      <w:pPr>
        <w:pStyle w:val="Compact"/>
        <w:numPr>
          <w:ilvl w:val="0"/>
          <w:numId w:val="1005"/>
        </w:numPr>
      </w:pPr>
      <w:r>
        <w:rPr>
          <w:b/>
          <w:bCs/>
        </w:rPr>
        <w:t xml:space="preserve">Re-Sync nach Ausfall</w:t>
      </w:r>
      <w:r>
        <w:t xml:space="preserve">: Wenn ein Knoten ausfällt oder nach einem Update neu gestartet wird, müssen potenziell Terabytes an Daten re-synchronisiert werden — das saturiert 10-GbE-Links vollständig und beeinträchtigt die VM-Performance</w:t>
      </w:r>
    </w:p>
    <w:p>
      <w:pPr>
        <w:pStyle w:val="Compact"/>
        <w:numPr>
          <w:ilvl w:val="0"/>
          <w:numId w:val="1005"/>
        </w:numPr>
      </w:pPr>
      <w:r>
        <w:rPr>
          <w:b/>
          <w:bCs/>
        </w:rPr>
        <w:t xml:space="preserve">Shared Bandwidth</w:t>
      </w:r>
      <w:r>
        <w:t xml:space="preserve">: Storage-, Live-Migration- und CSV-Redirect-Traffic konkurrieren um die verfügbare Bandbreite. Ohne ausreichend Headroom leidet die Storage-Latenz</w:t>
      </w:r>
    </w:p>
    <w:p>
      <w:pPr>
        <w:pStyle w:val="Compact"/>
        <w:numPr>
          <w:ilvl w:val="0"/>
          <w:numId w:val="1005"/>
        </w:numPr>
      </w:pPr>
      <w:r>
        <w:rPr>
          <w:b/>
          <w:bCs/>
        </w:rPr>
        <w:t xml:space="preserve">NVMe-Laufwerke</w:t>
      </w:r>
      <w:r>
        <w:t xml:space="preserve">: Moderne NVMe-SSDs liefern sequenziell &gt; 3 GB/s pro Laufwerk. Bereits wenige NVMe-Laufwerke saturieren eine 25-GbE-Verbindung (ca. 3,1 GB/s) — das Netzwerk wird zum Flaschenhals</w:t>
      </w:r>
    </w:p>
    <w:bookmarkEnd w:id="62"/>
    <w:bookmarkStart w:id="63" w:name="switchless-vs.-switched"/>
    <w:p>
      <w:pPr>
        <w:pStyle w:val="Heading3"/>
      </w:pPr>
      <w:r>
        <w:rPr>
          <w:rStyle w:val="SectionNumber"/>
        </w:rPr>
        <w:t xml:space="preserve">13.5.2</w:t>
      </w:r>
      <w:r>
        <w:tab/>
      </w:r>
      <w:r>
        <w:t xml:space="preserve">Switchless vs. Switched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Topologie</w:t>
            </w:r>
          </w:p>
        </w:tc>
        <w:tc>
          <w:tcPr/>
          <w:p>
            <w:pPr>
              <w:pStyle w:val="Compact"/>
            </w:pPr>
            <w:r>
              <w:t xml:space="preserve">Beschreibung</w:t>
            </w:r>
          </w:p>
        </w:tc>
        <w:tc>
          <w:tcPr/>
          <w:p>
            <w:pPr>
              <w:pStyle w:val="Compact"/>
            </w:pPr>
            <w:r>
              <w:t xml:space="preserve">Eignung</w:t>
            </w:r>
          </w:p>
        </w:tc>
      </w:tr>
      <w:tr>
        <w:tc>
          <w:tcPr/>
          <w:p>
            <w:pPr>
              <w:pStyle w:val="Compact"/>
            </w:pPr>
            <w:r>
              <w:rPr>
                <w:b/>
                <w:bCs/>
              </w:rPr>
              <w:t xml:space="preserve">Switchless</w:t>
            </w:r>
          </w:p>
        </w:tc>
        <w:tc>
          <w:tcPr/>
          <w:p>
            <w:pPr>
              <w:pStyle w:val="Compact"/>
            </w:pPr>
            <w:r>
              <w:t xml:space="preserve">Direkte Verbindungen zwischen allen Knoten (jeder mit jedem)</w:t>
            </w:r>
          </w:p>
        </w:tc>
        <w:tc>
          <w:tcPr/>
          <w:p>
            <w:pPr>
              <w:pStyle w:val="Compact"/>
            </w:pPr>
            <w:r>
              <w:t xml:space="preserve">2–3 Knoten</w:t>
            </w:r>
          </w:p>
        </w:tc>
      </w:tr>
      <w:tr>
        <w:tc>
          <w:tcPr/>
          <w:p>
            <w:pPr>
              <w:pStyle w:val="Compact"/>
            </w:pPr>
            <w:r>
              <w:rPr>
                <w:b/>
                <w:bCs/>
              </w:rPr>
              <w:t xml:space="preserve">Switched</w:t>
            </w:r>
          </w:p>
        </w:tc>
        <w:tc>
          <w:tcPr/>
          <w:p>
            <w:pPr>
              <w:pStyle w:val="Compact"/>
            </w:pPr>
            <w:r>
              <w:t xml:space="preserve">Über Netzwerk-Switches verbunden</w:t>
            </w:r>
          </w:p>
        </w:tc>
        <w:tc>
          <w:tcPr/>
          <w:p>
            <w:pPr>
              <w:pStyle w:val="Compact"/>
            </w:pPr>
            <w:r>
              <w:t xml:space="preserve">Alle Cluster-Größen, empfohlen ab 4 Knoten</w:t>
            </w:r>
          </w:p>
        </w:tc>
      </w:tr>
    </w:tbl>
    <w:p>
      <w:pPr>
        <w:pStyle w:val="BlockText"/>
      </w:pPr>
      <w:r>
        <w:rPr>
          <w:b/>
          <w:bCs/>
        </w:rPr>
        <w:t xml:space="preserve">Wichtig bei RoCE</w:t>
      </w:r>
      <w:r>
        <w:t xml:space="preserve">: Bei Verwendung von RoCE muss der</w:t>
      </w:r>
      <w:r>
        <w:t xml:space="preserve"> </w:t>
      </w:r>
      <w:hyperlink w:anchor="tor-top-of-rack">
        <w:r>
          <w:rPr>
            <w:rStyle w:val="Hyperlink"/>
          </w:rPr>
          <w:t xml:space="preserve">Top-of-Rack-Switch</w:t>
        </w:r>
      </w:hyperlink>
      <w:r>
        <w:t xml:space="preserve"> </w:t>
      </w:r>
      <w:r>
        <w:t xml:space="preserve">korrekt konfiguriert werden (</w:t>
      </w:r>
      <w:hyperlink w:anchor="pfc-priority-flow-control">
        <w:r>
          <w:rPr>
            <w:rStyle w:val="Hyperlink"/>
          </w:rPr>
          <w:t xml:space="preserve">PFC</w:t>
        </w:r>
      </w:hyperlink>
      <w:r>
        <w:t xml:space="preserve">,</w:t>
      </w:r>
      <w:r>
        <w:t xml:space="preserve"> </w:t>
      </w:r>
      <w:hyperlink w:anchor="ecn-explicit-congestion-notification">
        <w:r>
          <w:rPr>
            <w:rStyle w:val="Hyperlink"/>
          </w:rPr>
          <w:t xml:space="preserve">ECN</w:t>
        </w:r>
      </w:hyperlink>
      <w:r>
        <w:t xml:space="preserve">). iWARP erfordert keine spezielle Switch-Konfiguration und ist daher einfacher zu implementieren [1][4].</w:t>
      </w:r>
    </w:p>
    <w:bookmarkEnd w:id="63"/>
    <w:bookmarkStart w:id="64" w:name="nic-anforderungen"/>
    <w:p>
      <w:pPr>
        <w:pStyle w:val="Heading3"/>
      </w:pPr>
      <w:r>
        <w:rPr>
          <w:rStyle w:val="SectionNumber"/>
        </w:rPr>
        <w:t xml:space="preserve">13.5.3</w:t>
      </w:r>
      <w:r>
        <w:tab/>
      </w:r>
      <w:r>
        <w:t xml:space="preserve">NIC-Anforderungen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NIC-Typ</w:t>
            </w:r>
          </w:p>
        </w:tc>
        <w:tc>
          <w:tcPr/>
          <w:p>
            <w:pPr>
              <w:pStyle w:val="Compact"/>
            </w:pPr>
            <w:r>
              <w:t xml:space="preserve">RDMA-fähig (iWARP oder RoCE) empfohlen</w:t>
            </w:r>
          </w:p>
        </w:tc>
      </w:tr>
      <w:tr>
        <w:tc>
          <w:tcPr/>
          <w:p>
            <w:pPr>
              <w:pStyle w:val="Compact"/>
            </w:pPr>
            <w:r>
              <w:t xml:space="preserve">Firmenmatch</w:t>
            </w:r>
          </w:p>
        </w:tc>
        <w:tc>
          <w:tcPr/>
          <w:p>
            <w:pPr>
              <w:pStyle w:val="Compact"/>
            </w:pPr>
            <w:r>
              <w:t xml:space="preserve">NIC-Adapter, Treiber und Firmware müssen auf allen Knoten</w:t>
            </w:r>
            <w:r>
              <w:t xml:space="preserve"> </w:t>
            </w:r>
            <w:r>
              <w:rPr>
                <w:b/>
                <w:bCs/>
              </w:rPr>
              <w:t xml:space="preserve">exakt identisch</w:t>
            </w:r>
            <w:r>
              <w:t xml:space="preserve"> </w:t>
            </w:r>
            <w:r>
              <w:t xml:space="preserve">sein [2]</w:t>
            </w:r>
          </w:p>
        </w:tc>
      </w:tr>
      <w:tr>
        <w:tc>
          <w:tcPr/>
          <w:p>
            <w:pPr>
              <w:pStyle w:val="Compact"/>
            </w:pPr>
            <w:hyperlink w:anchor="set-switch-embedded-teaming">
              <w:r>
                <w:rPr>
                  <w:rStyle w:val="Hyperlink"/>
                </w:rPr>
                <w:t xml:space="preserve">SET</w:t>
              </w:r>
            </w:hyperlink>
            <w:r>
              <w:t xml:space="preserve">-Teaming</w:t>
            </w:r>
          </w:p>
        </w:tc>
        <w:tc>
          <w:tcPr/>
          <w:p>
            <w:pPr>
              <w:pStyle w:val="Compact"/>
            </w:pPr>
            <w:r>
              <w:t xml:space="preserve">Switch Embedded Teaming (SET) unterstützt — siehe Netzwerk-Konfiguration</w:t>
            </w:r>
          </w:p>
        </w:tc>
      </w:tr>
    </w:tbl>
    <w:bookmarkEnd w:id="64"/>
    <w:bookmarkEnd w:id="65"/>
    <w:bookmarkStart w:id="66" w:name="host-bus-adapter-hba"/>
    <w:p>
      <w:pPr>
        <w:pStyle w:val="Heading2"/>
      </w:pPr>
      <w:r>
        <w:rPr>
          <w:rStyle w:val="SectionNumber"/>
        </w:rPr>
        <w:t xml:space="preserve">13.6</w:t>
      </w:r>
      <w:r>
        <w:tab/>
      </w:r>
      <w:hyperlink w:anchor="hba-host-bus-adapter">
        <w:r>
          <w:rPr>
            <w:rStyle w:val="Hyperlink"/>
          </w:rPr>
          <w:t xml:space="preserve">Host Bus Adapter (HBA)</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Modus</w:t>
            </w:r>
          </w:p>
        </w:tc>
        <w:tc>
          <w:tcPr/>
          <w:p>
            <w:pPr>
              <w:pStyle w:val="Compact"/>
            </w:pPr>
            <w:hyperlink w:anchor="pass-through-hba-modus">
              <w:r>
                <w:rPr>
                  <w:rStyle w:val="Hyperlink"/>
                  <w:b/>
                  <w:bCs/>
                </w:rPr>
                <w:t xml:space="preserve">Simple Pass-Through</w:t>
              </w:r>
            </w:hyperlink>
            <w:r>
              <w:t xml:space="preserve"> </w:t>
            </w:r>
            <w:r>
              <w:t xml:space="preserve">(direkte Durchreichung)</w:t>
            </w:r>
          </w:p>
        </w:tc>
      </w:tr>
      <w:tr>
        <w:tc>
          <w:tcPr/>
          <w:p>
            <w:pPr>
              <w:pStyle w:val="Compact"/>
            </w:pPr>
            <w:r>
              <w:t xml:space="preserve">RAID-Controller</w:t>
            </w:r>
          </w:p>
        </w:tc>
        <w:tc>
          <w:tcPr/>
          <w:p>
            <w:pPr>
              <w:pStyle w:val="Compact"/>
            </w:pPr>
            <w:r>
              <w:rPr>
                <w:b/>
                <w:bCs/>
              </w:rPr>
              <w:t xml:space="preserve">Nicht unterstützt</w:t>
            </w:r>
            <w:r>
              <w:t xml:space="preserve"> </w:t>
            </w:r>
            <w:r>
              <w:t xml:space="preserve">für S2D-Datenlaufwerke</w:t>
            </w:r>
          </w:p>
        </w:tc>
      </w:tr>
      <w:tr>
        <w:tc>
          <w:tcPr/>
          <w:p>
            <w:pPr>
              <w:pStyle w:val="Compact"/>
            </w:pPr>
            <w:r>
              <w:t xml:space="preserve">SAS-HBA mit SAS-/SATA-Laufwerken</w:t>
            </w:r>
          </w:p>
        </w:tc>
        <w:tc>
          <w:tcPr/>
          <w:p>
            <w:pPr>
              <w:pStyle w:val="Compact"/>
            </w:pPr>
            <w:r>
              <w:t xml:space="preserve">Unterstützt</w:t>
            </w:r>
          </w:p>
        </w:tc>
      </w:tr>
      <w:tr>
        <w:tc>
          <w:tcPr/>
          <w:p>
            <w:pPr>
              <w:pStyle w:val="Compact"/>
            </w:pPr>
            <w:r>
              <w:t xml:space="preserve">RAID-Controller mit Pass-Through</w:t>
            </w:r>
          </w:p>
        </w:tc>
        <w:tc>
          <w:tcPr/>
          <w:p>
            <w:pPr>
              <w:pStyle w:val="Compact"/>
            </w:pPr>
            <w:r>
              <w:t xml:space="preserve">Nur unterstützt, wenn ausschließlich SAS physische Laufwerke direkt durchgereicht werden</w:t>
            </w:r>
          </w:p>
        </w:tc>
      </w:tr>
    </w:tbl>
    <w:p>
      <w:pPr>
        <w:pStyle w:val="BlockText"/>
      </w:pPr>
      <w:r>
        <w:rPr>
          <w:b/>
          <w:bCs/>
        </w:rPr>
        <w:t xml:space="preserve">Nicht unterstützt</w:t>
      </w:r>
      <w:r>
        <w:t xml:space="preserve">: RAID-Controller, die keine direkte Durchreichung von SAS physischen Speichergeräten unterstützen. S2D verwaltet die Datenresilienz selbst — RAID auf Controller-Ebene ist kontraproduktiv [2].</w:t>
      </w:r>
    </w:p>
    <w:bookmarkEnd w:id="66"/>
    <w:bookmarkStart w:id="67" w:name="verkabelung"/>
    <w:p>
      <w:pPr>
        <w:pStyle w:val="Heading2"/>
      </w:pPr>
      <w:r>
        <w:rPr>
          <w:rStyle w:val="SectionNumber"/>
        </w:rPr>
        <w:t xml:space="preserve">13.7</w:t>
      </w:r>
      <w:r>
        <w:tab/>
      </w:r>
      <w:r>
        <w:t xml:space="preserve">Verkabelung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Topologie</w:t>
            </w:r>
          </w:p>
        </w:tc>
        <w:tc>
          <w:tcPr/>
          <w:p>
            <w:pPr>
              <w:pStyle w:val="Compact"/>
            </w:pPr>
            <w:r>
              <w:t xml:space="preserve">Beschreibung</w:t>
            </w:r>
          </w:p>
        </w:tc>
      </w:tr>
      <w:tr>
        <w:tc>
          <w:tcPr/>
          <w:p>
            <w:pPr>
              <w:pStyle w:val="Compact"/>
            </w:pPr>
            <w:r>
              <w:t xml:space="preserve">Switchless (2–3 Knoten)</w:t>
            </w:r>
          </w:p>
        </w:tc>
        <w:tc>
          <w:tcPr/>
          <w:p>
            <w:pPr>
              <w:pStyle w:val="Compact"/>
            </w:pPr>
            <w:r>
              <w:t xml:space="preserve">Direkte Verbindungen (Direct-Attach) zwischen allen Knoten</w:t>
            </w:r>
          </w:p>
        </w:tc>
      </w:tr>
      <w:tr>
        <w:tc>
          <w:tcPr/>
          <w:p>
            <w:pPr>
              <w:pStyle w:val="Compact"/>
            </w:pPr>
            <w:r>
              <w:t xml:space="preserve">Switched (4+ Knoten)</w:t>
            </w:r>
          </w:p>
        </w:tc>
        <w:tc>
          <w:tcPr/>
          <w:p>
            <w:pPr>
              <w:pStyle w:val="Compact"/>
            </w:pPr>
            <w:r>
              <w:t xml:space="preserve">Über redundante Switches verbunden</w:t>
            </w:r>
          </w:p>
        </w:tc>
      </w:tr>
      <w:tr>
        <w:tc>
          <w:tcPr/>
          <w:p>
            <w:pPr>
              <w:pStyle w:val="Compact"/>
            </w:pPr>
            <w:r>
              <w:t xml:space="preserve">Redundanz</w:t>
            </w:r>
          </w:p>
        </w:tc>
        <w:tc>
          <w:tcPr/>
          <w:p>
            <w:pPr>
              <w:pStyle w:val="Compact"/>
            </w:pPr>
            <w:r>
              <w:t xml:space="preserve">Mindestens</w:t>
            </w:r>
            <w:r>
              <w:t xml:space="preserve"> </w:t>
            </w:r>
            <w:r>
              <w:rPr>
                <w:b/>
                <w:bCs/>
              </w:rPr>
              <w:t xml:space="preserve">2 unabhängige Switches</w:t>
            </w:r>
            <w:r>
              <w:t xml:space="preserve"> </w:t>
            </w:r>
            <w:r>
              <w:t xml:space="preserve">für Storage-Traffic empfohlen</w:t>
            </w:r>
          </w:p>
        </w:tc>
      </w:tr>
      <w:tr>
        <w:tc>
          <w:tcPr/>
          <w:p>
            <w:pPr>
              <w:pStyle w:val="Compact"/>
            </w:pPr>
            <w:r>
              <w:t xml:space="preserve">Kabeltyp</w:t>
            </w:r>
          </w:p>
        </w:tc>
        <w:tc>
          <w:tcPr/>
          <w:p>
            <w:pPr>
              <w:pStyle w:val="Compact"/>
            </w:pPr>
            <w:r>
              <w:t xml:space="preserve">Abhängig von NIC-Typ:</w:t>
            </w:r>
            <w:r>
              <w:t xml:space="preserve"> </w:t>
            </w:r>
            <w:hyperlink w:anchor="dac-direct-attach-copper">
              <w:r>
                <w:rPr>
                  <w:rStyle w:val="Hyperlink"/>
                </w:rPr>
                <w:t xml:space="preserve">DAC</w:t>
              </w:r>
            </w:hyperlink>
            <w:r>
              <w:t xml:space="preserve">-Kabel (Direct Attach Copper),</w:t>
            </w:r>
            <w:r>
              <w:t xml:space="preserve"> </w:t>
            </w:r>
            <w:hyperlink w:anchor="lwl-lichtwellenleiter">
              <w:r>
                <w:rPr>
                  <w:rStyle w:val="Hyperlink"/>
                </w:rPr>
                <w:t xml:space="preserve">LWL</w:t>
              </w:r>
            </w:hyperlink>
            <w:r>
              <w:t xml:space="preserve"> </w:t>
            </w:r>
            <w:r>
              <w:t xml:space="preserve">(Glasfaser), Kupfer</w:t>
            </w:r>
          </w:p>
        </w:tc>
      </w:tr>
    </w:tbl>
    <w:bookmarkEnd w:id="67"/>
    <w:bookmarkEnd w:id="68"/>
    <w:bookmarkStart w:id="73" w:name="software-voraussetzungen"/>
    <w:p>
      <w:pPr>
        <w:pStyle w:val="Heading1"/>
      </w:pPr>
      <w:r>
        <w:rPr>
          <w:rStyle w:val="SectionNumber"/>
        </w:rPr>
        <w:t xml:space="preserve">14</w:t>
      </w:r>
      <w:r>
        <w:tab/>
      </w:r>
      <w:r>
        <w:t xml:space="preserve">Software-Voraussetzungen</w:t>
      </w:r>
    </w:p>
    <w:bookmarkStart w:id="69" w:name="betriebssystem"/>
    <w:p>
      <w:pPr>
        <w:pStyle w:val="Heading2"/>
      </w:pPr>
      <w:r>
        <w:rPr>
          <w:rStyle w:val="SectionNumber"/>
        </w:rPr>
        <w:t xml:space="preserve">14.1</w:t>
      </w:r>
      <w:r>
        <w:tab/>
      </w:r>
      <w:r>
        <w:t xml:space="preserve">Betriebssystem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Edition</w:t>
            </w:r>
          </w:p>
        </w:tc>
        <w:tc>
          <w:tcPr/>
          <w:p>
            <w:pPr>
              <w:pStyle w:val="Compact"/>
            </w:pPr>
            <w:r>
              <w:t xml:space="preserve">Windows Server</w:t>
            </w:r>
            <w:r>
              <w:t xml:space="preserve"> </w:t>
            </w:r>
            <w:r>
              <w:rPr>
                <w:b/>
                <w:bCs/>
              </w:rPr>
              <w:t xml:space="preserve">Datacenter</w:t>
            </w:r>
            <w:r>
              <w:t xml:space="preserve"> </w:t>
            </w:r>
            <w:r>
              <w:t xml:space="preserve">Edition (Standard reicht</w:t>
            </w:r>
            <w:r>
              <w:t xml:space="preserve"> </w:t>
            </w:r>
            <w:r>
              <w:rPr>
                <w:b/>
                <w:bCs/>
              </w:rPr>
              <w:t xml:space="preserve">nicht</w:t>
            </w:r>
            <w:r>
              <w:t xml:space="preserve"> </w:t>
            </w:r>
            <w:r>
              <w:t xml:space="preserve">aus)</w:t>
            </w:r>
          </w:p>
        </w:tc>
      </w:tr>
      <w:tr>
        <w:tc>
          <w:tcPr/>
          <w:p>
            <w:pPr>
              <w:pStyle w:val="Compact"/>
            </w:pPr>
            <w:r>
              <w:t xml:space="preserve">Versionen</w:t>
            </w:r>
          </w:p>
        </w:tc>
        <w:tc>
          <w:tcPr/>
          <w:p>
            <w:pPr>
              <w:pStyle w:val="Compact"/>
            </w:pPr>
            <w:r>
              <w:t xml:space="preserve">Windows Server 2016, 2019, 2022, 2025</w:t>
            </w:r>
          </w:p>
        </w:tc>
      </w:tr>
      <w:tr>
        <w:tc>
          <w:tcPr/>
          <w:p>
            <w:pPr>
              <w:pStyle w:val="Compact"/>
            </w:pPr>
            <w:r>
              <w:t xml:space="preserve">Installation</w:t>
            </w:r>
          </w:p>
        </w:tc>
        <w:tc>
          <w:tcPr/>
          <w:p>
            <w:pPr>
              <w:pStyle w:val="Compact"/>
            </w:pPr>
            <w:r>
              <w:t xml:space="preserve">Server Core oder Server with Desktop Experience</w:t>
            </w:r>
          </w:p>
        </w:tc>
      </w:tr>
    </w:tbl>
    <w:p>
      <w:pPr>
        <w:pStyle w:val="BlockText"/>
      </w:pPr>
      <w:r>
        <w:rPr>
          <w:b/>
          <w:bCs/>
        </w:rPr>
        <w:t xml:space="preserve">Wichtig</w:t>
      </w:r>
      <w:r>
        <w:t xml:space="preserve">: Storage Spaces Direct ist ausschließlich in der</w:t>
      </w:r>
      <w:r>
        <w:t xml:space="preserve"> </w:t>
      </w:r>
      <w:r>
        <w:rPr>
          <w:b/>
          <w:bCs/>
        </w:rPr>
        <w:t xml:space="preserve">Datacenter-Edition</w:t>
      </w:r>
      <w:r>
        <w:t xml:space="preserve"> </w:t>
      </w:r>
      <w:r>
        <w:t xml:space="preserve">von Windows Server verfügbar. Die Standard-Edition unterstützt S2D nicht [1][4].</w:t>
      </w:r>
    </w:p>
    <w:bookmarkEnd w:id="69"/>
    <w:bookmarkStart w:id="70" w:name="rollen-und-features"/>
    <w:p>
      <w:pPr>
        <w:pStyle w:val="Heading2"/>
      </w:pPr>
      <w:r>
        <w:rPr>
          <w:rStyle w:val="SectionNumber"/>
        </w:rPr>
        <w:t xml:space="preserve">14.2</w:t>
      </w:r>
      <w:r>
        <w:tab/>
      </w:r>
      <w:r>
        <w:t xml:space="preserve">Rollen und Features</w:t>
      </w:r>
    </w:p>
    <w:p>
      <w:pPr>
        <w:pStyle w:val="FirstParagraph"/>
      </w:pPr>
      <w:r>
        <w:t xml:space="preserve">Die folgenden Rollen und Features müssen auf</w:t>
      </w:r>
      <w:r>
        <w:t xml:space="preserve"> </w:t>
      </w:r>
      <w:r>
        <w:rPr>
          <w:b/>
          <w:bCs/>
        </w:rPr>
        <w:t xml:space="preserve">allen Knoten</w:t>
      </w:r>
      <w:r>
        <w:t xml:space="preserve"> </w:t>
      </w:r>
      <w:r>
        <w:t xml:space="preserve">installiert werden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Rolle / Feature</w:t>
            </w:r>
          </w:p>
        </w:tc>
        <w:tc>
          <w:tcPr/>
          <w:p>
            <w:pPr>
              <w:pStyle w:val="Compact"/>
            </w:pPr>
            <w:r>
              <w:t xml:space="preserve">Zweck</w:t>
            </w:r>
          </w:p>
        </w:tc>
      </w:tr>
      <w:tr>
        <w:tc>
          <w:tcPr/>
          <w:p>
            <w:pPr>
              <w:pStyle w:val="Compact"/>
            </w:pPr>
            <w:r>
              <w:rPr>
                <w:b/>
                <w:bCs/>
              </w:rPr>
              <w:t xml:space="preserve">Failover-Clustering</w:t>
            </w:r>
          </w:p>
        </w:tc>
        <w:tc>
          <w:tcPr/>
          <w:p>
            <w:pPr>
              <w:pStyle w:val="Compact"/>
            </w:pPr>
            <w:r>
              <w:t xml:space="preserve">Cluster-Infrastruktur</w:t>
            </w:r>
          </w:p>
        </w:tc>
      </w:tr>
      <w:tr>
        <w:tc>
          <w:tcPr/>
          <w:p>
            <w:pPr>
              <w:pStyle w:val="Compact"/>
            </w:pPr>
            <w:r>
              <w:rPr>
                <w:b/>
                <w:bCs/>
              </w:rPr>
              <w:t xml:space="preserve">Hyper-V</w:t>
            </w:r>
          </w:p>
        </w:tc>
        <w:tc>
          <w:tcPr/>
          <w:p>
            <w:pPr>
              <w:pStyle w:val="Compact"/>
            </w:pPr>
            <w:r>
              <w:t xml:space="preserve">Für Hyperconverged-Deployments (VMs auf dem Cluster)</w:t>
            </w:r>
          </w:p>
        </w:tc>
      </w:tr>
      <w:tr>
        <w:tc>
          <w:tcPr/>
          <w:p>
            <w:pPr>
              <w:pStyle w:val="Compact"/>
            </w:pPr>
            <w:r>
              <w:rPr>
                <w:b/>
                <w:bCs/>
              </w:rPr>
              <w:t xml:space="preserve">File Server</w:t>
            </w:r>
          </w:p>
        </w:tc>
        <w:tc>
          <w:tcPr/>
          <w:p>
            <w:pPr>
              <w:pStyle w:val="Compact"/>
            </w:pPr>
            <w:r>
              <w:t xml:space="preserve">Für Converged-Deployments (Scale-Out File Server)</w:t>
            </w:r>
          </w:p>
        </w:tc>
      </w:tr>
      <w:tr>
        <w:tc>
          <w:tcPr/>
          <w:p>
            <w:pPr>
              <w:pStyle w:val="Compact"/>
            </w:pPr>
            <w:hyperlink w:anchor="dcb-data-center-bridging">
              <w:r>
                <w:rPr>
                  <w:rStyle w:val="Hyperlink"/>
                  <w:b/>
                  <w:bCs/>
                </w:rPr>
                <w:t xml:space="preserve">Data-Center-Bridging</w:t>
              </w:r>
            </w:hyperlink>
          </w:p>
        </w:tc>
        <w:tc>
          <w:tcPr/>
          <w:p>
            <w:pPr>
              <w:pStyle w:val="Compact"/>
            </w:pPr>
            <w:r>
              <w:t xml:space="preserve">Für RoCEv2-Netzwerkadapter (</w:t>
            </w:r>
            <w:hyperlink w:anchor="pfc-priority-flow-control">
              <w:r>
                <w:rPr>
                  <w:rStyle w:val="Hyperlink"/>
                </w:rPr>
                <w:t xml:space="preserve">PFC</w:t>
              </w:r>
            </w:hyperlink>
            <w:r>
              <w:t xml:space="preserve">/</w:t>
            </w:r>
            <w:hyperlink w:anchor="ecn-explicit-congestion-notification">
              <w:r>
                <w:rPr>
                  <w:rStyle w:val="Hyperlink"/>
                </w:rPr>
                <w:t xml:space="preserve">ECN</w:t>
              </w:r>
            </w:hyperlink>
            <w:r>
              <w:t xml:space="preserve">-Konfiguration)</w:t>
            </w:r>
          </w:p>
        </w:tc>
      </w:tr>
      <w:tr>
        <w:tc>
          <w:tcPr/>
          <w:p>
            <w:pPr>
              <w:pStyle w:val="Compact"/>
            </w:pPr>
            <w:r>
              <w:rPr>
                <w:b/>
                <w:bCs/>
              </w:rPr>
              <w:t xml:space="preserve">RSAT-Clustering-PowerShell</w:t>
            </w:r>
          </w:p>
        </w:tc>
        <w:tc>
          <w:tcPr/>
          <w:p>
            <w:pPr>
              <w:pStyle w:val="Compact"/>
            </w:pPr>
            <w:r>
              <w:t xml:space="preserve">Remote-Verwaltung des Clusters</w:t>
            </w:r>
          </w:p>
        </w:tc>
      </w:tr>
      <w:tr>
        <w:tc>
          <w:tcPr/>
          <w:p>
            <w:pPr>
              <w:pStyle w:val="Compact"/>
            </w:pPr>
            <w:r>
              <w:rPr>
                <w:b/>
                <w:bCs/>
              </w:rPr>
              <w:t xml:space="preserve">Hyper-V-PowerShell</w:t>
            </w:r>
          </w:p>
        </w:tc>
        <w:tc>
          <w:tcPr/>
          <w:p>
            <w:pPr>
              <w:pStyle w:val="Compact"/>
            </w:pPr>
            <w:r>
              <w:t xml:space="preserve">PowerShell-Verwaltung von Hyper-V</w:t>
            </w:r>
          </w:p>
        </w:tc>
      </w:tr>
      <w:tr>
        <w:tc>
          <w:tcPr/>
          <w:p>
            <w:pPr>
              <w:pStyle w:val="Compact"/>
            </w:pPr>
            <w:r>
              <w:t xml:space="preserve">Data Deduplication</w:t>
            </w:r>
          </w:p>
        </w:tc>
        <w:tc>
          <w:tcPr/>
          <w:p>
            <w:pPr>
              <w:pStyle w:val="Compact"/>
            </w:pPr>
            <w:r>
              <w:t xml:space="preserve">Optional — Speicherplatzoptimierung</w:t>
            </w:r>
          </w:p>
        </w:tc>
      </w:tr>
    </w:tbl>
    <w:bookmarkEnd w:id="70"/>
    <w:bookmarkStart w:id="71" w:name="active-directory"/>
    <w:p>
      <w:pPr>
        <w:pStyle w:val="Heading2"/>
      </w:pPr>
      <w:r>
        <w:rPr>
          <w:rStyle w:val="SectionNumber"/>
        </w:rPr>
        <w:t xml:space="preserve">14.3</w:t>
      </w:r>
      <w:r>
        <w:tab/>
      </w:r>
      <w:r>
        <w:t xml:space="preserve">Active Directory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Domänenmitgliedschaft</w:t>
            </w:r>
          </w:p>
        </w:tc>
        <w:tc>
          <w:tcPr/>
          <w:p>
            <w:pPr>
              <w:pStyle w:val="Compact"/>
            </w:pPr>
            <w:r>
              <w:t xml:space="preserve">Alle Knoten müssen der</w:t>
            </w:r>
            <w:r>
              <w:t xml:space="preserve"> </w:t>
            </w:r>
            <w:r>
              <w:rPr>
                <w:b/>
                <w:bCs/>
              </w:rPr>
              <w:t xml:space="preserve">gleichen Active Directory-Domäne</w:t>
            </w:r>
            <w:r>
              <w:t xml:space="preserve"> </w:t>
            </w:r>
            <w:r>
              <w:t xml:space="preserve">beigetreten sein</w:t>
            </w:r>
          </w:p>
        </w:tc>
      </w:tr>
      <w:tr>
        <w:tc>
          <w:tcPr/>
          <w:p>
            <w:pPr>
              <w:pStyle w:val="Compact"/>
            </w:pPr>
            <w:r>
              <w:t xml:space="preserve">Berechtigungen</w:t>
            </w:r>
          </w:p>
        </w:tc>
        <w:tc>
          <w:tcPr/>
          <w:p>
            <w:pPr>
              <w:pStyle w:val="Compact"/>
            </w:pPr>
            <w:r>
              <w:t xml:space="preserve">Das Administratorkonto muss auf allen Knoten lokaler Administrator sein</w:t>
            </w:r>
          </w:p>
        </w:tc>
      </w:tr>
      <w:tr>
        <w:tc>
          <w:tcPr/>
          <w:p>
            <w:pPr>
              <w:pStyle w:val="Compact"/>
            </w:pPr>
            <w:r>
              <w:t xml:space="preserve">Cluster-Computerobjekt</w:t>
            </w:r>
          </w:p>
        </w:tc>
        <w:tc>
          <w:tcPr/>
          <w:p>
            <w:pPr>
              <w:pStyle w:val="Compact"/>
            </w:pPr>
            <w:r>
              <w:t xml:space="preserve">Wird automatisch beim Erstellen des Clusters in AD erstellt</w:t>
            </w:r>
          </w:p>
        </w:tc>
      </w:tr>
    </w:tbl>
    <w:bookmarkEnd w:id="71"/>
    <w:bookmarkStart w:id="72" w:name="updates-und-treiber"/>
    <w:p>
      <w:pPr>
        <w:pStyle w:val="Heading2"/>
      </w:pPr>
      <w:r>
        <w:rPr>
          <w:rStyle w:val="SectionNumber"/>
        </w:rPr>
        <w:t xml:space="preserve">14.4</w:t>
      </w:r>
      <w:r>
        <w:tab/>
      </w:r>
      <w:r>
        <w:t xml:space="preserve">Updates und Treiber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w:t>
            </w:r>
          </w:p>
        </w:tc>
        <w:tc>
          <w:tcPr/>
          <w:p>
            <w:pPr>
              <w:pStyle w:val="Compact"/>
            </w:pPr>
            <w:r>
              <w:t xml:space="preserve">Spezifikation</w:t>
            </w:r>
          </w:p>
        </w:tc>
      </w:tr>
      <w:tr>
        <w:tc>
          <w:tcPr/>
          <w:p>
            <w:pPr>
              <w:pStyle w:val="Compact"/>
            </w:pPr>
            <w:r>
              <w:t xml:space="preserve">Kumulative Updates</w:t>
            </w:r>
          </w:p>
        </w:tc>
        <w:tc>
          <w:tcPr/>
          <w:p>
            <w:pPr>
              <w:pStyle w:val="Compact"/>
            </w:pPr>
            <w:r>
              <w:rPr>
                <w:b/>
                <w:bCs/>
              </w:rPr>
              <w:t xml:space="preserve">Alle Knoten</w:t>
            </w:r>
            <w:r>
              <w:t xml:space="preserve"> </w:t>
            </w:r>
            <w:r>
              <w:t xml:space="preserve">müssen auf dem gleichen Patch-Stand sein</w:t>
            </w:r>
          </w:p>
        </w:tc>
      </w:tr>
      <w:tr>
        <w:tc>
          <w:tcPr/>
          <w:p>
            <w:pPr>
              <w:pStyle w:val="Compact"/>
            </w:pPr>
            <w:r>
              <w:t xml:space="preserve">Firmware</w:t>
            </w:r>
          </w:p>
        </w:tc>
        <w:tc>
          <w:tcPr/>
          <w:p>
            <w:pPr>
              <w:pStyle w:val="Compact"/>
            </w:pPr>
            <w:r>
              <w:t xml:space="preserve">Identische Firmware-Versionen auf allen Knoten</w:t>
            </w:r>
          </w:p>
        </w:tc>
      </w:tr>
      <w:tr>
        <w:tc>
          <w:tcPr/>
          <w:p>
            <w:pPr>
              <w:pStyle w:val="Compact"/>
            </w:pPr>
            <w:r>
              <w:t xml:space="preserve">Treiber</w:t>
            </w:r>
          </w:p>
        </w:tc>
        <w:tc>
          <w:tcPr/>
          <w:p>
            <w:pPr>
              <w:pStyle w:val="Compact"/>
            </w:pPr>
            <w:r>
              <w:t xml:space="preserve">Identische Treiberversionen, insbesondere für NICs und Storage-Controller</w:t>
            </w:r>
          </w:p>
        </w:tc>
      </w:tr>
      <w:tr>
        <w:tc>
          <w:tcPr/>
          <w:p>
            <w:pPr>
              <w:pStyle w:val="Compact"/>
            </w:pPr>
            <w:r>
              <w:t xml:space="preserve">NVMe-Treiber</w:t>
            </w:r>
          </w:p>
        </w:tc>
        <w:tc>
          <w:tcPr/>
          <w:p>
            <w:pPr>
              <w:pStyle w:val="Compact"/>
            </w:pPr>
            <w:r>
              <w:t xml:space="preserve">Microsoft-eigener Treiber (</w:t>
            </w:r>
            <w:r>
              <w:rPr>
                <w:rStyle w:val="VerbatimChar"/>
              </w:rPr>
              <w:t xml:space="preserve">stornvme.sys</w:t>
            </w:r>
            <w:r>
              <w:t xml:space="preserve">) verwenden [2]</w:t>
            </w:r>
          </w:p>
        </w:tc>
      </w:tr>
    </w:tbl>
    <w:p>
      <w:pPr>
        <w:pStyle w:val="BlockText"/>
      </w:pPr>
      <w:r>
        <w:rPr>
          <w:b/>
          <w:bCs/>
        </w:rPr>
        <w:t xml:space="preserve">Best Practice</w:t>
      </w:r>
      <w:r>
        <w:t xml:space="preserve">: Vor dem Deployment alle Knoten auf den aktuellsten kumulativen Patch-Stand bringen und identische Firmware- sowie Treiberversionen sicherstellen. Heterogene Treiberstände sind eine häufige Ursache für Clustervalidierungsfehler.</w:t>
      </w:r>
    </w:p>
    <w:bookmarkEnd w:id="72"/>
    <w:bookmarkEnd w:id="73"/>
    <w:bookmarkStart w:id="81" w:name="netzwerk-konfiguration"/>
    <w:p>
      <w:pPr>
        <w:pStyle w:val="Heading1"/>
      </w:pPr>
      <w:r>
        <w:rPr>
          <w:rStyle w:val="SectionNumber"/>
        </w:rPr>
        <w:t xml:space="preserve">15</w:t>
      </w:r>
      <w:r>
        <w:tab/>
      </w:r>
      <w:r>
        <w:t xml:space="preserve">Netzwerk-Konfiguration</w:t>
      </w:r>
    </w:p>
    <w:bookmarkStart w:id="76" w:name="netzwerk-übersicht"/>
    <w:p>
      <w:pPr>
        <w:pStyle w:val="Heading2"/>
      </w:pPr>
      <w:r>
        <w:rPr>
          <w:rStyle w:val="SectionNumber"/>
        </w:rPr>
        <w:t xml:space="preserve">15.1</w:t>
      </w:r>
      <w:r>
        <w:tab/>
      </w:r>
      <w:r>
        <w:t xml:space="preserve">Netzwerk-Übersicht</w:t>
      </w:r>
    </w:p>
    <w:p>
      <w:pPr>
        <w:pStyle w:val="FirstParagraph"/>
      </w:pPr>
      <w:r>
        <w:t xml:space="preserve">Für einen S2D-Cluster werden typischerweise mehrere logische Netzwerke konfiguriert: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Netzwerk</w:t>
            </w:r>
          </w:p>
        </w:tc>
        <w:tc>
          <w:tcPr/>
          <w:p>
            <w:pPr>
              <w:pStyle w:val="Compact"/>
            </w:pPr>
            <w:r>
              <w:t xml:space="preserve">Zweck</w:t>
            </w:r>
          </w:p>
        </w:tc>
        <w:tc>
          <w:tcPr/>
          <w:p>
            <w:pPr>
              <w:pStyle w:val="Compact"/>
            </w:pPr>
            <w:r>
              <w:t xml:space="preserve">Empfohlene Bandbreite</w:t>
            </w:r>
          </w:p>
        </w:tc>
      </w:tr>
      <w:tr>
        <w:tc>
          <w:tcPr/>
          <w:p>
            <w:pPr>
              <w:pStyle w:val="Compact"/>
            </w:pPr>
            <w:r>
              <w:rPr>
                <w:b/>
                <w:bCs/>
              </w:rPr>
              <w:t xml:space="preserve">Management</w:t>
            </w:r>
          </w:p>
        </w:tc>
        <w:tc>
          <w:tcPr/>
          <w:p>
            <w:pPr>
              <w:pStyle w:val="Compact"/>
            </w:pPr>
            <w:r>
              <w:t xml:space="preserve">OS-Verwaltung, RDP, Cluster-Heartbeat</w:t>
            </w:r>
          </w:p>
        </w:tc>
        <w:tc>
          <w:tcPr/>
          <w:p>
            <w:pPr>
              <w:pStyle w:val="Compact"/>
            </w:pPr>
            <w:r>
              <w:t xml:space="preserve">1–10 GbE</w:t>
            </w:r>
          </w:p>
        </w:tc>
      </w:tr>
      <w:tr>
        <w:tc>
          <w:tcPr/>
          <w:p>
            <w:pPr>
              <w:pStyle w:val="Compact"/>
            </w:pPr>
            <w:r>
              <w:rPr>
                <w:b/>
                <w:bCs/>
              </w:rPr>
              <w:t xml:space="preserve">Storage</w:t>
            </w:r>
          </w:p>
        </w:tc>
        <w:tc>
          <w:tcPr/>
          <w:p>
            <w:pPr>
              <w:pStyle w:val="Compact"/>
            </w:pPr>
            <w:r>
              <w:t xml:space="preserve">S2D-Traffic (SMB Direct, Storage Bus)</w:t>
            </w:r>
          </w:p>
        </w:tc>
        <w:tc>
          <w:tcPr/>
          <w:p>
            <w:pPr>
              <w:pStyle w:val="Compact"/>
            </w:pPr>
            <w:r>
              <w:t xml:space="preserve">25 GbE+ mit RDMA</w:t>
            </w:r>
          </w:p>
        </w:tc>
      </w:tr>
      <w:tr>
        <w:tc>
          <w:tcPr/>
          <w:p>
            <w:pPr>
              <w:pStyle w:val="Compact"/>
            </w:pPr>
            <w:r>
              <w:rPr>
                <w:b/>
                <w:bCs/>
              </w:rPr>
              <w:t xml:space="preserve">Live Migration</w:t>
            </w:r>
          </w:p>
        </w:tc>
        <w:tc>
          <w:tcPr/>
          <w:p>
            <w:pPr>
              <w:pStyle w:val="Compact"/>
            </w:pPr>
            <w:r>
              <w:t xml:space="preserve">VM-Live-Migration zwischen Knoten</w:t>
            </w:r>
          </w:p>
        </w:tc>
        <w:tc>
          <w:tcPr/>
          <w:p>
            <w:pPr>
              <w:pStyle w:val="Compact"/>
            </w:pPr>
            <w:r>
              <w:t xml:space="preserve">10–25 GbE</w:t>
            </w:r>
          </w:p>
        </w:tc>
      </w:tr>
      <w:tr>
        <w:tc>
          <w:tcPr/>
          <w:p>
            <w:pPr>
              <w:pStyle w:val="Compact"/>
            </w:pPr>
            <w:r>
              <w:rPr>
                <w:b/>
                <w:bCs/>
              </w:rPr>
              <w:t xml:space="preserve">VM-Netzwerk</w:t>
            </w:r>
          </w:p>
        </w:tc>
        <w:tc>
          <w:tcPr/>
          <w:p>
            <w:pPr>
              <w:pStyle w:val="Compact"/>
            </w:pPr>
            <w:r>
              <w:t xml:space="preserve">VM-Traffic (Tenant-Netzwerk)</w:t>
            </w:r>
          </w:p>
        </w:tc>
        <w:tc>
          <w:tcPr/>
          <w:p>
            <w:pPr>
              <w:pStyle w:val="Compact"/>
            </w:pPr>
            <w:r>
              <w:t xml:space="preserve">10–25 GbE</w:t>
            </w:r>
          </w:p>
        </w:tc>
      </w:tr>
    </w:tbl>
    <w:bookmarkStart w:id="74" w:name="X9dd19ddf1eb391b96f14ad6449d47bfe466c51a"/>
    <w:p>
      <w:pPr>
        <w:pStyle w:val="Heading3"/>
      </w:pPr>
      <w:r>
        <w:rPr>
          <w:rStyle w:val="SectionNumber"/>
        </w:rPr>
        <w:t xml:space="preserve">15.1.1</w:t>
      </w:r>
      <w:r>
        <w:tab/>
      </w:r>
      <w:r>
        <w:t xml:space="preserve">Dedizierte NICs — Physische Trennung der Traffic-Typen</w:t>
      </w:r>
    </w:p>
    <w:p>
      <w:pPr>
        <w:pStyle w:val="FirstParagraph"/>
      </w:pPr>
      <w:r>
        <w:t xml:space="preserve">In Produktionsumgebungen sollten die verschiedenen Netzwerk-Traffic-Typen über</w:t>
      </w:r>
      <w:r>
        <w:t xml:space="preserve"> </w:t>
      </w:r>
      <w:r>
        <w:rPr>
          <w:b/>
          <w:bCs/>
        </w:rPr>
        <w:t xml:space="preserve">dedizierte physische Netzwerkkarten</w:t>
      </w:r>
      <w:r>
        <w:t xml:space="preserve"> </w:t>
      </w:r>
      <w:r>
        <w:t xml:space="preserve">getrennt werden. Die gemeinsame Nutzung von NICs für mehrere Traffic-Typen führt zu Bandbreitenkonflikten, unvorhersehbaren Latenzen und erschwert die Fehlerdiagnose.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Traffic-Typ</w:t>
            </w:r>
          </w:p>
        </w:tc>
        <w:tc>
          <w:tcPr/>
          <w:p>
            <w:pPr>
              <w:pStyle w:val="Compact"/>
            </w:pPr>
            <w:r>
              <w:t xml:space="preserve">Dedizierte NICs</w:t>
            </w:r>
          </w:p>
        </w:tc>
        <w:tc>
          <w:tcPr/>
          <w:p>
            <w:pPr>
              <w:pStyle w:val="Compact"/>
            </w:pPr>
            <w:r>
              <w:t xml:space="preserve">Begründung</w:t>
            </w:r>
          </w:p>
        </w:tc>
      </w:tr>
      <w:tr>
        <w:tc>
          <w:tcPr/>
          <w:p>
            <w:pPr>
              <w:pStyle w:val="Compact"/>
            </w:pPr>
            <w:r>
              <w:rPr>
                <w:b/>
                <w:bCs/>
              </w:rPr>
              <w:t xml:space="preserve">Management</w:t>
            </w:r>
          </w:p>
        </w:tc>
        <w:tc>
          <w:tcPr/>
          <w:p>
            <w:pPr>
              <w:pStyle w:val="Compact"/>
            </w:pPr>
            <w:r>
              <w:t xml:space="preserve">1–2× 1/10 GbE</w:t>
            </w:r>
          </w:p>
        </w:tc>
        <w:tc>
          <w:tcPr/>
          <w:p>
            <w:pPr>
              <w:pStyle w:val="Compact"/>
            </w:pPr>
            <w:r>
              <w:t xml:space="preserve">Isoliert Verwaltungs- und Heartbeat-Traffic von performancekritischen Pfaden. Bei einem Storage-Re-Sync bleibt der Cluster-Heartbeat stabil und löst kein unbeabsichtigtes Node-Eviction aus</w:t>
            </w:r>
          </w:p>
        </w:tc>
      </w:tr>
      <w:tr>
        <w:tc>
          <w:tcPr/>
          <w:p>
            <w:pPr>
              <w:pStyle w:val="Compact"/>
            </w:pPr>
            <w:r>
              <w:rPr>
                <w:b/>
                <w:bCs/>
              </w:rPr>
              <w:t xml:space="preserve">Storage (East-West)</w:t>
            </w:r>
          </w:p>
        </w:tc>
        <w:tc>
          <w:tcPr/>
          <w:p>
            <w:pPr>
              <w:pStyle w:val="Compact"/>
            </w:pPr>
            <w:r>
              <w:t xml:space="preserve">2× 25/100 GbE (RDMA)</w:t>
            </w:r>
          </w:p>
        </w:tc>
        <w:tc>
          <w:tcPr/>
          <w:p>
            <w:pPr>
              <w:pStyle w:val="Compact"/>
            </w:pPr>
            <w:r>
              <w:t xml:space="preserve">S2D-Replikation, Re-Sync und</w:t>
            </w:r>
            <w:r>
              <w:t xml:space="preserve"> </w:t>
            </w:r>
            <w:hyperlink w:anchor="csv-cluster-shared-volumes">
              <w:r>
                <w:rPr>
                  <w:rStyle w:val="Hyperlink"/>
                </w:rPr>
                <w:t xml:space="preserve">CSV</w:t>
              </w:r>
            </w:hyperlink>
            <w:r>
              <w:t xml:space="preserve">-I/O erfordern garantierte, latenzarme Bandbreite. RDMA funktioniert optimal, wenn der Adapter nicht durch anderen Traffic belastet wird</w:t>
            </w:r>
          </w:p>
        </w:tc>
      </w:tr>
      <w:tr>
        <w:tc>
          <w:tcPr/>
          <w:p>
            <w:pPr>
              <w:pStyle w:val="Compact"/>
            </w:pPr>
            <w:r>
              <w:rPr>
                <w:b/>
                <w:bCs/>
              </w:rPr>
              <w:t xml:space="preserve">CSV-Redirect</w:t>
            </w:r>
          </w:p>
        </w:tc>
        <w:tc>
          <w:tcPr/>
          <w:p>
            <w:pPr>
              <w:pStyle w:val="Compact"/>
            </w:pPr>
            <w:r>
              <w:t xml:space="preserve">Über Storage-NICs oder separate NICs</w:t>
            </w:r>
          </w:p>
        </w:tc>
        <w:tc>
          <w:tcPr/>
          <w:p>
            <w:pPr>
              <w:pStyle w:val="Compact"/>
            </w:pPr>
            <w:hyperlink w:anchor="csv-redirected-io">
              <w:r>
                <w:rPr>
                  <w:rStyle w:val="Hyperlink"/>
                </w:rPr>
                <w:t xml:space="preserve">CSV-Redirect-I/O</w:t>
              </w:r>
            </w:hyperlink>
            <w:r>
              <w:t xml:space="preserve"> </w:t>
            </w:r>
            <w:r>
              <w:t xml:space="preserve">tritt auf, wenn ein Knoten auf ein Volume zugreift, dessen Owner ein anderer Knoten ist. Dieser Traffic konkurriert direkt mit Storage-Replikation — bei hoher Last sollten separate NICs erwogen werden</w:t>
            </w:r>
          </w:p>
        </w:tc>
      </w:tr>
      <w:tr>
        <w:tc>
          <w:tcPr/>
          <w:p>
            <w:pPr>
              <w:pStyle w:val="Compact"/>
            </w:pPr>
            <w:r>
              <w:rPr>
                <w:b/>
                <w:bCs/>
              </w:rPr>
              <w:t xml:space="preserve">Live Migration</w:t>
            </w:r>
          </w:p>
        </w:tc>
        <w:tc>
          <w:tcPr/>
          <w:p>
            <w:pPr>
              <w:pStyle w:val="Compact"/>
            </w:pPr>
            <w:r>
              <w:t xml:space="preserve">1–2× 10/25 GbE</w:t>
            </w:r>
          </w:p>
        </w:tc>
        <w:tc>
          <w:tcPr/>
          <w:p>
            <w:pPr>
              <w:pStyle w:val="Compact"/>
            </w:pPr>
            <w:r>
              <w:t xml:space="preserve">Live Migration kann mehrere GB/s pro VM generieren. Ohne eigene NICs verdrängt eine Migration den Storage-Traffic und verursacht VM-Stalls</w:t>
            </w:r>
          </w:p>
        </w:tc>
      </w:tr>
      <w:tr>
        <w:tc>
          <w:tcPr/>
          <w:p>
            <w:pPr>
              <w:pStyle w:val="Compact"/>
            </w:pPr>
            <w:r>
              <w:rPr>
                <w:b/>
                <w:bCs/>
              </w:rPr>
              <w:t xml:space="preserve">VM-Netzwerk (Tenant)</w:t>
            </w:r>
          </w:p>
        </w:tc>
        <w:tc>
          <w:tcPr/>
          <w:p>
            <w:pPr>
              <w:pStyle w:val="Compact"/>
            </w:pPr>
            <w:r>
              <w:t xml:space="preserve">2× 10/25 GbE (via SET vSwitch)</w:t>
            </w:r>
          </w:p>
        </w:tc>
        <w:tc>
          <w:tcPr/>
          <w:p>
            <w:pPr>
              <w:pStyle w:val="Compact"/>
            </w:pPr>
            <w:r>
              <w:t xml:space="preserve">Nord-Süd-Traffic der VMs sollte vom East-West-Storage-Traffic vollständig getrennt sein</w:t>
            </w:r>
          </w:p>
        </w:tc>
      </w:tr>
    </w:tbl>
    <w:p>
      <w:pPr>
        <w:pStyle w:val="BlockText"/>
      </w:pPr>
      <w:r>
        <w:rPr>
          <w:b/>
          <w:bCs/>
        </w:rPr>
        <w:t xml:space="preserve">Best Practice — Minimale NIC-Bestückung pro Knoten (Produktion)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NIC-Paar</w:t>
            </w:r>
          </w:p>
        </w:tc>
        <w:tc>
          <w:tcPr/>
          <w:p>
            <w:pPr>
              <w:pStyle w:val="Compact"/>
            </w:pPr>
            <w:r>
              <w:t xml:space="preserve">Verwendung</w:t>
            </w:r>
          </w:p>
        </w:tc>
      </w:tr>
      <w:tr>
        <w:tc>
          <w:tcPr/>
          <w:p>
            <w:pPr>
              <w:pStyle w:val="Compact"/>
            </w:pPr>
            <w:r>
              <w:t xml:space="preserve">2× 1/10 GbE</w:t>
            </w:r>
          </w:p>
        </w:tc>
        <w:tc>
          <w:tcPr/>
          <w:p>
            <w:pPr>
              <w:pStyle w:val="Compact"/>
            </w:pPr>
            <w:r>
              <w:t xml:space="preserve">Management + Cluster-Heartbeat</w:t>
            </w:r>
          </w:p>
        </w:tc>
      </w:tr>
      <w:tr>
        <w:tc>
          <w:tcPr/>
          <w:p>
            <w:pPr>
              <w:pStyle w:val="Compact"/>
            </w:pPr>
            <w:r>
              <w:t xml:space="preserve">2× 25/100 GbE (RDMA)</w:t>
            </w:r>
          </w:p>
        </w:tc>
        <w:tc>
          <w:tcPr/>
          <w:p>
            <w:pPr>
              <w:pStyle w:val="Compact"/>
            </w:pPr>
            <w:r>
              <w:t xml:space="preserve">Storage (S2D, CSV)</w:t>
            </w:r>
          </w:p>
        </w:tc>
      </w:tr>
      <w:tr>
        <w:tc>
          <w:tcPr/>
          <w:p>
            <w:pPr>
              <w:pStyle w:val="Compact"/>
            </w:pPr>
            <w:r>
              <w:t xml:space="preserve">2× 10/25 GbE</w:t>
            </w:r>
          </w:p>
        </w:tc>
        <w:tc>
          <w:tcPr/>
          <w:p>
            <w:pPr>
              <w:pStyle w:val="Compact"/>
            </w:pPr>
            <w:r>
              <w:t xml:space="preserve">VM-Netzwerk + Live Migration (SET vSwitch)</w:t>
            </w:r>
          </w:p>
        </w:tc>
      </w:tr>
    </w:tbl>
    <w:p>
      <w:pPr>
        <w:pStyle w:val="BlockText"/>
      </w:pPr>
      <w:r>
        <w:t xml:space="preserve">Damit verfügt jeder Knoten über mindestens</w:t>
      </w:r>
      <w:r>
        <w:t xml:space="preserve"> </w:t>
      </w:r>
      <w:r>
        <w:rPr>
          <w:b/>
          <w:bCs/>
        </w:rPr>
        <w:t xml:space="preserve">6 physische Netzwerkports</w:t>
      </w:r>
      <w:r>
        <w:t xml:space="preserve">. Die Paare bieten Redundanz bei Adapter- oder Switch-Ausfall. Management-NICs sollten</w:t>
      </w:r>
      <w:r>
        <w:t xml:space="preserve"> </w:t>
      </w:r>
      <w:r>
        <w:rPr>
          <w:b/>
          <w:bCs/>
        </w:rPr>
        <w:t xml:space="preserve">nicht</w:t>
      </w:r>
      <w:r>
        <w:t xml:space="preserve"> </w:t>
      </w:r>
      <w:r>
        <w:t xml:space="preserve">Teil des SET vSwitch sein, damit die Verwaltung auch bei einem vSwitch-Problem erreichbar bleibt.</w:t>
      </w:r>
    </w:p>
    <w:bookmarkEnd w:id="74"/>
    <w:bookmarkStart w:id="75" w:name="vlan-trennung"/>
    <w:p>
      <w:pPr>
        <w:pStyle w:val="Heading3"/>
      </w:pPr>
      <w:r>
        <w:rPr>
          <w:rStyle w:val="SectionNumber"/>
        </w:rPr>
        <w:t xml:space="preserve">15.1.2</w:t>
      </w:r>
      <w:r>
        <w:tab/>
      </w:r>
      <w:hyperlink w:anchor="vlan-virtual-local-area-network">
        <w:r>
          <w:rPr>
            <w:rStyle w:val="Hyperlink"/>
          </w:rPr>
          <w:t xml:space="preserve">VLAN</w:t>
        </w:r>
      </w:hyperlink>
      <w:r>
        <w:t xml:space="preserve">-Trennung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Netzwerk</w:t>
            </w:r>
          </w:p>
        </w:tc>
        <w:tc>
          <w:tcPr/>
          <w:p>
            <w:pPr>
              <w:pStyle w:val="Compact"/>
            </w:pPr>
            <w:r>
              <w:t xml:space="preserve">VLAN</w:t>
            </w:r>
          </w:p>
        </w:tc>
        <w:tc>
          <w:tcPr/>
          <w:p>
            <w:pPr>
              <w:pStyle w:val="Compact"/>
            </w:pPr>
            <w:r>
              <w:t xml:space="preserve">Begründung</w:t>
            </w:r>
          </w:p>
        </w:tc>
      </w:tr>
      <w:tr>
        <w:tc>
          <w:tcPr/>
          <w:p>
            <w:pPr>
              <w:pStyle w:val="Compact"/>
            </w:pPr>
            <w:r>
              <w:t xml:space="preserve">Management</w:t>
            </w:r>
          </w:p>
        </w:tc>
        <w:tc>
          <w:tcPr/>
          <w:p>
            <w:pPr>
              <w:pStyle w:val="Compact"/>
            </w:pPr>
            <w:r>
              <w:t xml:space="preserve">Eigenes VLAN</w:t>
            </w:r>
          </w:p>
        </w:tc>
        <w:tc>
          <w:tcPr/>
          <w:p>
            <w:pPr>
              <w:pStyle w:val="Compact"/>
            </w:pPr>
            <w:r>
              <w:t xml:space="preserve">Trennung von Storage- und VM-Traffic</w:t>
            </w:r>
          </w:p>
        </w:tc>
      </w:tr>
      <w:tr>
        <w:tc>
          <w:tcPr/>
          <w:p>
            <w:pPr>
              <w:pStyle w:val="Compact"/>
            </w:pPr>
            <w:r>
              <w:t xml:space="preserve">Storage (RDMA)</w:t>
            </w:r>
          </w:p>
        </w:tc>
        <w:tc>
          <w:tcPr/>
          <w:p>
            <w:pPr>
              <w:pStyle w:val="Compact"/>
            </w:pPr>
            <w:r>
              <w:t xml:space="preserve">Eigenes VLAN (oder ungetaggt bei Switchless)</w:t>
            </w:r>
          </w:p>
        </w:tc>
        <w:tc>
          <w:tcPr/>
          <w:p>
            <w:pPr>
              <w:pStyle w:val="Compact"/>
            </w:pPr>
            <w:r>
              <w:t xml:space="preserve">Isolation des Storage-Traffic für konsistente Latenz</w:t>
            </w:r>
          </w:p>
        </w:tc>
      </w:tr>
      <w:tr>
        <w:tc>
          <w:tcPr/>
          <w:p>
            <w:pPr>
              <w:pStyle w:val="Compact"/>
            </w:pPr>
            <w:r>
              <w:t xml:space="preserve">Live Migration</w:t>
            </w:r>
          </w:p>
        </w:tc>
        <w:tc>
          <w:tcPr/>
          <w:p>
            <w:pPr>
              <w:pStyle w:val="Compact"/>
            </w:pPr>
            <w:r>
              <w:t xml:space="preserve">Eigenes VLAN oder gemeinsam mit Storage</w:t>
            </w:r>
          </w:p>
        </w:tc>
        <w:tc>
          <w:tcPr/>
          <w:p>
            <w:pPr>
              <w:pStyle w:val="Compact"/>
            </w:pPr>
            <w:r>
              <w:t xml:space="preserve">Vermeidung von Interferenz mit VM-Traffic</w:t>
            </w:r>
          </w:p>
        </w:tc>
      </w:tr>
      <w:tr>
        <w:tc>
          <w:tcPr/>
          <w:p>
            <w:pPr>
              <w:pStyle w:val="Compact"/>
            </w:pPr>
            <w:r>
              <w:t xml:space="preserve">VM-Netzwerk</w:t>
            </w:r>
          </w:p>
        </w:tc>
        <w:tc>
          <w:tcPr/>
          <w:p>
            <w:pPr>
              <w:pStyle w:val="Compact"/>
            </w:pPr>
            <w:r>
              <w:t xml:space="preserve">Ein oder mehrere VLANs</w:t>
            </w:r>
          </w:p>
        </w:tc>
        <w:tc>
          <w:tcPr/>
          <w:p>
            <w:pPr>
              <w:pStyle w:val="Compact"/>
            </w:pPr>
            <w:r>
              <w:t xml:space="preserve">Mandantentrennung und Segmentierung</w:t>
            </w:r>
          </w:p>
        </w:tc>
      </w:tr>
    </w:tbl>
    <w:bookmarkEnd w:id="75"/>
    <w:bookmarkEnd w:id="76"/>
    <w:bookmarkStart w:id="77" w:name="smb-direct-und-smb-multichannel"/>
    <w:p>
      <w:pPr>
        <w:pStyle w:val="Heading2"/>
      </w:pPr>
      <w:r>
        <w:rPr>
          <w:rStyle w:val="SectionNumber"/>
        </w:rPr>
        <w:t xml:space="preserve">15.2</w:t>
      </w:r>
      <w:r>
        <w:tab/>
      </w:r>
      <w:hyperlink w:anchor="smb-direct">
        <w:r>
          <w:rPr>
            <w:rStyle w:val="Hyperlink"/>
          </w:rPr>
          <w:t xml:space="preserve">SMB Direct</w:t>
        </w:r>
      </w:hyperlink>
      <w:r>
        <w:t xml:space="preserve"> </w:t>
      </w:r>
      <w:r>
        <w:t xml:space="preserve">und</w:t>
      </w:r>
      <w:r>
        <w:t xml:space="preserve"> </w:t>
      </w:r>
      <w:hyperlink w:anchor="smb-multichannel">
        <w:r>
          <w:rPr>
            <w:rStyle w:val="Hyperlink"/>
          </w:rPr>
          <w:t xml:space="preserve">SMB Multichannel</w:t>
        </w:r>
      </w:hyperlink>
    </w:p>
    <w:p>
      <w:pPr>
        <w:pStyle w:val="FirstParagraph"/>
      </w:pPr>
      <w:r>
        <w:t xml:space="preserve">S2D nutzt</w:t>
      </w:r>
      <w:r>
        <w:t xml:space="preserve"> </w:t>
      </w:r>
      <w:r>
        <w:rPr>
          <w:b/>
          <w:bCs/>
        </w:rPr>
        <w:t xml:space="preserve">SMB 3.x</w:t>
      </w:r>
      <w:r>
        <w:t xml:space="preserve"> </w:t>
      </w:r>
      <w:r>
        <w:t xml:space="preserve">als Transportprotokoll für den Storage-Traffic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Beschreibung</w:t>
            </w:r>
          </w:p>
        </w:tc>
      </w:tr>
      <w:tr>
        <w:tc>
          <w:tcPr/>
          <w:p>
            <w:pPr>
              <w:pStyle w:val="Compact"/>
            </w:pPr>
            <w:r>
              <w:rPr>
                <w:b/>
                <w:bCs/>
              </w:rPr>
              <w:t xml:space="preserve">SMB Direct</w:t>
            </w:r>
          </w:p>
        </w:tc>
        <w:tc>
          <w:tcPr/>
          <w:p>
            <w:pPr>
              <w:pStyle w:val="Compact"/>
            </w:pPr>
            <w:r>
              <w:t xml:space="preserve">SMB über RDMA — ermöglicht CPU-entlastende Datenübertragung mit niedriger Latenz und hohem Durchsatz</w:t>
            </w:r>
          </w:p>
        </w:tc>
      </w:tr>
      <w:tr>
        <w:tc>
          <w:tcPr/>
          <w:p>
            <w:pPr>
              <w:pStyle w:val="Compact"/>
            </w:pPr>
            <w:r>
              <w:rPr>
                <w:b/>
                <w:bCs/>
              </w:rPr>
              <w:t xml:space="preserve">SMB Multichannel</w:t>
            </w:r>
          </w:p>
        </w:tc>
        <w:tc>
          <w:tcPr/>
          <w:p>
            <w:pPr>
              <w:pStyle w:val="Compact"/>
            </w:pPr>
            <w:r>
              <w:t xml:space="preserve">Automatische Nutzung mehrerer Netzwerkverbindungen für Bandbreitenaggregation und Failover</w:t>
            </w:r>
          </w:p>
        </w:tc>
      </w:tr>
    </w:tbl>
    <w:p>
      <w:pPr>
        <w:pStyle w:val="BlockText"/>
      </w:pPr>
      <w:r>
        <w:rPr>
          <w:b/>
          <w:bCs/>
        </w:rPr>
        <w:t xml:space="preserve">Hinweis</w:t>
      </w:r>
      <w:r>
        <w:t xml:space="preserve">: SMB Direct erfordert RDMA-fähige NICs. SMB Multichannel ist automatisch aktiv, wenn mehrere Netzwerkpfade zwischen den Knoten vorhanden sind.</w:t>
      </w:r>
    </w:p>
    <w:bookmarkEnd w:id="77"/>
    <w:bookmarkStart w:id="79" w:name="Xb364bb1b0d8c6107f37a7c9853e3b9f86eee834"/>
    <w:p>
      <w:pPr>
        <w:pStyle w:val="Heading2"/>
      </w:pPr>
      <w:r>
        <w:rPr>
          <w:rStyle w:val="SectionNumber"/>
        </w:rPr>
        <w:t xml:space="preserve">15.3</w:t>
      </w:r>
      <w:r>
        <w:tab/>
      </w:r>
      <w:r>
        <w:t xml:space="preserve">SET (Switch Embedded Teaming) vs. NIC Teaming</w:t>
      </w:r>
    </w:p>
    <w:p>
      <w:pPr>
        <w:pStyle w:val="FirstParagraph"/>
      </w:pPr>
      <w:r>
        <w:t xml:space="preserve">Ab Windows Server 2016 wird</w:t>
      </w:r>
      <w:r>
        <w:t xml:space="preserve"> </w:t>
      </w:r>
      <w:r>
        <w:rPr>
          <w:b/>
          <w:bCs/>
        </w:rPr>
        <w:t xml:space="preserve">Switch Embedded Teaming (SET)</w:t>
      </w:r>
      <w:r>
        <w:t xml:space="preserve"> </w:t>
      </w:r>
      <w:r>
        <w:t xml:space="preserve">empfohlen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Eigenschaft</w:t>
            </w:r>
          </w:p>
        </w:tc>
        <w:tc>
          <w:tcPr/>
          <w:p>
            <w:pPr>
              <w:pStyle w:val="Compact"/>
            </w:pPr>
            <w:r>
              <w:t xml:space="preserve">SET (empfohlen)</w:t>
            </w:r>
          </w:p>
        </w:tc>
        <w:tc>
          <w:tcPr/>
          <w:p>
            <w:pPr>
              <w:pStyle w:val="Compact"/>
            </w:pPr>
            <w:r>
              <w:t xml:space="preserve">Traditionelles NIC Teaming</w:t>
            </w:r>
          </w:p>
        </w:tc>
      </w:tr>
      <w:tr>
        <w:tc>
          <w:tcPr/>
          <w:p>
            <w:pPr>
              <w:pStyle w:val="Compact"/>
            </w:pPr>
            <w:r>
              <w:t xml:space="preserve">Integration</w:t>
            </w:r>
          </w:p>
        </w:tc>
        <w:tc>
          <w:tcPr/>
          <w:p>
            <w:pPr>
              <w:pStyle w:val="Compact"/>
            </w:pPr>
            <w:r>
              <w:t xml:space="preserve">Im Hyper-V Virtual Switch eingebettet</w:t>
            </w:r>
          </w:p>
        </w:tc>
        <w:tc>
          <w:tcPr/>
          <w:p>
            <w:pPr>
              <w:pStyle w:val="Compact"/>
            </w:pPr>
            <w:r>
              <w:t xml:space="preserve">Separater Teaming-Layer</w:t>
            </w:r>
          </w:p>
        </w:tc>
      </w:tr>
      <w:tr>
        <w:tc>
          <w:tcPr/>
          <w:p>
            <w:pPr>
              <w:pStyle w:val="Compact"/>
            </w:pPr>
            <w:r>
              <w:t xml:space="preserve">RDMA-Unterstützung</w:t>
            </w:r>
          </w:p>
        </w:tc>
        <w:tc>
          <w:tcPr/>
          <w:p>
            <w:pPr>
              <w:pStyle w:val="Compact"/>
            </w:pPr>
            <w:r>
              <w:rPr>
                <w:b/>
                <w:bCs/>
              </w:rPr>
              <w:t xml:space="preserve">Ja</w:t>
            </w:r>
            <w:r>
              <w:t xml:space="preserve"> </w:t>
            </w:r>
            <w:r>
              <w:t xml:space="preserve">— RDMA über virtuelle NICs (vNICs)</w:t>
            </w:r>
          </w:p>
        </w:tc>
        <w:tc>
          <w:tcPr/>
          <w:p>
            <w:pPr>
              <w:pStyle w:val="Compact"/>
            </w:pPr>
            <w:r>
              <w:t xml:space="preserve">Nein — RDMA nicht mit NIC Teaming kompatibel</w:t>
            </w:r>
          </w:p>
        </w:tc>
      </w:tr>
      <w:tr>
        <w:tc>
          <w:tcPr/>
          <w:p>
            <w:pPr>
              <w:pStyle w:val="Compact"/>
            </w:pPr>
            <w:r>
              <w:t xml:space="preserve">Verwaltung</w:t>
            </w:r>
          </w:p>
        </w:tc>
        <w:tc>
          <w:tcPr/>
          <w:p>
            <w:pPr>
              <w:pStyle w:val="Compact"/>
            </w:pPr>
            <w:r>
              <w:t xml:space="preserve">Über Hyper-V Virtual Switch</w:t>
            </w:r>
          </w:p>
        </w:tc>
        <w:tc>
          <w:tcPr/>
          <w:p>
            <w:pPr>
              <w:pStyle w:val="Compact"/>
            </w:pPr>
            <w:r>
              <w:t xml:space="preserve">Über separate NIC-Teaming-Konfiguration</w:t>
            </w:r>
          </w:p>
        </w:tc>
      </w:tr>
      <w:tr>
        <w:tc>
          <w:tcPr/>
          <w:p>
            <w:pPr>
              <w:pStyle w:val="Compact"/>
            </w:pPr>
            <w:r>
              <w:t xml:space="preserve">Empfehlung für S2D</w:t>
            </w:r>
          </w:p>
        </w:tc>
        <w:tc>
          <w:tcPr/>
          <w:p>
            <w:pPr>
              <w:pStyle w:val="Compact"/>
            </w:pPr>
            <w:r>
              <w:rPr>
                <w:b/>
                <w:bCs/>
              </w:rPr>
              <w:t xml:space="preserve">Empfohlen</w:t>
            </w:r>
          </w:p>
        </w:tc>
        <w:tc>
          <w:tcPr/>
          <w:p>
            <w:pPr>
              <w:pStyle w:val="Compact"/>
            </w:pPr>
            <w:r>
              <w:t xml:space="preserve">Nicht empfohlen für S2D</w:t>
            </w:r>
          </w:p>
        </w:tc>
      </w:tr>
    </w:tbl>
    <w:p>
      <w:pPr>
        <w:pStyle w:val="BlockText"/>
      </w:pPr>
      <w:r>
        <w:rPr>
          <w:b/>
          <w:bCs/>
        </w:rPr>
        <w:t xml:space="preserve">Wichtig</w:t>
      </w:r>
      <w:r>
        <w:t xml:space="preserve">: Traditionelles NIC Teaming (</w:t>
      </w:r>
      <w:hyperlink w:anchor="lbfo-load-balancing-and-failover">
        <w:r>
          <w:rPr>
            <w:rStyle w:val="Hyperlink"/>
          </w:rPr>
          <w:t xml:space="preserve">LBFO</w:t>
        </w:r>
      </w:hyperlink>
      <w:r>
        <w:t xml:space="preserve">) ist</w:t>
      </w:r>
      <w:r>
        <w:t xml:space="preserve"> </w:t>
      </w:r>
      <w:r>
        <w:rPr>
          <w:b/>
          <w:bCs/>
        </w:rPr>
        <w:t xml:space="preserve">nicht kompatibel</w:t>
      </w:r>
      <w:r>
        <w:t xml:space="preserve"> </w:t>
      </w:r>
      <w:r>
        <w:t xml:space="preserve">mit RDMA. Für S2D-Deployments muss SET verwendet werden, um RDMA-Funktionalität auf den virtuellen Host-NICs (</w:t>
      </w:r>
      <w:hyperlink w:anchor="vnic-virtual-nic">
        <w:r>
          <w:rPr>
            <w:rStyle w:val="Hyperlink"/>
          </w:rPr>
          <w:t xml:space="preserve">vNICs</w:t>
        </w:r>
      </w:hyperlink>
      <w:r>
        <w:t xml:space="preserve">) zu nutzen.</w:t>
      </w:r>
    </w:p>
    <w:bookmarkStart w:id="78" w:name="set-konfiguration-beispiel"/>
    <w:p>
      <w:pPr>
        <w:pStyle w:val="Heading3"/>
      </w:pPr>
      <w:r>
        <w:rPr>
          <w:rStyle w:val="SectionNumber"/>
        </w:rPr>
        <w:t xml:space="preserve">15.3.1</w:t>
      </w:r>
      <w:r>
        <w:tab/>
      </w:r>
      <w:r>
        <w:t xml:space="preserve">SET-Konfiguration (Beispiel)</w:t>
      </w:r>
    </w:p>
    <w:p>
      <w:pPr>
        <w:pStyle w:val="SourceCode"/>
        <w:keepLines/>
        <w:keepNext/>
      </w:pPr>
      <w:r>
        <w:rPr>
          <w:rStyle w:val="VerbatimChar"/>
        </w:rPr>
        <w:t xml:space="preserve"># Hyper-V Virtual Switch mit SET erstellen</w:t>
      </w:r>
    </w:p>
    <w:p>
      <w:pPr>
        <w:pStyle w:val="SourceCode"/>
        <w:keepLines/>
        <w:keepNext/>
      </w:pPr>
      <w:r>
        <w:rPr>
          <w:rStyle w:val="VerbatimChar"/>
        </w:rPr>
        <w:t xml:space="preserve">New-VMSwitch -Name "SET-Switch" `</w:t>
      </w:r>
    </w:p>
    <w:p>
      <w:pPr>
        <w:pStyle w:val="SourceCode"/>
        <w:keepLines/>
        <w:keepNext/>
      </w:pPr>
      <w:r>
        <w:rPr>
          <w:rStyle w:val="VerbatimChar"/>
        </w:rPr>
        <w:t xml:space="preserve">    -NetAdapterName "NIC1","NIC2" `</w:t>
      </w:r>
    </w:p>
    <w:p>
      <w:pPr>
        <w:pStyle w:val="SourceCode"/>
        <w:keepLines/>
        <w:keepNext/>
      </w:pPr>
      <w:r>
        <w:rPr>
          <w:rStyle w:val="VerbatimChar"/>
        </w:rPr>
        <w:t xml:space="preserve">    -EnableEmbeddedTeaming $true `</w:t>
      </w:r>
    </w:p>
    <w:p>
      <w:pPr>
        <w:pStyle w:val="SourceCode"/>
        <w:keepLines/>
        <w:keepNext/>
      </w:pPr>
      <w:r>
        <w:rPr>
          <w:rStyle w:val="VerbatimChar"/>
        </w:rPr>
        <w:t xml:space="preserve">    -AllowManagementOS $true</w:t>
      </w:r>
    </w:p>
    <w:p>
      <w:pPr>
        <w:pStyle w:val="SourceCode"/>
        <w:keepLines/>
        <w:keepNext/>
      </w:pPr>
      <w:r>
        <w:rPr>
          <w:rStyle w:val="VerbatimChar"/>
        </w:rPr>
        <w:t xml:space="preserve"/>
      </w:r>
    </w:p>
    <w:p>
      <w:pPr>
        <w:pStyle w:val="SourceCode"/>
        <w:keepLines/>
        <w:keepNext/>
      </w:pPr>
      <w:r>
        <w:rPr>
          <w:rStyle w:val="VerbatimChar"/>
        </w:rPr>
        <w:t xml:space="preserve"># Virtuelle NICs für Storage (RDMA) erstellen</w:t>
      </w:r>
    </w:p>
    <w:p>
      <w:pPr>
        <w:pStyle w:val="SourceCode"/>
        <w:keepLines/>
        <w:keepNext/>
      </w:pPr>
      <w:r>
        <w:rPr>
          <w:rStyle w:val="VerbatimChar"/>
        </w:rPr>
        <w:t xml:space="preserve">Add-VMNetworkAdapter -ManagementOS -SwitchName "SET-Switch" -Name "Storage1"</w:t>
      </w:r>
    </w:p>
    <w:p>
      <w:pPr>
        <w:pStyle w:val="SourceCode"/>
        <w:keepLines/>
        <w:keepNext/>
      </w:pPr>
      <w:r>
        <w:rPr>
          <w:rStyle w:val="VerbatimChar"/>
        </w:rPr>
        <w:t xml:space="preserve">Add-VMNetworkAdapter -ManagementOS -SwitchName "SET-Switch" -Name "Storage2"</w:t>
      </w:r>
    </w:p>
    <w:p>
      <w:pPr>
        <w:pStyle w:val="SourceCode"/>
        <w:keepLines/>
        <w:keepNext/>
      </w:pPr>
      <w:r>
        <w:rPr>
          <w:rStyle w:val="VerbatimChar"/>
        </w:rPr>
        <w:t xml:space="preserve"/>
      </w:r>
    </w:p>
    <w:p>
      <w:pPr>
        <w:pStyle w:val="SourceCode"/>
        <w:keepLines/>
        <w:keepNext/>
      </w:pPr>
      <w:r>
        <w:rPr>
          <w:rStyle w:val="VerbatimChar"/>
        </w:rPr>
        <w:t xml:space="preserve"># RDMA auf den virtuellen NICs aktivieren</w:t>
      </w:r>
    </w:p>
    <w:p>
      <w:pPr>
        <w:pStyle w:val="SourceCode"/>
        <w:keepLines/>
        <w:keepNext/>
      </w:pPr>
      <w:r>
        <w:rPr>
          <w:rStyle w:val="VerbatimChar"/>
        </w:rPr>
        <w:t xml:space="preserve">Enable-NetAdapterRDMA -Name "vEthernet (Storage1)","vEthernet (Storage2)"</w:t>
      </w:r>
    </w:p>
    <w:p>
      <w:pPr>
        <w:pStyle w:val="SourceCode"/>
        <w:keepLines/>
        <w:keepNext/>
      </w:pPr>
      <w:r>
        <w:rPr>
          <w:rStyle w:val="VerbatimChar"/>
        </w:rPr>
        <w:t xml:space="preserve"/>
      </w:r>
    </w:p>
    <w:p>
      <w:pPr>
        <w:pStyle w:val="SourceCode"/>
        <w:keepLines/>
        <w:keepNext/>
      </w:pPr>
      <w:r>
        <w:rPr>
          <w:rStyle w:val="VerbatimChar"/>
        </w:rPr>
        <w:t xml:space="preserve"># VLAN-IDs zuweisen</w:t>
      </w:r>
    </w:p>
    <w:p>
      <w:pPr>
        <w:pStyle w:val="SourceCode"/>
        <w:keepLines/>
        <w:keepNext/>
      </w:pPr>
      <w:r>
        <w:rPr>
          <w:rStyle w:val="VerbatimChar"/>
        </w:rPr>
        <w:t xml:space="preserve">Set-VMNetworkAdapterVlan -ManagementOS -VMNetworkAdapterName "Storage1" -Access -VlanId 711</w:t>
      </w:r>
    </w:p>
    <w:p>
      <w:pPr>
        <w:pStyle w:val="SourceCode"/>
        <w:keepLines/>
      </w:pPr>
      <w:r>
        <w:rPr>
          <w:rStyle w:val="VerbatimChar"/>
        </w:rPr>
        <w:t xml:space="preserve">Set-VMNetworkAdapterVlan -ManagementOS -VMNetworkAdapterName "Storage2" -Access -VlanId 712</w:t>
      </w:r>
    </w:p>
    <w:bookmarkEnd w:id="78"/>
    <w:bookmarkEnd w:id="79"/>
    <w:bookmarkStart w:id="80" w:name="jumbo-frames"/>
    <w:p>
      <w:pPr>
        <w:pStyle w:val="Heading2"/>
      </w:pPr>
      <w:r>
        <w:rPr>
          <w:rStyle w:val="SectionNumber"/>
        </w:rPr>
        <w:t xml:space="preserve">15.4</w:t>
      </w:r>
      <w:r>
        <w:tab/>
      </w:r>
      <w:hyperlink w:anchor="jumbo-frames">
        <w:r>
          <w:rPr>
            <w:rStyle w:val="Hyperlink"/>
          </w:rPr>
          <w:t xml:space="preserve">Jumbo Frames</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Empfehlung</w:t>
            </w:r>
          </w:p>
        </w:tc>
      </w:tr>
      <w:tr>
        <w:tc>
          <w:tcPr/>
          <w:p>
            <w:pPr>
              <w:pStyle w:val="Compact"/>
            </w:pPr>
            <w:hyperlink w:anchor="mtu-maximum-transmission-unit">
              <w:r>
                <w:rPr>
                  <w:rStyle w:val="Hyperlink"/>
                </w:rPr>
                <w:t xml:space="preserve">MTU</w:t>
              </w:r>
            </w:hyperlink>
            <w:r>
              <w:t xml:space="preserve">-Größe</w:t>
            </w:r>
          </w:p>
        </w:tc>
        <w:tc>
          <w:tcPr/>
          <w:p>
            <w:pPr>
              <w:pStyle w:val="Compact"/>
            </w:pPr>
            <w:r>
              <w:rPr>
                <w:b/>
                <w:bCs/>
              </w:rPr>
              <w:t xml:space="preserve">9014 Bytes</w:t>
            </w:r>
            <w:r>
              <w:t xml:space="preserve"> </w:t>
            </w:r>
            <w:r>
              <w:t xml:space="preserve">(Jumbo Frames) für Storage-Netzwerk empfohlen</w:t>
            </w:r>
          </w:p>
        </w:tc>
      </w:tr>
      <w:tr>
        <w:tc>
          <w:tcPr/>
          <w:p>
            <w:pPr>
              <w:pStyle w:val="Compact"/>
            </w:pPr>
            <w:r>
              <w:t xml:space="preserve">Konsistenz</w:t>
            </w:r>
          </w:p>
        </w:tc>
        <w:tc>
          <w:tcPr/>
          <w:p>
            <w:pPr>
              <w:pStyle w:val="Compact"/>
            </w:pPr>
            <w:r>
              <w:t xml:space="preserve">Alle Geräte im Pfad (NICs, Switches, vNICs) müssen die gleiche MTU verwenden</w:t>
            </w:r>
          </w:p>
        </w:tc>
      </w:tr>
      <w:tr>
        <w:tc>
          <w:tcPr/>
          <w:p>
            <w:pPr>
              <w:pStyle w:val="Compact"/>
            </w:pPr>
            <w:r>
              <w:t xml:space="preserve">Management-Netzwerk</w:t>
            </w:r>
          </w:p>
        </w:tc>
        <w:tc>
          <w:tcPr/>
          <w:p>
            <w:pPr>
              <w:pStyle w:val="Compact"/>
            </w:pPr>
            <w:r>
              <w:t xml:space="preserve">Standard-MTU (1500 Bytes) beibehalten</w:t>
            </w:r>
          </w:p>
        </w:tc>
      </w:tr>
      <w:tr>
        <w:tc>
          <w:tcPr/>
          <w:p>
            <w:pPr>
              <w:pStyle w:val="Compact"/>
            </w:pPr>
            <w:r>
              <w:t xml:space="preserve">Validierung</w:t>
            </w:r>
          </w:p>
        </w:tc>
        <w:tc>
          <w:tcPr/>
          <w:p>
            <w:pPr>
              <w:pStyle w:val="Compact"/>
            </w:pPr>
            <w:r>
              <w:t xml:space="preserve">Jumbo Frames vor dem Cluster-Setup Ende-zu-Ende testen</w:t>
            </w:r>
          </w:p>
        </w:tc>
      </w:tr>
    </w:tbl>
    <w:p>
      <w:pPr>
        <w:pStyle w:val="SourceCode"/>
        <w:keepLines/>
        <w:keepNext/>
      </w:pPr>
      <w:r>
        <w:rPr>
          <w:rStyle w:val="VerbatimChar"/>
        </w:rPr>
        <w:t xml:space="preserve"># Jumbo Frames auf physischen NICs setzen</w:t>
      </w:r>
    </w:p>
    <w:p>
      <w:pPr>
        <w:pStyle w:val="SourceCode"/>
        <w:keepLines/>
        <w:keepNext/>
      </w:pPr>
      <w:r>
        <w:rPr>
          <w:rStyle w:val="VerbatimChar"/>
        </w:rPr>
        <w:t xml:space="preserve">Set-NetAdapterAdvancedProperty -Name "NIC1" -RegistryKeyword "*JumboPacket" -RegistryValue 9014</w:t>
      </w:r>
    </w:p>
    <w:p>
      <w:pPr>
        <w:pStyle w:val="SourceCode"/>
        <w:keepLines/>
        <w:keepNext/>
      </w:pPr>
      <w:r>
        <w:rPr>
          <w:rStyle w:val="VerbatimChar"/>
        </w:rPr>
        <w:t xml:space="preserve">Set-NetAdapterAdvancedProperty -Name "NIC2" -RegistryKeyword "*JumboPacket" -RegistryValue 9014</w:t>
      </w:r>
    </w:p>
    <w:p>
      <w:pPr>
        <w:pStyle w:val="SourceCode"/>
        <w:keepLines/>
        <w:keepNext/>
      </w:pPr>
      <w:r>
        <w:rPr>
          <w:rStyle w:val="VerbatimChar"/>
        </w:rPr>
        <w:t xml:space="preserve"/>
      </w:r>
    </w:p>
    <w:p>
      <w:pPr>
        <w:pStyle w:val="SourceCode"/>
        <w:keepLines/>
        <w:keepNext/>
      </w:pPr>
      <w:r>
        <w:rPr>
          <w:rStyle w:val="VerbatimChar"/>
        </w:rPr>
        <w:t xml:space="preserve"># MTU auf virtuellen NICs setzen</w:t>
      </w:r>
    </w:p>
    <w:p>
      <w:pPr>
        <w:pStyle w:val="SourceCode"/>
        <w:keepLines/>
        <w:keepNext/>
      </w:pPr>
      <w:r>
        <w:rPr>
          <w:rStyle w:val="VerbatimChar"/>
        </w:rPr>
        <w:t xml:space="preserve">Set-NetIPInterface -InterfaceAlias "vEthernet (Storage1)" -NlMtuBytes 9014</w:t>
      </w:r>
    </w:p>
    <w:p>
      <w:pPr>
        <w:pStyle w:val="SourceCode"/>
        <w:keepLines/>
      </w:pPr>
      <w:r>
        <w:rPr>
          <w:rStyle w:val="VerbatimChar"/>
        </w:rPr>
        <w:t xml:space="preserve">Set-NetIPInterface -InterfaceAlias "vEthernet (Storage2)" -NlMtuBytes 9014</w:t>
      </w:r>
    </w:p>
    <w:bookmarkEnd w:id="80"/>
    <w:bookmarkEnd w:id="81"/>
    <w:bookmarkStart w:id="103" w:name="deployment-schritte"/>
    <w:p>
      <w:pPr>
        <w:pStyle w:val="Heading1"/>
      </w:pPr>
      <w:r>
        <w:rPr>
          <w:rStyle w:val="SectionNumber"/>
        </w:rPr>
        <w:t xml:space="preserve">16</w:t>
      </w:r>
      <w:r>
        <w:tab/>
      </w:r>
      <w:r>
        <w:t xml:space="preserve">Deployment-Schritte</w:t>
      </w:r>
    </w:p>
    <w:bookmarkStart w:id="82" w:name="übersicht"/>
    <w:p>
      <w:pPr>
        <w:pStyle w:val="Heading2"/>
      </w:pPr>
      <w:r>
        <w:rPr>
          <w:rStyle w:val="SectionNumber"/>
        </w:rPr>
        <w:t xml:space="preserve">16.1</w:t>
      </w:r>
      <w:r>
        <w:tab/>
      </w:r>
      <w:r>
        <w:t xml:space="preserve">Übersicht</w:t>
      </w:r>
    </w:p>
    <w:p>
      <w:pPr>
        <w:pStyle w:val="FirstParagraph"/>
      </w:pPr>
      <w:r>
        <w:t xml:space="preserve">Das Deployment eines S2D-Clusters umfasst die folgenden Schritte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Beschreibung</w:t>
            </w:r>
          </w:p>
        </w:tc>
      </w:tr>
      <w:tr>
        <w:tc>
          <w:tcPr/>
          <w:p>
            <w:pPr>
              <w:pStyle w:val="Compact"/>
            </w:pPr>
            <w:r>
              <w:t xml:space="preserve">1</w:t>
            </w:r>
          </w:p>
        </w:tc>
        <w:tc>
          <w:tcPr/>
          <w:p>
            <w:pPr>
              <w:pStyle w:val="Compact"/>
            </w:pPr>
            <w:r>
              <w:t xml:space="preserve">Server vorbereiten (OS, Domain Join, Updates)</w:t>
            </w:r>
          </w:p>
        </w:tc>
      </w:tr>
      <w:tr>
        <w:tc>
          <w:tcPr/>
          <w:p>
            <w:pPr>
              <w:pStyle w:val="Compact"/>
            </w:pPr>
            <w:r>
              <w:t xml:space="preserve">2</w:t>
            </w:r>
          </w:p>
        </w:tc>
        <w:tc>
          <w:tcPr/>
          <w:p>
            <w:pPr>
              <w:pStyle w:val="Compact"/>
            </w:pPr>
            <w:r>
              <w:t xml:space="preserve">Rollen und Features installieren</w:t>
            </w:r>
          </w:p>
        </w:tc>
      </w:tr>
      <w:tr>
        <w:tc>
          <w:tcPr/>
          <w:p>
            <w:pPr>
              <w:pStyle w:val="Compact"/>
            </w:pPr>
            <w:r>
              <w:t xml:space="preserve">3</w:t>
            </w:r>
          </w:p>
        </w:tc>
        <w:tc>
          <w:tcPr/>
          <w:p>
            <w:pPr>
              <w:pStyle w:val="Compact"/>
            </w:pPr>
            <w:r>
              <w:t xml:space="preserve">Netzwerk konfigurieren (SET, RDMA, VLANs)</w:t>
            </w:r>
          </w:p>
        </w:tc>
      </w:tr>
      <w:tr>
        <w:tc>
          <w:tcPr/>
          <w:p>
            <w:pPr>
              <w:pStyle w:val="Compact"/>
            </w:pPr>
            <w:r>
              <w:t xml:space="preserve">4</w:t>
            </w:r>
          </w:p>
        </w:tc>
        <w:tc>
          <w:tcPr/>
          <w:p>
            <w:pPr>
              <w:pStyle w:val="Compact"/>
            </w:pPr>
            <w:r>
              <w:t xml:space="preserve">Cluster validieren</w:t>
            </w:r>
          </w:p>
        </w:tc>
      </w:tr>
      <w:tr>
        <w:tc>
          <w:tcPr/>
          <w:p>
            <w:pPr>
              <w:pStyle w:val="Compact"/>
            </w:pPr>
            <w:r>
              <w:t xml:space="preserve">5</w:t>
            </w:r>
          </w:p>
        </w:tc>
        <w:tc>
          <w:tcPr/>
          <w:p>
            <w:pPr>
              <w:pStyle w:val="Compact"/>
            </w:pPr>
            <w:r>
              <w:t xml:space="preserve">Cluster erstellen</w:t>
            </w:r>
          </w:p>
        </w:tc>
      </w:tr>
      <w:tr>
        <w:tc>
          <w:tcPr/>
          <w:p>
            <w:pPr>
              <w:pStyle w:val="Compact"/>
            </w:pPr>
            <w:r>
              <w:t xml:space="preserve">6</w:t>
            </w:r>
          </w:p>
        </w:tc>
        <w:tc>
          <w:tcPr/>
          <w:p>
            <w:pPr>
              <w:pStyle w:val="Compact"/>
            </w:pPr>
            <w:hyperlink w:anchor="fault-domain--fault-domain-awareness">
              <w:r>
                <w:rPr>
                  <w:rStyle w:val="Hyperlink"/>
                </w:rPr>
                <w:t xml:space="preserve">Fault Domains</w:t>
              </w:r>
            </w:hyperlink>
            <w:r>
              <w:t xml:space="preserve"> </w:t>
            </w:r>
            <w:r>
              <w:t xml:space="preserve">konfigurieren (optional)</w:t>
            </w:r>
          </w:p>
        </w:tc>
      </w:tr>
      <w:tr>
        <w:tc>
          <w:tcPr/>
          <w:p>
            <w:pPr>
              <w:pStyle w:val="Compact"/>
            </w:pPr>
            <w:r>
              <w:t xml:space="preserve">7</w:t>
            </w:r>
          </w:p>
        </w:tc>
        <w:tc>
          <w:tcPr/>
          <w:p>
            <w:pPr>
              <w:pStyle w:val="Compact"/>
            </w:pPr>
            <w:r>
              <w:t xml:space="preserve">Storage Spaces Direct aktivieren</w:t>
            </w:r>
          </w:p>
        </w:tc>
      </w:tr>
      <w:tr>
        <w:tc>
          <w:tcPr/>
          <w:p>
            <w:pPr>
              <w:pStyle w:val="Compact"/>
            </w:pPr>
            <w:r>
              <w:t xml:space="preserve">8</w:t>
            </w:r>
          </w:p>
        </w:tc>
        <w:tc>
          <w:tcPr/>
          <w:p>
            <w:pPr>
              <w:pStyle w:val="Compact"/>
            </w:pPr>
            <w:r>
              <w:t xml:space="preserve">Volumes erstellen</w:t>
            </w:r>
          </w:p>
        </w:tc>
      </w:tr>
      <w:tr>
        <w:tc>
          <w:tcPr/>
          <w:p>
            <w:pPr>
              <w:pStyle w:val="Compact"/>
            </w:pPr>
            <w:r>
              <w:t xml:space="preserve">9</w:t>
            </w:r>
          </w:p>
        </w:tc>
        <w:tc>
          <w:tcPr/>
          <w:p>
            <w:pPr>
              <w:pStyle w:val="Compact"/>
            </w:pPr>
            <w:r>
              <w:t xml:space="preserve">Quorum Witness konfigurieren</w:t>
            </w:r>
          </w:p>
        </w:tc>
      </w:tr>
      <w:tr>
        <w:tc>
          <w:tcPr/>
          <w:p>
            <w:pPr>
              <w:pStyle w:val="Compact"/>
            </w:pPr>
            <w:r>
              <w:t xml:space="preserve">10</w:t>
            </w:r>
          </w:p>
        </w:tc>
        <w:tc>
          <w:tcPr/>
          <w:p>
            <w:pPr>
              <w:pStyle w:val="Compact"/>
            </w:pPr>
            <w:r>
              <w:t xml:space="preserve">Cluster validieren und testen</w:t>
            </w:r>
          </w:p>
        </w:tc>
      </w:tr>
    </w:tbl>
    <w:bookmarkEnd w:id="82"/>
    <w:bookmarkStart w:id="86" w:name="schritt-1-server-vorbereiten"/>
    <w:p>
      <w:pPr>
        <w:pStyle w:val="Heading2"/>
      </w:pPr>
      <w:r>
        <w:rPr>
          <w:rStyle w:val="SectionNumber"/>
        </w:rPr>
        <w:t xml:space="preserve">16.2</w:t>
      </w:r>
      <w:r>
        <w:tab/>
      </w:r>
      <w:r>
        <w:t xml:space="preserve">Schritt 1: Server vorbereiten</w:t>
      </w:r>
    </w:p>
    <w:bookmarkStart w:id="83" w:name="os-installation"/>
    <w:p>
      <w:pPr>
        <w:pStyle w:val="Heading3"/>
      </w:pPr>
      <w:r>
        <w:rPr>
          <w:rStyle w:val="SectionNumber"/>
        </w:rPr>
        <w:t xml:space="preserve">16.2.1</w:t>
      </w:r>
      <w:r>
        <w:tab/>
      </w:r>
      <w:r>
        <w:t xml:space="preserve">OS-Installation</w:t>
      </w:r>
    </w:p>
    <w:p>
      <w:pPr>
        <w:pStyle w:val="FirstParagraph"/>
      </w:pPr>
      <w:r>
        <w:t xml:space="preserve">Windows Server</w:t>
      </w:r>
      <w:r>
        <w:t xml:space="preserve"> </w:t>
      </w:r>
      <w:r>
        <w:rPr>
          <w:b/>
          <w:bCs/>
        </w:rPr>
        <w:t xml:space="preserve">Datacenter Edition</w:t>
      </w:r>
      <w:r>
        <w:t xml:space="preserve"> </w:t>
      </w:r>
      <w:r>
        <w:t xml:space="preserve">auf allen Servern installieren. Server Core wird empfohlen, Server with Desktop Experience wird ebenfalls unterstützt [4].</w:t>
      </w:r>
    </w:p>
    <w:bookmarkEnd w:id="83"/>
    <w:bookmarkStart w:id="84" w:name="domain-join"/>
    <w:p>
      <w:pPr>
        <w:pStyle w:val="Heading3"/>
      </w:pPr>
      <w:r>
        <w:rPr>
          <w:rStyle w:val="SectionNumber"/>
        </w:rPr>
        <w:t xml:space="preserve">16.2.2</w:t>
      </w:r>
      <w:r>
        <w:tab/>
      </w:r>
      <w:r>
        <w:t xml:space="preserve">Domain Join</w:t>
      </w:r>
    </w:p>
    <w:p>
      <w:pPr>
        <w:pStyle w:val="SourceCode"/>
        <w:keepLines/>
        <w:keepNext/>
      </w:pPr>
      <w:r>
        <w:rPr>
          <w:rStyle w:val="VerbatimChar"/>
        </w:rPr>
        <w:t xml:space="preserve"># Alle Server der Domäne beitreten lassen</w:t>
      </w:r>
    </w:p>
    <w:p>
      <w:pPr>
        <w:pStyle w:val="SourceCode"/>
        <w:keepLines/>
        <w:keepNext/>
      </w:pPr>
      <w:r>
        <w:rPr>
          <w:rStyle w:val="VerbatimChar"/>
        </w:rPr>
        <w:t xml:space="preserve">$ServerList = "Node01","Node02","Node03","Node04","Node05","Node06"</w:t>
      </w:r>
    </w:p>
    <w:p>
      <w:pPr>
        <w:pStyle w:val="SourceCode"/>
        <w:keepLines/>
        <w:keepNext/>
      </w:pPr>
      <w:r>
        <w:rPr>
          <w:rStyle w:val="VerbatimChar"/>
        </w:rPr>
        <w:t xml:space="preserve"/>
      </w:r>
    </w:p>
    <w:p>
      <w:pPr>
        <w:pStyle w:val="SourceCode"/>
        <w:keepLines/>
        <w:keepNext/>
      </w:pPr>
      <w:r>
        <w:rPr>
          <w:rStyle w:val="VerbatimChar"/>
        </w:rPr>
        <w:t xml:space="preserve">foreach ($Server in $ServerList) {</w:t>
      </w:r>
    </w:p>
    <w:p>
      <w:pPr>
        <w:pStyle w:val="SourceCode"/>
        <w:keepLines/>
        <w:keepNext/>
      </w:pPr>
      <w:r>
        <w:rPr>
          <w:rStyle w:val="VerbatimChar"/>
        </w:rPr>
        <w:t xml:space="preserve">    Invoke-Command -ComputerName $Server -ScriptBlock {</w:t>
      </w:r>
    </w:p>
    <w:p>
      <w:pPr>
        <w:pStyle w:val="SourceCode"/>
        <w:keepLines/>
        <w:keepNext/>
      </w:pPr>
      <w:r>
        <w:rPr>
          <w:rStyle w:val="VerbatimChar"/>
        </w:rPr>
        <w:t xml:space="preserve">        Add-Computer -NewName $using:Server `</w:t>
      </w:r>
    </w:p>
    <w:p>
      <w:pPr>
        <w:pStyle w:val="SourceCode"/>
        <w:keepLines/>
        <w:keepNext/>
      </w:pPr>
      <w:r>
        <w:rPr>
          <w:rStyle w:val="VerbatimChar"/>
        </w:rPr>
        <w:t xml:space="preserve">            -DomainName "contoso.com" `</w:t>
      </w:r>
    </w:p>
    <w:p>
      <w:pPr>
        <w:pStyle w:val="SourceCode"/>
        <w:keepLines/>
        <w:keepNext/>
      </w:pPr>
      <w:r>
        <w:rPr>
          <w:rStyle w:val="VerbatimChar"/>
        </w:rPr>
        <w:t xml:space="preserve">            -Credential "CONTOSO\Admin" `</w:t>
      </w:r>
    </w:p>
    <w:p>
      <w:pPr>
        <w:pStyle w:val="SourceCode"/>
        <w:keepLines/>
        <w:keepNext/>
      </w:pPr>
      <w:r>
        <w:rPr>
          <w:rStyle w:val="VerbatimChar"/>
        </w:rPr>
        <w:t xml:space="preserve">            -Restart -Force</w:t>
      </w:r>
    </w:p>
    <w:p>
      <w:pPr>
        <w:pStyle w:val="SourceCode"/>
        <w:keepLines/>
        <w:keepNext/>
      </w:pPr>
      <w:r>
        <w:rPr>
          <w:rStyle w:val="VerbatimChar"/>
        </w:rPr>
        <w:t xml:space="preserve">    }</w:t>
      </w:r>
    </w:p>
    <w:p>
      <w:pPr>
        <w:pStyle w:val="SourceCode"/>
        <w:keepLines/>
      </w:pPr>
      <w:r>
        <w:rPr>
          <w:rStyle w:val="VerbatimChar"/>
        </w:rPr>
        <w:t xml:space="preserve">}</w:t>
      </w:r>
    </w:p>
    <w:bookmarkEnd w:id="84"/>
    <w:bookmarkStart w:id="85" w:name="updates-installieren"/>
    <w:p>
      <w:pPr>
        <w:pStyle w:val="Heading3"/>
      </w:pPr>
      <w:r>
        <w:rPr>
          <w:rStyle w:val="SectionNumber"/>
        </w:rPr>
        <w:t xml:space="preserve">16.2.3</w:t>
      </w:r>
      <w:r>
        <w:tab/>
      </w:r>
      <w:r>
        <w:t xml:space="preserve">Updates installieren</w:t>
      </w:r>
    </w:p>
    <w:p>
      <w:pPr>
        <w:pStyle w:val="FirstParagraph"/>
      </w:pPr>
      <w:r>
        <w:t xml:space="preserve">Alle Server auf den gleichen kumulativen Patch-Stand bringen. Firmware und Treiber (insbesondere NIC- und Storage-Treiber) auf identische Versionen aktualisieren.</w:t>
      </w:r>
    </w:p>
    <w:bookmarkEnd w:id="85"/>
    <w:bookmarkEnd w:id="86"/>
    <w:bookmarkStart w:id="87" w:name="Xd7339017b3e72c84ee400f5761702754ffba28e"/>
    <w:p>
      <w:pPr>
        <w:pStyle w:val="Heading2"/>
      </w:pPr>
      <w:r>
        <w:rPr>
          <w:rStyle w:val="SectionNumber"/>
        </w:rPr>
        <w:t xml:space="preserve">16.3</w:t>
      </w:r>
      <w:r>
        <w:tab/>
      </w:r>
      <w:r>
        <w:t xml:space="preserve">Schritt 2: Rollen und Features installieren</w:t>
      </w:r>
    </w:p>
    <w:p>
      <w:pPr>
        <w:pStyle w:val="SourceCode"/>
        <w:keepLines/>
        <w:keepNext/>
      </w:pPr>
      <w:r>
        <w:rPr>
          <w:rStyle w:val="VerbatimChar"/>
        </w:rPr>
        <w:t xml:space="preserve"># Auf allen Knoten: Rollen und Features installieren</w:t>
      </w:r>
    </w:p>
    <w:p>
      <w:pPr>
        <w:pStyle w:val="SourceCode"/>
        <w:keepLines/>
        <w:keepNext/>
      </w:pPr>
      <w:r>
        <w:rPr>
          <w:rStyle w:val="VerbatimChar"/>
        </w:rPr>
        <w:t xml:space="preserve">$ServerList = "Node01","Node02","Node03","Node04","Node05","Node06"</w:t>
      </w:r>
    </w:p>
    <w:p>
      <w:pPr>
        <w:pStyle w:val="SourceCode"/>
        <w:keepLines/>
        <w:keepNext/>
      </w:pPr>
      <w:r>
        <w:rPr>
          <w:rStyle w:val="VerbatimChar"/>
        </w:rPr>
        <w:t xml:space="preserve">$FeatureList = "Hyper-V",</w:t>
      </w:r>
    </w:p>
    <w:p>
      <w:pPr>
        <w:pStyle w:val="SourceCode"/>
        <w:keepLines/>
        <w:keepNext/>
      </w:pPr>
      <w:r>
        <w:rPr>
          <w:rStyle w:val="VerbatimChar"/>
        </w:rPr>
        <w:t xml:space="preserve">               "Failover-Clustering",</w:t>
      </w:r>
    </w:p>
    <w:p>
      <w:pPr>
        <w:pStyle w:val="SourceCode"/>
        <w:keepLines/>
        <w:keepNext/>
      </w:pPr>
      <w:r>
        <w:rPr>
          <w:rStyle w:val="VerbatimChar"/>
        </w:rPr>
        <w:t xml:space="preserve">               "Data-Center-Bridging",</w:t>
      </w:r>
    </w:p>
    <w:p>
      <w:pPr>
        <w:pStyle w:val="SourceCode"/>
        <w:keepLines/>
        <w:keepNext/>
      </w:pPr>
      <w:r>
        <w:rPr>
          <w:rStyle w:val="VerbatimChar"/>
        </w:rPr>
        <w:t xml:space="preserve">               "RSAT-Clustering-PowerShell",</w:t>
      </w:r>
    </w:p>
    <w:p>
      <w:pPr>
        <w:pStyle w:val="SourceCode"/>
        <w:keepLines/>
        <w:keepNext/>
      </w:pPr>
      <w:r>
        <w:rPr>
          <w:rStyle w:val="VerbatimChar"/>
        </w:rPr>
        <w:t xml:space="preserve">               "Hyper-V-PowerShell",</w:t>
      </w:r>
    </w:p>
    <w:p>
      <w:pPr>
        <w:pStyle w:val="SourceCode"/>
        <w:keepLines/>
        <w:keepNext/>
      </w:pPr>
      <w:r>
        <w:rPr>
          <w:rStyle w:val="VerbatimChar"/>
        </w:rPr>
        <w:t xml:space="preserve">               "FS-FileServer"</w:t>
      </w:r>
    </w:p>
    <w:p>
      <w:pPr>
        <w:pStyle w:val="SourceCode"/>
        <w:keepLines/>
        <w:keepNext/>
      </w:pPr>
      <w:r>
        <w:rPr>
          <w:rStyle w:val="VerbatimChar"/>
        </w:rPr>
        <w:t xml:space="preserve"/>
      </w:r>
    </w:p>
    <w:p>
      <w:pPr>
        <w:pStyle w:val="SourceCode"/>
        <w:keepLines/>
        <w:keepNext/>
      </w:pPr>
      <w:r>
        <w:rPr>
          <w:rStyle w:val="VerbatimChar"/>
        </w:rPr>
        <w:t xml:space="preserve">Invoke-Command -ComputerName $ServerList -ScriptBlock {</w:t>
      </w:r>
    </w:p>
    <w:p>
      <w:pPr>
        <w:pStyle w:val="SourceCode"/>
        <w:keepLines/>
        <w:keepNext/>
      </w:pPr>
      <w:r>
        <w:rPr>
          <w:rStyle w:val="VerbatimChar"/>
        </w:rPr>
        <w:t xml:space="preserve">    Install-WindowsFeature -Name $using:FeatureList -IncludeManagementTools -Restart</w:t>
      </w:r>
    </w:p>
    <w:p>
      <w:pPr>
        <w:pStyle w:val="SourceCode"/>
        <w:keepLines/>
      </w:pPr>
      <w:r>
        <w:rPr>
          <w:rStyle w:val="VerbatimChar"/>
        </w:rPr>
        <w:t xml:space="preserve">}</w:t>
      </w:r>
    </w:p>
    <w:p>
      <w:pPr>
        <w:pStyle w:val="BlockText"/>
      </w:pPr>
      <w:r>
        <w:rPr>
          <w:b/>
          <w:bCs/>
        </w:rPr>
        <w:t xml:space="preserve">Hinweis</w:t>
      </w:r>
      <w:r>
        <w:t xml:space="preserve">: Das Feature</w:t>
      </w:r>
      <w:r>
        <w:t xml:space="preserve"> </w:t>
      </w:r>
      <w:r>
        <w:rPr>
          <w:b/>
          <w:bCs/>
        </w:rPr>
        <w:t xml:space="preserve">Data-Center-Bridging</w:t>
      </w:r>
      <w:r>
        <w:t xml:space="preserve"> </w:t>
      </w:r>
      <w:r>
        <w:t xml:space="preserve">ist nur erforderlich, wenn RoCEv2-Netzwerkadapter verwendet werden. Bei iWARP kann es weggelassen werden [4].</w:t>
      </w:r>
    </w:p>
    <w:bookmarkEnd w:id="87"/>
    <w:bookmarkStart w:id="91" w:name="schritt-3-netzwerk-konfigurieren"/>
    <w:p>
      <w:pPr>
        <w:pStyle w:val="Heading2"/>
      </w:pPr>
      <w:r>
        <w:rPr>
          <w:rStyle w:val="SectionNumber"/>
        </w:rPr>
        <w:t xml:space="preserve">16.4</w:t>
      </w:r>
      <w:r>
        <w:tab/>
      </w:r>
      <w:r>
        <w:t xml:space="preserve">Schritt 3: Netzwerk konfigurieren</w:t>
      </w:r>
    </w:p>
    <w:bookmarkStart w:id="88" w:name="rdma-konfiguration-prüfen"/>
    <w:p>
      <w:pPr>
        <w:pStyle w:val="Heading3"/>
      </w:pPr>
      <w:r>
        <w:rPr>
          <w:rStyle w:val="SectionNumber"/>
        </w:rPr>
        <w:t xml:space="preserve">16.4.1</w:t>
      </w:r>
      <w:r>
        <w:tab/>
      </w:r>
      <w:r>
        <w:t xml:space="preserve">RDMA-Konfiguration prüfen</w:t>
      </w:r>
    </w:p>
    <w:p>
      <w:pPr>
        <w:pStyle w:val="SourceCode"/>
        <w:keepLines/>
        <w:keepNext/>
      </w:pPr>
      <w:r>
        <w:rPr>
          <w:rStyle w:val="VerbatimChar"/>
        </w:rPr>
        <w:t xml:space="preserve"># RDMA-Fähigkeit der NICs prüfen</w:t>
      </w:r>
    </w:p>
    <w:p>
      <w:pPr>
        <w:pStyle w:val="SourceCode"/>
        <w:keepLines/>
        <w:keepNext/>
      </w:pPr>
      <w:r>
        <w:rPr>
          <w:rStyle w:val="VerbatimChar"/>
        </w:rPr>
        <w:t xml:space="preserve">Get-NetAdapterRDMA</w:t>
      </w:r>
    </w:p>
    <w:p>
      <w:pPr>
        <w:pStyle w:val="SourceCode"/>
        <w:keepLines/>
        <w:keepNext/>
      </w:pPr>
      <w:r>
        <w:rPr>
          <w:rStyle w:val="VerbatimChar"/>
        </w:rPr>
        <w:t xml:space="preserve"/>
      </w:r>
    </w:p>
    <w:p>
      <w:pPr>
        <w:pStyle w:val="SourceCode"/>
        <w:keepLines/>
        <w:keepNext/>
      </w:pPr>
      <w:r>
        <w:rPr>
          <w:rStyle w:val="VerbatimChar"/>
        </w:rPr>
        <w:t xml:space="preserve"># RDMA-Protokoll ermitteln (iWARP oder RoCE)</w:t>
      </w:r>
    </w:p>
    <w:p>
      <w:pPr>
        <w:pStyle w:val="SourceCode"/>
        <w:keepLines/>
      </w:pPr>
      <w:r>
        <w:rPr>
          <w:rStyle w:val="VerbatimChar"/>
        </w:rPr>
        <w:t xml:space="preserve">Get-NetAdapterRDMA | Select-Object Name, InterfaceDescription, Enabled</w:t>
      </w:r>
    </w:p>
    <w:bookmarkEnd w:id="88"/>
    <w:bookmarkStart w:id="89" w:name="set-und-virtuelle-nics-einrichten"/>
    <w:p>
      <w:pPr>
        <w:pStyle w:val="Heading3"/>
      </w:pPr>
      <w:r>
        <w:rPr>
          <w:rStyle w:val="SectionNumber"/>
        </w:rPr>
        <w:t xml:space="preserve">16.4.2</w:t>
      </w:r>
      <w:r>
        <w:tab/>
      </w:r>
      <w:r>
        <w:t xml:space="preserve">SET und virtuelle NICs einrichten</w:t>
      </w:r>
    </w:p>
    <w:p>
      <w:pPr>
        <w:pStyle w:val="FirstParagraph"/>
      </w:pPr>
      <w:r>
        <w:t xml:space="preserve">Siehe die SET-Konfigurationsbeispiele im Abschnitt</w:t>
      </w:r>
      <w:r>
        <w:t xml:space="preserve"> </w:t>
      </w:r>
      <w:hyperlink w:anchor="Xb364bb1b0d8c6107f37a7c9853e3b9f86eee834">
        <w:r>
          <w:rPr>
            <w:rStyle w:val="Hyperlink"/>
          </w:rPr>
          <w:t xml:space="preserve">Netzwerk-Konfiguration</w:t>
        </w:r>
      </w:hyperlink>
      <w:r>
        <w:t xml:space="preserve">.</w:t>
      </w:r>
    </w:p>
    <w:bookmarkEnd w:id="89"/>
    <w:bookmarkStart w:id="90" w:name="ip-adressen-zuweisen"/>
    <w:p>
      <w:pPr>
        <w:pStyle w:val="Heading3"/>
      </w:pPr>
      <w:r>
        <w:rPr>
          <w:rStyle w:val="SectionNumber"/>
        </w:rPr>
        <w:t xml:space="preserve">16.4.3</w:t>
      </w:r>
      <w:r>
        <w:tab/>
      </w:r>
      <w:r>
        <w:t xml:space="preserve">IP-Adressen zuweisen</w:t>
      </w:r>
    </w:p>
    <w:p>
      <w:pPr>
        <w:pStyle w:val="SourceCode"/>
        <w:keepLines/>
        <w:keepNext/>
      </w:pPr>
      <w:r>
        <w:rPr>
          <w:rStyle w:val="VerbatimChar"/>
        </w:rPr>
        <w:t xml:space="preserve"># Statische IPs für Storage-Netzwerk zuweisen</w:t>
      </w:r>
    </w:p>
    <w:p>
      <w:pPr>
        <w:pStyle w:val="SourceCode"/>
        <w:keepLines/>
        <w:keepNext/>
      </w:pPr>
      <w:r>
        <w:rPr>
          <w:rStyle w:val="VerbatimChar"/>
        </w:rPr>
        <w:t xml:space="preserve">New-NetIPAddress -InterfaceAlias "vEthernet (Storage1)" `</w:t>
      </w:r>
    </w:p>
    <w:p>
      <w:pPr>
        <w:pStyle w:val="SourceCode"/>
        <w:keepLines/>
        <w:keepNext/>
      </w:pPr>
      <w:r>
        <w:rPr>
          <w:rStyle w:val="VerbatimChar"/>
        </w:rPr>
        <w:t xml:space="preserve">    -IPAddress "10.10.1.1" -PrefixLength 24</w:t>
      </w:r>
    </w:p>
    <w:p>
      <w:pPr>
        <w:pStyle w:val="SourceCode"/>
        <w:keepLines/>
        <w:keepNext/>
      </w:pPr>
      <w:r>
        <w:rPr>
          <w:rStyle w:val="VerbatimChar"/>
        </w:rPr>
        <w:t xml:space="preserve">New-NetIPAddress -InterfaceAlias "vEthernet (Storage2)" `</w:t>
      </w:r>
    </w:p>
    <w:p>
      <w:pPr>
        <w:pStyle w:val="SourceCode"/>
        <w:keepLines/>
      </w:pPr>
      <w:r>
        <w:rPr>
          <w:rStyle w:val="VerbatimChar"/>
        </w:rPr>
        <w:t xml:space="preserve">    -IPAddress "10.10.2.1" -PrefixLength 24</w:t>
      </w:r>
    </w:p>
    <w:bookmarkEnd w:id="90"/>
    <w:bookmarkEnd w:id="91"/>
    <w:bookmarkStart w:id="92" w:name="schritt-4-cluster-validieren"/>
    <w:p>
      <w:pPr>
        <w:pStyle w:val="Heading2"/>
      </w:pPr>
      <w:r>
        <w:rPr>
          <w:rStyle w:val="SectionNumber"/>
        </w:rPr>
        <w:t xml:space="preserve">16.5</w:t>
      </w:r>
      <w:r>
        <w:tab/>
      </w:r>
      <w:r>
        <w:t xml:space="preserve">Schritt 4: Cluster validieren</w:t>
      </w:r>
    </w:p>
    <w:p>
      <w:pPr>
        <w:pStyle w:val="FirstParagraph"/>
      </w:pPr>
      <w:r>
        <w:t xml:space="preserve">Die Clustervalidierung ist ein</w:t>
      </w:r>
      <w:r>
        <w:t xml:space="preserve"> </w:t>
      </w:r>
      <w:r>
        <w:rPr>
          <w:b/>
          <w:bCs/>
        </w:rPr>
        <w:t xml:space="preserve">zwingend erforderlicher</w:t>
      </w:r>
      <w:r>
        <w:t xml:space="preserve"> </w:t>
      </w:r>
      <w:r>
        <w:t xml:space="preserve">Schritt vor der Clustererstellung [4]:</w:t>
      </w:r>
    </w:p>
    <w:p>
      <w:pPr>
        <w:pStyle w:val="SourceCode"/>
        <w:keepLines/>
        <w:keepNext/>
      </w:pPr>
      <w:r>
        <w:rPr>
          <w:rStyle w:val="VerbatimChar"/>
        </w:rPr>
        <w:t xml:space="preserve"># Cluster-Validierung ausführen</w:t>
      </w:r>
    </w:p>
    <w:p>
      <w:pPr>
        <w:pStyle w:val="SourceCode"/>
        <w:keepLines/>
        <w:keepNext/>
      </w:pPr>
      <w:r>
        <w:rPr>
          <w:rStyle w:val="VerbatimChar"/>
        </w:rPr>
        <w:t xml:space="preserve">Test-Cluster -Node Node01,Node02,Node03,Node04,Node05,Node06 `</w:t>
      </w:r>
    </w:p>
    <w:p>
      <w:pPr>
        <w:pStyle w:val="SourceCode"/>
        <w:keepLines/>
        <w:keepNext/>
      </w:pPr>
      <w:r>
        <w:rPr>
          <w:rStyle w:val="VerbatimChar"/>
        </w:rPr>
        <w:t xml:space="preserve">    -Include "Storage Spaces Direct",</w:t>
      </w:r>
    </w:p>
    <w:p>
      <w:pPr>
        <w:pStyle w:val="SourceCode"/>
        <w:keepLines/>
        <w:keepNext/>
      </w:pPr>
      <w:r>
        <w:rPr>
          <w:rStyle w:val="VerbatimChar"/>
        </w:rPr>
        <w:t xml:space="preserve">             "Inventory",</w:t>
      </w:r>
    </w:p>
    <w:p>
      <w:pPr>
        <w:pStyle w:val="SourceCode"/>
        <w:keepLines/>
        <w:keepNext/>
      </w:pPr>
      <w:r>
        <w:rPr>
          <w:rStyle w:val="VerbatimChar"/>
        </w:rPr>
        <w:t xml:space="preserve">             "Network",</w:t>
      </w:r>
    </w:p>
    <w:p>
      <w:pPr>
        <w:pStyle w:val="SourceCode"/>
        <w:keepLines/>
      </w:pPr>
      <w:r>
        <w:rPr>
          <w:rStyle w:val="VerbatimChar"/>
        </w:rPr>
        <w:t xml:space="preserve">             "System Configuration"</w:t>
      </w:r>
    </w:p>
    <w:p>
      <w:pPr>
        <w:pStyle w:val="BlockText"/>
      </w:pPr>
      <w:r>
        <w:rPr>
          <w:b/>
          <w:bCs/>
        </w:rPr>
        <w:t xml:space="preserve">Wichtig</w:t>
      </w:r>
      <w:r>
        <w:t xml:space="preserve">: Alle Validierungstests müssen bestanden werden, bevor der Cluster erstellt wird. Warnungen sollten untersucht und nach Möglichkeit behoben werden. Fehler in der Kategorie „Storage Spaces Direct” blockieren die spätere Aktivierung.</w:t>
      </w:r>
    </w:p>
    <w:bookmarkEnd w:id="92"/>
    <w:bookmarkStart w:id="93" w:name="schritt-5-cluster-erstellen"/>
    <w:p>
      <w:pPr>
        <w:pStyle w:val="Heading2"/>
      </w:pPr>
      <w:r>
        <w:rPr>
          <w:rStyle w:val="SectionNumber"/>
        </w:rPr>
        <w:t xml:space="preserve">16.6</w:t>
      </w:r>
      <w:r>
        <w:tab/>
      </w:r>
      <w:r>
        <w:t xml:space="preserve">Schritt 5: Cluster erstellen</w:t>
      </w:r>
    </w:p>
    <w:p>
      <w:pPr>
        <w:pStyle w:val="SourceCode"/>
        <w:keepLines/>
        <w:keepNext/>
      </w:pPr>
      <w:r>
        <w:rPr>
          <w:rStyle w:val="VerbatimChar"/>
        </w:rPr>
        <w:t xml:space="preserve"># Cluster erstellen (ohne Storage — S2D wird separat aktiviert)</w:t>
      </w:r>
    </w:p>
    <w:p>
      <w:pPr>
        <w:pStyle w:val="SourceCode"/>
        <w:keepLines/>
        <w:keepNext/>
      </w:pPr>
      <w:r>
        <w:rPr>
          <w:rStyle w:val="VerbatimChar"/>
        </w:rPr>
        <w:t xml:space="preserve">New-Cluster -Name "S2DCluster" `</w:t>
      </w:r>
    </w:p>
    <w:p>
      <w:pPr>
        <w:pStyle w:val="SourceCode"/>
        <w:keepLines/>
        <w:keepNext/>
      </w:pPr>
      <w:r>
        <w:rPr>
          <w:rStyle w:val="VerbatimChar"/>
        </w:rPr>
        <w:t xml:space="preserve">    -Node Node01,Node02,Node03,Node04,Node05,Node06 `</w:t>
      </w:r>
    </w:p>
    <w:p>
      <w:pPr>
        <w:pStyle w:val="SourceCode"/>
        <w:keepLines/>
        <w:keepNext/>
      </w:pPr>
      <w:r>
        <w:rPr>
          <w:rStyle w:val="VerbatimChar"/>
        </w:rPr>
        <w:t xml:space="preserve">    -NoStorage `</w:t>
      </w:r>
    </w:p>
    <w:p>
      <w:pPr>
        <w:pStyle w:val="SourceCode"/>
        <w:keepLines/>
      </w:pPr>
      <w:r>
        <w:rPr>
          <w:rStyle w:val="VerbatimChar"/>
        </w:rPr>
        <w:t xml:space="preserve">    -StaticAddress 10.0.0.100</w:t>
      </w:r>
    </w:p>
    <w:p>
      <w:pPr>
        <w:pStyle w:val="BlockText"/>
      </w:pPr>
      <w:r>
        <w:rPr>
          <w:b/>
          <w:bCs/>
        </w:rPr>
        <w:t xml:space="preserve">Hinweis</w:t>
      </w:r>
      <w:r>
        <w:t xml:space="preserve">: Der Parameter</w:t>
      </w:r>
      <w:r>
        <w:t xml:space="preserve"> </w:t>
      </w:r>
      <w:r>
        <w:rPr>
          <w:rStyle w:val="VerbatimChar"/>
        </w:rPr>
        <w:t xml:space="preserve">-NoStorage</w:t>
      </w:r>
      <w:r>
        <w:t xml:space="preserve"> </w:t>
      </w:r>
      <w:r>
        <w:t xml:space="preserve">ist entscheidend — er verhindert, dass traditionelle Cluster-Disks hinzugefügt werden. S2D verwaltet den Storage eigenständig. Der Clustername muss ein eindeutiger NetBIOS-Name mit maximal 15 Zeichen sein [4].</w:t>
      </w:r>
    </w:p>
    <w:bookmarkEnd w:id="93"/>
    <w:bookmarkStart w:id="94" w:name="X6cc64807ccda269da806f583edd069f8524ed6b"/>
    <w:p>
      <w:pPr>
        <w:pStyle w:val="Heading2"/>
      </w:pPr>
      <w:r>
        <w:rPr>
          <w:rStyle w:val="SectionNumber"/>
        </w:rPr>
        <w:t xml:space="preserve">16.7</w:t>
      </w:r>
      <w:r>
        <w:tab/>
      </w:r>
      <w:r>
        <w:t xml:space="preserve">Schritt 6: Fault Domains konfigurieren (optional)</w:t>
      </w:r>
    </w:p>
    <w:p>
      <w:pPr>
        <w:pStyle w:val="FirstParagraph"/>
      </w:pPr>
      <w:r>
        <w:t xml:space="preserve">Fault Domains ermöglichen es, die physische Topologie des Clusters abzubilden (Chassis, Rack, Site). Dies ist besonders relevant für Multi-Site- oder Multi-Rack-Deployments [5].</w:t>
      </w:r>
    </w:p>
    <w:p>
      <w:pPr>
        <w:pStyle w:val="SourceCode"/>
        <w:keepLines/>
        <w:keepNext/>
      </w:pPr>
      <w:r>
        <w:rPr>
          <w:rStyle w:val="VerbatimChar"/>
        </w:rPr>
        <w:t xml:space="preserve"># Beispiel: Rack-basierte Fault Domains</w:t>
      </w:r>
    </w:p>
    <w:p>
      <w:pPr>
        <w:pStyle w:val="SourceCode"/>
        <w:keepLines/>
        <w:keepNext/>
      </w:pPr>
      <w:r>
        <w:rPr>
          <w:rStyle w:val="VerbatimChar"/>
        </w:rPr>
        <w:t xml:space="preserve">New-ClusterFaultDomain -Type Rack -Name "Rack01" -Location "RZ1, Reihe A"</w:t>
      </w:r>
    </w:p>
    <w:p>
      <w:pPr>
        <w:pStyle w:val="SourceCode"/>
        <w:keepLines/>
        <w:keepNext/>
      </w:pPr>
      <w:r>
        <w:rPr>
          <w:rStyle w:val="VerbatimChar"/>
        </w:rPr>
        <w:t xml:space="preserve">New-ClusterFaultDomain -Type Rack -Name "Rack02" -Location "RZ1, Reihe B"</w:t>
      </w:r>
    </w:p>
    <w:p>
      <w:pPr>
        <w:pStyle w:val="SourceCode"/>
        <w:keepLines/>
        <w:keepNext/>
      </w:pPr>
      <w:r>
        <w:rPr>
          <w:rStyle w:val="VerbatimChar"/>
        </w:rPr>
        <w:t xml:space="preserve"/>
      </w:r>
    </w:p>
    <w:p>
      <w:pPr>
        <w:pStyle w:val="SourceCode"/>
        <w:keepLines/>
        <w:keepNext/>
      </w:pPr>
      <w:r>
        <w:rPr>
          <w:rStyle w:val="VerbatimChar"/>
        </w:rPr>
        <w:t xml:space="preserve">Set-ClusterFaultDomain -Name "Node01","Node02","Node03" -Parent "Rack01"</w:t>
      </w:r>
    </w:p>
    <w:p>
      <w:pPr>
        <w:pStyle w:val="SourceCode"/>
        <w:keepLines/>
        <w:keepNext/>
      </w:pPr>
      <w:r>
        <w:rPr>
          <w:rStyle w:val="VerbatimChar"/>
        </w:rPr>
        <w:t xml:space="preserve">Set-ClusterFaultDomain -Name "Node04","Node05","Node06" -Parent "Rack02"</w:t>
      </w:r>
    </w:p>
    <w:p>
      <w:pPr>
        <w:pStyle w:val="SourceCode"/>
        <w:keepLines/>
        <w:keepNext/>
      </w:pPr>
      <w:r>
        <w:rPr>
          <w:rStyle w:val="VerbatimChar"/>
        </w:rPr>
        <w:t xml:space="preserve"/>
      </w:r>
    </w:p>
    <w:p>
      <w:pPr>
        <w:pStyle w:val="SourceCode"/>
        <w:keepLines/>
        <w:keepNext/>
      </w:pPr>
      <w:r>
        <w:rPr>
          <w:rStyle w:val="VerbatimChar"/>
        </w:rPr>
        <w:t xml:space="preserve"># Konfiguration prüfen</w:t>
      </w:r>
    </w:p>
    <w:p>
      <w:pPr>
        <w:pStyle w:val="SourceCode"/>
        <w:keepLines/>
      </w:pPr>
      <w:r>
        <w:rPr>
          <w:rStyle w:val="VerbatimChar"/>
        </w:rPr>
        <w:t xml:space="preserve">Get-ClusterFaultDomain</w:t>
      </w:r>
    </w:p>
    <w:p>
      <w:pPr>
        <w:pStyle w:val="BlockText"/>
      </w:pPr>
      <w:r>
        <w:rPr>
          <w:b/>
          <w:bCs/>
        </w:rPr>
        <w:t xml:space="preserve">Wichtig</w:t>
      </w:r>
      <w:r>
        <w:t xml:space="preserve">: Fault Domains müssen</w:t>
      </w:r>
      <w:r>
        <w:t xml:space="preserve"> </w:t>
      </w:r>
      <w:r>
        <w:rPr>
          <w:b/>
          <w:bCs/>
        </w:rPr>
        <w:t xml:space="preserve">vor</w:t>
      </w:r>
      <w:r>
        <w:t xml:space="preserve"> </w:t>
      </w:r>
      <w:r>
        <w:t xml:space="preserve">der Aktivierung von Storage Spaces Direct konfiguriert werden. Nachträgliche Änderungen führen nicht zu einer automatischen Umverteilung der Daten [5].</w:t>
      </w:r>
    </w:p>
    <w:bookmarkEnd w:id="94"/>
    <w:bookmarkStart w:id="97" w:name="Xd66a8749ed79449b354c0644de382de4fc9fe20"/>
    <w:p>
      <w:pPr>
        <w:pStyle w:val="Heading2"/>
      </w:pPr>
      <w:r>
        <w:rPr>
          <w:rStyle w:val="SectionNumber"/>
        </w:rPr>
        <w:t xml:space="preserve">16.8</w:t>
      </w:r>
      <w:r>
        <w:tab/>
      </w:r>
      <w:r>
        <w:t xml:space="preserve">Schritt 7: Storage Spaces Direct aktivieren</w:t>
      </w:r>
    </w:p>
    <w:p>
      <w:pPr>
        <w:pStyle w:val="FirstParagraph"/>
      </w:pPr>
      <w:r>
        <w:t xml:space="preserve">Vor der Aktivierung müssen die Datenlaufwerke bereinigt werden [4]:</w:t>
      </w:r>
    </w:p>
    <w:bookmarkStart w:id="95" w:name="laufwerke-bereinigen"/>
    <w:p>
      <w:pPr>
        <w:pStyle w:val="Heading3"/>
      </w:pPr>
      <w:r>
        <w:rPr>
          <w:rStyle w:val="SectionNumber"/>
        </w:rPr>
        <w:t xml:space="preserve">16.8.1</w:t>
      </w:r>
      <w:r>
        <w:tab/>
      </w:r>
      <w:r>
        <w:t xml:space="preserve">Laufwerke bereinigen</w:t>
      </w:r>
    </w:p>
    <w:p>
      <w:pPr>
        <w:pStyle w:val="SourceCode"/>
        <w:keepLines/>
        <w:keepNext/>
      </w:pPr>
      <w:r>
        <w:rPr>
          <w:rStyle w:val="VerbatimChar"/>
        </w:rPr>
        <w:t xml:space="preserve"># Alle Nicht-Boot-Laufwerke auf allen Servern bereinigen</w:t>
      </w:r>
    </w:p>
    <w:p>
      <w:pPr>
        <w:pStyle w:val="SourceCode"/>
        <w:keepLines/>
        <w:keepNext/>
      </w:pPr>
      <w:r>
        <w:rPr>
          <w:rStyle w:val="VerbatimChar"/>
        </w:rPr>
        <w:t xml:space="preserve">$ServerList = "Node01","Node02","Node03","Node04","Node05","Node06"</w:t>
      </w:r>
    </w:p>
    <w:p>
      <w:pPr>
        <w:pStyle w:val="SourceCode"/>
        <w:keepLines/>
        <w:keepNext/>
      </w:pPr>
      <w:r>
        <w:rPr>
          <w:rStyle w:val="VerbatimChar"/>
        </w:rPr>
        <w:t xml:space="preserve"/>
      </w:r>
    </w:p>
    <w:p>
      <w:pPr>
        <w:pStyle w:val="SourceCode"/>
        <w:keepLines/>
        <w:keepNext/>
      </w:pPr>
      <w:r>
        <w:rPr>
          <w:rStyle w:val="VerbatimChar"/>
        </w:rPr>
        <w:t xml:space="preserve">Invoke-Command -ComputerName $ServerList -ScriptBlock {</w:t>
      </w:r>
    </w:p>
    <w:p>
      <w:pPr>
        <w:pStyle w:val="SourceCode"/>
        <w:keepLines/>
        <w:keepNext/>
      </w:pPr>
      <w:r>
        <w:rPr>
          <w:rStyle w:val="VerbatimChar"/>
        </w:rPr>
        <w:t xml:space="preserve">    Get-Disk | Where-Object {</w:t>
      </w:r>
    </w:p>
    <w:p>
      <w:pPr>
        <w:pStyle w:val="SourceCode"/>
        <w:keepLines/>
        <w:keepNext/>
      </w:pPr>
      <w:r>
        <w:rPr>
          <w:rStyle w:val="VerbatimChar"/>
        </w:rPr>
        <w:t xml:space="preserve">        $_.Number -ne $null -and !$_.IsBoot -and !$_.IsSystem -and $_.PartitionStyle -ne "RAW"</w:t>
      </w:r>
    </w:p>
    <w:p>
      <w:pPr>
        <w:pStyle w:val="SourceCode"/>
        <w:keepLines/>
        <w:keepNext/>
      </w:pPr>
      <w:r>
        <w:rPr>
          <w:rStyle w:val="VerbatimChar"/>
        </w:rPr>
        <w:t xml:space="preserve">    } | ForEach-Object {</w:t>
      </w:r>
    </w:p>
    <w:p>
      <w:pPr>
        <w:pStyle w:val="SourceCode"/>
        <w:keepLines/>
        <w:keepNext/>
      </w:pPr>
      <w:r>
        <w:rPr>
          <w:rStyle w:val="VerbatimChar"/>
        </w:rPr>
        <w:t xml:space="preserve">        $_ | Set-Disk -IsOffline:$false</w:t>
      </w:r>
    </w:p>
    <w:p>
      <w:pPr>
        <w:pStyle w:val="SourceCode"/>
        <w:keepLines/>
        <w:keepNext/>
      </w:pPr>
      <w:r>
        <w:rPr>
          <w:rStyle w:val="VerbatimChar"/>
        </w:rPr>
        <w:t xml:space="preserve">        $_ | Set-Disk -IsReadOnly:$false</w:t>
      </w:r>
    </w:p>
    <w:p>
      <w:pPr>
        <w:pStyle w:val="SourceCode"/>
        <w:keepLines/>
        <w:keepNext/>
      </w:pPr>
      <w:r>
        <w:rPr>
          <w:rStyle w:val="VerbatimChar"/>
        </w:rPr>
        <w:t xml:space="preserve">        $_ | Clear-Disk -RemoveData -RemoveOEM -Confirm:$false</w:t>
      </w:r>
    </w:p>
    <w:p>
      <w:pPr>
        <w:pStyle w:val="SourceCode"/>
        <w:keepLines/>
        <w:keepNext/>
      </w:pPr>
      <w:r>
        <w:rPr>
          <w:rStyle w:val="VerbatimChar"/>
        </w:rPr>
        <w:t xml:space="preserve">    }</w:t>
      </w:r>
    </w:p>
    <w:p>
      <w:pPr>
        <w:pStyle w:val="SourceCode"/>
        <w:keepLines/>
      </w:pPr>
      <w:r>
        <w:rPr>
          <w:rStyle w:val="VerbatimChar"/>
        </w:rPr>
        <w:t xml:space="preserve">}</w:t>
      </w:r>
    </w:p>
    <w:bookmarkEnd w:id="95"/>
    <w:bookmarkStart w:id="96" w:name="s2d-aktivieren"/>
    <w:p>
      <w:pPr>
        <w:pStyle w:val="Heading3"/>
      </w:pPr>
      <w:r>
        <w:rPr>
          <w:rStyle w:val="SectionNumber"/>
        </w:rPr>
        <w:t xml:space="preserve">16.8.2</w:t>
      </w:r>
      <w:r>
        <w:tab/>
      </w:r>
      <w:r>
        <w:t xml:space="preserve">S2D aktivieren</w:t>
      </w:r>
    </w:p>
    <w:p>
      <w:pPr>
        <w:pStyle w:val="SourceCode"/>
        <w:keepLines/>
        <w:keepNext/>
      </w:pPr>
      <w:r>
        <w:rPr>
          <w:rStyle w:val="VerbatimChar"/>
        </w:rPr>
        <w:t xml:space="preserve"># Storage Spaces Direct aktivieren</w:t>
      </w:r>
    </w:p>
    <w:p>
      <w:pPr>
        <w:pStyle w:val="SourceCode"/>
        <w:keepLines/>
      </w:pPr>
      <w:r>
        <w:rPr>
          <w:rStyle w:val="VerbatimChar"/>
        </w:rPr>
        <w:t xml:space="preserve">Enable-ClusterStorageSpacesDirect -CimSession "S2DCluster"</w:t>
      </w:r>
    </w:p>
    <w:p>
      <w:pPr>
        <w:pStyle w:val="FirstParagraph"/>
      </w:pPr>
      <w:r>
        <w:t xml:space="preserve">Dieser Befehl führt automatisch folgende Aktionen durch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Aktion</w:t>
            </w:r>
          </w:p>
        </w:tc>
        <w:tc>
          <w:tcPr/>
          <w:p>
            <w:pPr>
              <w:pStyle w:val="Compact"/>
            </w:pPr>
            <w:r>
              <w:t xml:space="preserve">Beschreibung</w:t>
            </w:r>
          </w:p>
        </w:tc>
      </w:tr>
      <w:tr>
        <w:tc>
          <w:tcPr/>
          <w:p>
            <w:pPr>
              <w:pStyle w:val="Compact"/>
            </w:pPr>
            <w:r>
              <w:t xml:space="preserve">Pool erstellen</w:t>
            </w:r>
          </w:p>
        </w:tc>
        <w:tc>
          <w:tcPr/>
          <w:p>
            <w:pPr>
              <w:pStyle w:val="Compact"/>
            </w:pPr>
            <w:r>
              <w:t xml:space="preserve">Ein einzelner großer Pool (z. B. „S2D on S2DCluster”)</w:t>
            </w:r>
          </w:p>
        </w:tc>
      </w:tr>
      <w:tr>
        <w:tc>
          <w:tcPr/>
          <w:p>
            <w:pPr>
              <w:pStyle w:val="Compact"/>
            </w:pPr>
            <w:r>
              <w:t xml:space="preserve">Cache konfigurieren</w:t>
            </w:r>
          </w:p>
        </w:tc>
        <w:tc>
          <w:tcPr/>
          <w:p>
            <w:pPr>
              <w:pStyle w:val="Compact"/>
            </w:pPr>
            <w:r>
              <w:t xml:space="preserve">Automatische Zuweisung der schnellsten Laufwerke als Cache</w:t>
            </w:r>
          </w:p>
        </w:tc>
      </w:tr>
      <w:tr>
        <w:tc>
          <w:tcPr/>
          <w:p>
            <w:pPr>
              <w:pStyle w:val="Compact"/>
            </w:pPr>
            <w:r>
              <w:t xml:space="preserve">Tiers erstellen</w:t>
            </w:r>
          </w:p>
        </w:tc>
        <w:tc>
          <w:tcPr/>
          <w:p>
            <w:pPr>
              <w:pStyle w:val="Compact"/>
            </w:pPr>
            <w:r>
              <w:t xml:space="preserve">Standard-Tiers „Capacity” und „Performance”</w:t>
            </w:r>
          </w:p>
        </w:tc>
      </w:tr>
    </w:tbl>
    <w:bookmarkEnd w:id="96"/>
    <w:bookmarkEnd w:id="97"/>
    <w:bookmarkStart w:id="100" w:name="schritt-8-volumes-erstellen"/>
    <w:p>
      <w:pPr>
        <w:pStyle w:val="Heading2"/>
      </w:pPr>
      <w:r>
        <w:rPr>
          <w:rStyle w:val="SectionNumber"/>
        </w:rPr>
        <w:t xml:space="preserve">16.9</w:t>
      </w:r>
      <w:r>
        <w:tab/>
      </w:r>
      <w:r>
        <w:t xml:space="preserve">Schritt 8: Volumes erstellen</w:t>
      </w:r>
    </w:p>
    <w:p>
      <w:pPr>
        <w:pStyle w:val="SourceCode"/>
        <w:keepLines/>
        <w:keepNext/>
      </w:pPr>
      <w:r>
        <w:rPr>
          <w:rStyle w:val="VerbatimChar"/>
        </w:rPr>
        <w:t xml:space="preserve"># Volume mit Three-way Mirror erstellen (empfohlen für 3+ Knoten)</w:t>
      </w:r>
    </w:p>
    <w:p>
      <w:pPr>
        <w:pStyle w:val="SourceCode"/>
        <w:keepLines/>
        <w:keepNext/>
      </w:pPr>
      <w:r>
        <w:rPr>
          <w:rStyle w:val="VerbatimChar"/>
        </w:rPr>
        <w:t xml:space="preserve">New-Volume -FriendlyName "Volume01" `</w:t>
      </w:r>
    </w:p>
    <w:p>
      <w:pPr>
        <w:pStyle w:val="SourceCode"/>
        <w:keepLines/>
        <w:keepNext/>
      </w:pPr>
      <w:r>
        <w:rPr>
          <w:rStyle w:val="VerbatimChar"/>
        </w:rPr>
        <w:t xml:space="preserve">    -FileSystem CSVFS_ReFS `</w:t>
      </w:r>
    </w:p>
    <w:p>
      <w:pPr>
        <w:pStyle w:val="SourceCode"/>
        <w:keepLines/>
        <w:keepNext/>
      </w:pPr>
      <w:r>
        <w:rPr>
          <w:rStyle w:val="VerbatimChar"/>
        </w:rPr>
        <w:t xml:space="preserve">    -StoragePoolFriendlyName "S2D*" `</w:t>
      </w:r>
    </w:p>
    <w:p>
      <w:pPr>
        <w:pStyle w:val="SourceCode"/>
        <w:keepLines/>
        <w:keepNext/>
      </w:pPr>
      <w:r>
        <w:rPr>
          <w:rStyle w:val="VerbatimChar"/>
        </w:rPr>
        <w:t xml:space="preserve">    -Size 1TB `</w:t>
      </w:r>
    </w:p>
    <w:p>
      <w:pPr>
        <w:pStyle w:val="SourceCode"/>
        <w:keepLines/>
        <w:keepNext/>
      </w:pPr>
      <w:r>
        <w:rPr>
          <w:rStyle w:val="VerbatimChar"/>
        </w:rPr>
        <w:t xml:space="preserve">    -ResiliencySettingName Mirror</w:t>
      </w:r>
    </w:p>
    <w:p>
      <w:pPr>
        <w:pStyle w:val="SourceCode"/>
        <w:keepLines/>
        <w:keepNext/>
      </w:pPr>
      <w:r>
        <w:rPr>
          <w:rStyle w:val="VerbatimChar"/>
        </w:rPr>
        <w:t xml:space="preserve"/>
      </w:r>
    </w:p>
    <w:p>
      <w:pPr>
        <w:pStyle w:val="SourceCode"/>
        <w:keepLines/>
        <w:keepNext/>
      </w:pPr>
      <w:r>
        <w:rPr>
          <w:rStyle w:val="VerbatimChar"/>
        </w:rPr>
        <w:t xml:space="preserve"># Volume mit Dual Parity erstellen (4+ Knoten, kapazitätsoptimiert)</w:t>
      </w:r>
    </w:p>
    <w:p>
      <w:pPr>
        <w:pStyle w:val="SourceCode"/>
        <w:keepLines/>
        <w:keepNext/>
      </w:pPr>
      <w:r>
        <w:rPr>
          <w:rStyle w:val="VerbatimChar"/>
        </w:rPr>
        <w:t xml:space="preserve">New-Volume -FriendlyName "Volume02" `</w:t>
      </w:r>
    </w:p>
    <w:p>
      <w:pPr>
        <w:pStyle w:val="SourceCode"/>
        <w:keepLines/>
        <w:keepNext/>
      </w:pPr>
      <w:r>
        <w:rPr>
          <w:rStyle w:val="VerbatimChar"/>
        </w:rPr>
        <w:t xml:space="preserve">    -FileSystem CSVFS_ReFS `</w:t>
      </w:r>
    </w:p>
    <w:p>
      <w:pPr>
        <w:pStyle w:val="SourceCode"/>
        <w:keepLines/>
        <w:keepNext/>
      </w:pPr>
      <w:r>
        <w:rPr>
          <w:rStyle w:val="VerbatimChar"/>
        </w:rPr>
        <w:t xml:space="preserve">    -StoragePoolFriendlyName "S2D*" `</w:t>
      </w:r>
    </w:p>
    <w:p>
      <w:pPr>
        <w:pStyle w:val="SourceCode"/>
        <w:keepLines/>
        <w:keepNext/>
      </w:pPr>
      <w:r>
        <w:rPr>
          <w:rStyle w:val="VerbatimChar"/>
        </w:rPr>
        <w:t xml:space="preserve">    -Size 2TB `</w:t>
      </w:r>
    </w:p>
    <w:p>
      <w:pPr>
        <w:pStyle w:val="SourceCode"/>
        <w:keepLines/>
      </w:pPr>
      <w:r>
        <w:rPr>
          <w:rStyle w:val="VerbatimChar"/>
        </w:rPr>
        <w:t xml:space="preserve">    -ResiliencySettingName Parity</w:t>
      </w:r>
    </w:p>
    <w:bookmarkStart w:id="98" w:name="resilienz-optionen-1"/>
    <w:p>
      <w:pPr>
        <w:pStyle w:val="Heading3"/>
      </w:pPr>
      <w:r>
        <w:rPr>
          <w:rStyle w:val="SectionNumber"/>
        </w:rPr>
        <w:t xml:space="preserve">16.9.1</w:t>
      </w:r>
      <w:r>
        <w:tab/>
      </w:r>
      <w:r>
        <w:t xml:space="preserve">Resilienz-Optionen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Resilienz-Typ</w:t>
            </w:r>
          </w:p>
        </w:tc>
        <w:tc>
          <w:tcPr/>
          <w:p>
            <w:pPr>
              <w:pStyle w:val="Compact"/>
            </w:pPr>
            <w:r>
              <w:t xml:space="preserve">Min. Knoten</w:t>
            </w:r>
          </w:p>
        </w:tc>
        <w:tc>
          <w:tcPr/>
          <w:p>
            <w:pPr>
              <w:pStyle w:val="Compact"/>
            </w:pPr>
            <w:r>
              <w:t xml:space="preserve">Tolerierte Ausfälle</w:t>
            </w:r>
          </w:p>
        </w:tc>
        <w:tc>
          <w:tcPr/>
          <w:p>
            <w:pPr>
              <w:pStyle w:val="Compact"/>
            </w:pPr>
            <w:r>
              <w:t xml:space="preserve">Speichereffizienz</w:t>
            </w:r>
          </w:p>
        </w:tc>
      </w:tr>
      <w:tr>
        <w:tc>
          <w:tcPr/>
          <w:p>
            <w:pPr>
              <w:pStyle w:val="Compact"/>
            </w:pPr>
            <w:r>
              <w:t xml:space="preserve">Two-way Mirror</w:t>
            </w:r>
          </w:p>
        </w:tc>
        <w:tc>
          <w:tcPr/>
          <w:p>
            <w:pPr>
              <w:pStyle w:val="Compact"/>
            </w:pPr>
            <w:r>
              <w:t xml:space="preserve">2</w:t>
            </w:r>
          </w:p>
        </w:tc>
        <w:tc>
          <w:tcPr/>
          <w:p>
            <w:pPr>
              <w:pStyle w:val="Compact"/>
            </w:pPr>
            <w:r>
              <w:t xml:space="preserve">1</w:t>
            </w:r>
          </w:p>
        </w:tc>
        <w:tc>
          <w:tcPr/>
          <w:p>
            <w:pPr>
              <w:pStyle w:val="Compact"/>
            </w:pPr>
            <w:r>
              <w:t xml:space="preserve">50 %</w:t>
            </w:r>
          </w:p>
        </w:tc>
      </w:tr>
      <w:tr>
        <w:tc>
          <w:tcPr/>
          <w:p>
            <w:pPr>
              <w:pStyle w:val="Compact"/>
            </w:pPr>
            <w:hyperlink w:anchor="three-way-mirror">
              <w:r>
                <w:rPr>
                  <w:rStyle w:val="Hyperlink"/>
                </w:rPr>
                <w:t xml:space="preserve">Three-way Mirror</w:t>
              </w:r>
            </w:hyperlink>
          </w:p>
        </w:tc>
        <w:tc>
          <w:tcPr/>
          <w:p>
            <w:pPr>
              <w:pStyle w:val="Compact"/>
            </w:pPr>
            <w:r>
              <w:t xml:space="preserve">3</w:t>
            </w:r>
          </w:p>
        </w:tc>
        <w:tc>
          <w:tcPr/>
          <w:p>
            <w:pPr>
              <w:pStyle w:val="Compact"/>
            </w:pPr>
            <w:r>
              <w:t xml:space="preserve">2</w:t>
            </w:r>
          </w:p>
        </w:tc>
        <w:tc>
          <w:tcPr/>
          <w:p>
            <w:pPr>
              <w:pStyle w:val="Compact"/>
            </w:pPr>
            <w:r>
              <w:t xml:space="preserve">33,3 %</w:t>
            </w:r>
          </w:p>
        </w:tc>
      </w:tr>
      <w:tr>
        <w:tc>
          <w:tcPr/>
          <w:p>
            <w:pPr>
              <w:pStyle w:val="Compact"/>
            </w:pPr>
            <w:r>
              <w:t xml:space="preserve">Nested Resiliency</w:t>
            </w:r>
          </w:p>
        </w:tc>
        <w:tc>
          <w:tcPr/>
          <w:p>
            <w:pPr>
              <w:pStyle w:val="Compact"/>
            </w:pPr>
            <w:r>
              <w:t xml:space="preserve">2</w:t>
            </w:r>
          </w:p>
        </w:tc>
        <w:tc>
          <w:tcPr/>
          <w:p>
            <w:pPr>
              <w:pStyle w:val="Compact"/>
            </w:pPr>
            <w:r>
              <w:t xml:space="preserve">2 (inkl. Intra-Node)</w:t>
            </w:r>
          </w:p>
        </w:tc>
        <w:tc>
          <w:tcPr/>
          <w:p>
            <w:pPr>
              <w:pStyle w:val="Compact"/>
            </w:pPr>
            <w:r>
              <w:t xml:space="preserve">25–40 %</w:t>
            </w:r>
          </w:p>
        </w:tc>
      </w:tr>
      <w:tr>
        <w:tc>
          <w:tcPr/>
          <w:p>
            <w:pPr>
              <w:pStyle w:val="Compact"/>
            </w:pPr>
            <w:hyperlink w:anchor="dual-parity">
              <w:r>
                <w:rPr>
                  <w:rStyle w:val="Hyperlink"/>
                </w:rPr>
                <w:t xml:space="preserve">Dual Parity</w:t>
              </w:r>
            </w:hyperlink>
          </w:p>
        </w:tc>
        <w:tc>
          <w:tcPr/>
          <w:p>
            <w:pPr>
              <w:pStyle w:val="Compact"/>
            </w:pPr>
            <w:r>
              <w:t xml:space="preserve">4</w:t>
            </w:r>
          </w:p>
        </w:tc>
        <w:tc>
          <w:tcPr/>
          <w:p>
            <w:pPr>
              <w:pStyle w:val="Compact"/>
            </w:pPr>
            <w:r>
              <w:t xml:space="preserve">2</w:t>
            </w:r>
          </w:p>
        </w:tc>
        <w:tc>
          <w:tcPr/>
          <w:p>
            <w:pPr>
              <w:pStyle w:val="Compact"/>
            </w:pPr>
            <w:r>
              <w:t xml:space="preserve">50–80 %</w:t>
            </w:r>
          </w:p>
        </w:tc>
      </w:tr>
      <w:tr>
        <w:tc>
          <w:tcPr/>
          <w:p>
            <w:pPr>
              <w:pStyle w:val="Compact"/>
            </w:pPr>
            <w:hyperlink w:anchor="mirror-accelerated-parity">
              <w:r>
                <w:rPr>
                  <w:rStyle w:val="Hyperlink"/>
                </w:rPr>
                <w:t xml:space="preserve">Mirror-Accelerated Parity</w:t>
              </w:r>
            </w:hyperlink>
          </w:p>
        </w:tc>
        <w:tc>
          <w:tcPr/>
          <w:p>
            <w:pPr>
              <w:pStyle w:val="Compact"/>
            </w:pPr>
            <w:r>
              <w:t xml:space="preserve">4</w:t>
            </w:r>
          </w:p>
        </w:tc>
        <w:tc>
          <w:tcPr/>
          <w:p>
            <w:pPr>
              <w:pStyle w:val="Compact"/>
            </w:pPr>
            <w:r>
              <w:t xml:space="preserve">2</w:t>
            </w:r>
          </w:p>
        </w:tc>
        <w:tc>
          <w:tcPr/>
          <w:p>
            <w:pPr>
              <w:pStyle w:val="Compact"/>
            </w:pPr>
            <w:r>
              <w:t xml:space="preserve">33,3–80 %</w:t>
            </w:r>
          </w:p>
        </w:tc>
      </w:tr>
    </w:tbl>
    <w:p>
      <w:pPr>
        <w:pStyle w:val="BodyText"/>
      </w:pPr>
      <w:r>
        <w:rPr>
          <w:i/>
          <w:iCs/>
        </w:rPr>
        <w:t xml:space="preserve">Quelle: Microsoft Learn — Plan Volumes [6], Fault Tolerance [7]</w:t>
      </w:r>
    </w:p>
    <w:p>
      <w:pPr>
        <w:pStyle w:val="BlockText"/>
      </w:pPr>
      <w:r>
        <w:rPr>
          <w:b/>
          <w:bCs/>
        </w:rPr>
        <w:t xml:space="preserve">Empfehlung</w:t>
      </w:r>
      <w:r>
        <w:t xml:space="preserve">: Für Performance-kritische Workloads (VMs, SQL Server) wird</w:t>
      </w:r>
      <w:r>
        <w:t xml:space="preserve"> </w:t>
      </w:r>
      <w:r>
        <w:rPr>
          <w:b/>
          <w:bCs/>
        </w:rPr>
        <w:t xml:space="preserve">Three-way Mirror</w:t>
      </w:r>
      <w:r>
        <w:t xml:space="preserve"> </w:t>
      </w:r>
      <w:r>
        <w:t xml:space="preserve">empfohlen. Für kapazitätsoptimierte Workloads (Archiv, Backup) eignet sich</w:t>
      </w:r>
      <w:r>
        <w:t xml:space="preserve"> </w:t>
      </w:r>
      <w:r>
        <w:rPr>
          <w:b/>
          <w:bCs/>
        </w:rPr>
        <w:t xml:space="preserve">Dual Parity</w:t>
      </w:r>
      <w:r>
        <w:t xml:space="preserve"> </w:t>
      </w:r>
      <w:r>
        <w:t xml:space="preserve">[6].</w:t>
      </w:r>
    </w:p>
    <w:bookmarkEnd w:id="98"/>
    <w:bookmarkStart w:id="99" w:name="kapazitätsplanung"/>
    <w:p>
      <w:pPr>
        <w:pStyle w:val="Heading3"/>
      </w:pPr>
      <w:r>
        <w:rPr>
          <w:rStyle w:val="SectionNumber"/>
        </w:rPr>
        <w:t xml:space="preserve">16.9.2</w:t>
      </w:r>
      <w:r>
        <w:tab/>
      </w:r>
      <w:r>
        <w:t xml:space="preserve">Kapazitätsplanung</w:t>
      </w:r>
    </w:p>
    <w:p>
      <w:pPr>
        <w:pStyle w:val="FirstParagraph"/>
      </w:pPr>
      <w:r>
        <w:t xml:space="preserve">Reservekapazität im Storage Pool freihalten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Cluster-Größe</w:t>
            </w:r>
          </w:p>
        </w:tc>
        <w:tc>
          <w:tcPr/>
          <w:p>
            <w:pPr>
              <w:pStyle w:val="Compact"/>
            </w:pPr>
            <w:r>
              <w:t xml:space="preserve">Empfohlene Reserve</w:t>
            </w:r>
          </w:p>
        </w:tc>
      </w:tr>
      <w:tr>
        <w:tc>
          <w:tcPr/>
          <w:p>
            <w:pPr>
              <w:pStyle w:val="Compact"/>
            </w:pPr>
            <w:r>
              <w:t xml:space="preserve">2 Server</w:t>
            </w:r>
          </w:p>
        </w:tc>
        <w:tc>
          <w:tcPr/>
          <w:p>
            <w:pPr>
              <w:pStyle w:val="Compact"/>
            </w:pPr>
            <w:r>
              <w:t xml:space="preserve">Kapazität von 1 Laufwerk pro Server (2 Laufwerke gesamt)</w:t>
            </w:r>
          </w:p>
        </w:tc>
      </w:tr>
      <w:tr>
        <w:tc>
          <w:tcPr/>
          <w:p>
            <w:pPr>
              <w:pStyle w:val="Compact"/>
            </w:pPr>
            <w:r>
              <w:t xml:space="preserve">3 Server</w:t>
            </w:r>
          </w:p>
        </w:tc>
        <w:tc>
          <w:tcPr/>
          <w:p>
            <w:pPr>
              <w:pStyle w:val="Compact"/>
            </w:pPr>
            <w:r>
              <w:t xml:space="preserve">Kapazität von 1 Laufwerk pro Server (3 Laufwerke gesamt)</w:t>
            </w:r>
          </w:p>
        </w:tc>
      </w:tr>
      <w:tr>
        <w:tc>
          <w:tcPr/>
          <w:p>
            <w:pPr>
              <w:pStyle w:val="Compact"/>
            </w:pPr>
            <w:r>
              <w:t xml:space="preserve">4+ Server</w:t>
            </w:r>
          </w:p>
        </w:tc>
        <w:tc>
          <w:tcPr/>
          <w:p>
            <w:pPr>
              <w:pStyle w:val="Compact"/>
            </w:pPr>
            <w:r>
              <w:t xml:space="preserve">Kapazität von 1 Laufwerk pro Server (max. 4 Laufwerke gesamt)</w:t>
            </w:r>
          </w:p>
        </w:tc>
      </w:tr>
    </w:tbl>
    <w:bookmarkEnd w:id="99"/>
    <w:bookmarkEnd w:id="100"/>
    <w:bookmarkStart w:id="101" w:name="schritt-9-quorum-witness-konfigurieren"/>
    <w:p>
      <w:pPr>
        <w:pStyle w:val="Heading2"/>
      </w:pPr>
      <w:r>
        <w:rPr>
          <w:rStyle w:val="SectionNumber"/>
        </w:rPr>
        <w:t xml:space="preserve">16.10</w:t>
      </w:r>
      <w:r>
        <w:tab/>
      </w:r>
      <w:r>
        <w:t xml:space="preserve">Schritt 9: Quorum Witness konfigurieren</w:t>
      </w:r>
    </w:p>
    <w:p>
      <w:pPr>
        <w:pStyle w:val="FirstParagraph"/>
      </w:pPr>
      <w:r>
        <w:t xml:space="preserve">Ein Cluster Witness wird für alle Cluster mit</w:t>
      </w:r>
      <w:r>
        <w:t xml:space="preserve"> </w:t>
      </w:r>
      <w:r>
        <w:rPr>
          <w:b/>
          <w:bCs/>
        </w:rPr>
        <w:t xml:space="preserve">3 oder mehr Knoten</w:t>
      </w:r>
      <w:r>
        <w:t xml:space="preserve"> </w:t>
      </w:r>
      <w:r>
        <w:t xml:space="preserve">empfohlen und ist bei</w:t>
      </w:r>
      <w:r>
        <w:t xml:space="preserve"> </w:t>
      </w:r>
      <w:r>
        <w:rPr>
          <w:b/>
          <w:bCs/>
        </w:rPr>
        <w:t xml:space="preserve">2-Knoten-Clustern zwingend erforderlich</w:t>
      </w:r>
      <w:r>
        <w:t xml:space="preserve"> </w:t>
      </w:r>
      <w:r>
        <w:t xml:space="preserve">[4][8]:</w:t>
      </w:r>
    </w:p>
    <w:p>
      <w:pPr>
        <w:pStyle w:val="SourceCode"/>
        <w:keepLines/>
        <w:keepNext/>
      </w:pPr>
      <w:r>
        <w:rPr>
          <w:rStyle w:val="VerbatimChar"/>
        </w:rPr>
        <w:t xml:space="preserve"># Option 1: File Share Witness (on-premises)</w:t>
      </w:r>
    </w:p>
    <w:p>
      <w:pPr>
        <w:pStyle w:val="SourceCode"/>
        <w:keepLines/>
        <w:keepNext/>
      </w:pPr>
      <w:r>
        <w:rPr>
          <w:rStyle w:val="VerbatimChar"/>
        </w:rPr>
        <w:t xml:space="preserve">Set-ClusterQuorum -Cluster "S2DCluster" `</w:t>
      </w:r>
    </w:p>
    <w:p>
      <w:pPr>
        <w:pStyle w:val="SourceCode"/>
        <w:keepLines/>
        <w:keepNext/>
      </w:pPr>
      <w:r>
        <w:rPr>
          <w:rStyle w:val="VerbatimChar"/>
        </w:rPr>
        <w:t xml:space="preserve">    -FileShareWitness "\\FileServer\ClusterWitness$"</w:t>
      </w:r>
    </w:p>
    <w:p>
      <w:pPr>
        <w:pStyle w:val="SourceCode"/>
        <w:keepLines/>
        <w:keepNext/>
      </w:pPr>
      <w:r>
        <w:rPr>
          <w:rStyle w:val="VerbatimChar"/>
        </w:rPr>
        <w:t xml:space="preserve"/>
      </w:r>
    </w:p>
    <w:p>
      <w:pPr>
        <w:pStyle w:val="SourceCode"/>
        <w:keepLines/>
        <w:keepNext/>
      </w:pPr>
      <w:r>
        <w:rPr>
          <w:rStyle w:val="VerbatimChar"/>
        </w:rPr>
        <w:t xml:space="preserve"># Option 2: Cloud Witness (Azure Blob Storage)</w:t>
      </w:r>
    </w:p>
    <w:p>
      <w:pPr>
        <w:pStyle w:val="SourceCode"/>
        <w:keepLines/>
        <w:keepNext/>
      </w:pPr>
      <w:r>
        <w:rPr>
          <w:rStyle w:val="VerbatimChar"/>
        </w:rPr>
        <w:t xml:space="preserve">Set-ClusterQuorum -Cluster "S2DCluster" `</w:t>
      </w:r>
    </w:p>
    <w:p>
      <w:pPr>
        <w:pStyle w:val="SourceCode"/>
        <w:keepLines/>
        <w:keepNext/>
      </w:pPr>
      <w:r>
        <w:rPr>
          <w:rStyle w:val="VerbatimChar"/>
        </w:rPr>
        <w:t xml:space="preserve">    -CloudWitness `</w:t>
      </w:r>
    </w:p>
    <w:p>
      <w:pPr>
        <w:pStyle w:val="SourceCode"/>
        <w:keepLines/>
        <w:keepNext/>
      </w:pPr>
      <w:r>
        <w:rPr>
          <w:rStyle w:val="VerbatimChar"/>
        </w:rPr>
        <w:t xml:space="preserve">    -AccountName "storageaccountname" `</w:t>
      </w:r>
    </w:p>
    <w:p>
      <w:pPr>
        <w:pStyle w:val="SourceCode"/>
        <w:keepLines/>
      </w:pPr>
      <w:r>
        <w:rPr>
          <w:rStyle w:val="VerbatimChar"/>
        </w:rPr>
        <w:t xml:space="preserve">    -AccessKey "accesskey"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Witness-Typ</w:t>
            </w:r>
          </w:p>
        </w:tc>
        <w:tc>
          <w:tcPr/>
          <w:p>
            <w:pPr>
              <w:pStyle w:val="Compact"/>
            </w:pPr>
            <w:r>
              <w:t xml:space="preserve">Beschreibung</w:t>
            </w:r>
          </w:p>
        </w:tc>
        <w:tc>
          <w:tcPr/>
          <w:p>
            <w:pPr>
              <w:pStyle w:val="Compact"/>
            </w:pPr>
            <w:r>
              <w:t xml:space="preserve">Eignung</w:t>
            </w:r>
          </w:p>
        </w:tc>
      </w:tr>
      <w:tr>
        <w:tc>
          <w:tcPr/>
          <w:p>
            <w:pPr>
              <w:pStyle w:val="Compact"/>
            </w:pPr>
            <w:hyperlink w:anchor="file-share-witness">
              <w:r>
                <w:rPr>
                  <w:rStyle w:val="Hyperlink"/>
                  <w:b/>
                  <w:bCs/>
                </w:rPr>
                <w:t xml:space="preserve">File Share Witness</w:t>
              </w:r>
            </w:hyperlink>
          </w:p>
        </w:tc>
        <w:tc>
          <w:tcPr/>
          <w:p>
            <w:pPr>
              <w:pStyle w:val="Compact"/>
            </w:pPr>
            <w:r>
              <w:t xml:space="preserve">SMB-Freigabe auf separatem Server</w:t>
            </w:r>
          </w:p>
        </w:tc>
        <w:tc>
          <w:tcPr/>
          <w:p>
            <w:pPr>
              <w:pStyle w:val="Compact"/>
            </w:pPr>
            <w:r>
              <w:t xml:space="preserve">On-premises-Deployments</w:t>
            </w:r>
          </w:p>
        </w:tc>
      </w:tr>
      <w:tr>
        <w:tc>
          <w:tcPr/>
          <w:p>
            <w:pPr>
              <w:pStyle w:val="Compact"/>
            </w:pPr>
            <w:hyperlink w:anchor="cloud-witness">
              <w:r>
                <w:rPr>
                  <w:rStyle w:val="Hyperlink"/>
                  <w:b/>
                  <w:bCs/>
                </w:rPr>
                <w:t xml:space="preserve">Cloud Witness</w:t>
              </w:r>
            </w:hyperlink>
          </w:p>
        </w:tc>
        <w:tc>
          <w:tcPr/>
          <w:p>
            <w:pPr>
              <w:pStyle w:val="Compact"/>
            </w:pPr>
            <w:r>
              <w:t xml:space="preserve">Azure Blob Storage</w:t>
            </w:r>
          </w:p>
        </w:tc>
        <w:tc>
          <w:tcPr/>
          <w:p>
            <w:pPr>
              <w:pStyle w:val="Compact"/>
            </w:pPr>
            <w:r>
              <w:t xml:space="preserve">Deployments mit Internetzugang</w:t>
            </w:r>
          </w:p>
        </w:tc>
      </w:tr>
      <w:tr>
        <w:tc>
          <w:tcPr/>
          <w:p>
            <w:pPr>
              <w:pStyle w:val="Compact"/>
            </w:pPr>
            <w:hyperlink w:anchor="disk-witness">
              <w:r>
                <w:rPr>
                  <w:rStyle w:val="Hyperlink"/>
                </w:rPr>
                <w:t xml:space="preserve">Disk Witness</w:t>
              </w:r>
            </w:hyperlink>
          </w:p>
        </w:tc>
        <w:tc>
          <w:tcPr/>
          <w:p>
            <w:pPr>
              <w:pStyle w:val="Compact"/>
            </w:pPr>
            <w:r>
              <w:t xml:space="preserve">Clustered Disk</w:t>
            </w:r>
          </w:p>
        </w:tc>
        <w:tc>
          <w:tcPr/>
          <w:p>
            <w:pPr>
              <w:pStyle w:val="Compact"/>
            </w:pPr>
            <w:r>
              <w:rPr>
                <w:b/>
                <w:bCs/>
              </w:rPr>
              <w:t xml:space="preserve">Nicht unterstützt</w:t>
            </w:r>
            <w:r>
              <w:t xml:space="preserve"> </w:t>
            </w:r>
            <w:r>
              <w:t xml:space="preserve">bei S2D [8]</w:t>
            </w:r>
          </w:p>
        </w:tc>
      </w:tr>
    </w:tbl>
    <w:p>
      <w:pPr>
        <w:pStyle w:val="BlockText"/>
      </w:pPr>
      <w:r>
        <w:rPr>
          <w:b/>
          <w:bCs/>
        </w:rPr>
        <w:t xml:space="preserve">Wichtig</w:t>
      </w:r>
      <w:r>
        <w:t xml:space="preserve">: Ein</w:t>
      </w:r>
      <w:r>
        <w:t xml:space="preserve"> </w:t>
      </w:r>
      <w:r>
        <w:rPr>
          <w:b/>
          <w:bCs/>
        </w:rPr>
        <w:t xml:space="preserve">Disk Witness</w:t>
      </w:r>
      <w:r>
        <w:t xml:space="preserve"> </w:t>
      </w:r>
      <w:r>
        <w:t xml:space="preserve">wird bei S2D nicht unterstützt, da kein gemeinsam genutzter Speicher vorhanden ist [8].</w:t>
      </w:r>
    </w:p>
    <w:bookmarkEnd w:id="101"/>
    <w:bookmarkStart w:id="102" w:name="schritt-10-cluster-validieren-und-testen"/>
    <w:p>
      <w:pPr>
        <w:pStyle w:val="Heading2"/>
      </w:pPr>
      <w:r>
        <w:rPr>
          <w:rStyle w:val="SectionNumber"/>
        </w:rPr>
        <w:t xml:space="preserve">16.11</w:t>
      </w:r>
      <w:r>
        <w:tab/>
      </w:r>
      <w:r>
        <w:t xml:space="preserve">Schritt 10: Cluster validieren und testen</w:t>
      </w:r>
    </w:p>
    <w:p>
      <w:pPr>
        <w:pStyle w:val="FirstParagraph"/>
      </w:pPr>
      <w:r>
        <w:t xml:space="preserve">Nach dem vollständigen Deployment die Cluster-Gesundheit prüfen:</w:t>
      </w:r>
    </w:p>
    <w:p>
      <w:pPr>
        <w:pStyle w:val="SourceCode"/>
        <w:keepLines/>
        <w:keepNext/>
      </w:pPr>
      <w:r>
        <w:rPr>
          <w:rStyle w:val="VerbatimChar"/>
        </w:rPr>
        <w:t xml:space="preserve"># Cluster-Status prüfen</w:t>
      </w:r>
    </w:p>
    <w:p>
      <w:pPr>
        <w:pStyle w:val="SourceCode"/>
        <w:keepLines/>
        <w:keepNext/>
      </w:pPr>
      <w:r>
        <w:rPr>
          <w:rStyle w:val="VerbatimChar"/>
        </w:rPr>
        <w:t xml:space="preserve">Get-Cluster -Name "S2DCluster" | Get-ClusterNode</w:t>
      </w:r>
    </w:p>
    <w:p>
      <w:pPr>
        <w:pStyle w:val="SourceCode"/>
        <w:keepLines/>
        <w:keepNext/>
      </w:pPr>
      <w:r>
        <w:rPr>
          <w:rStyle w:val="VerbatimChar"/>
        </w:rPr>
        <w:t xml:space="preserve"/>
      </w:r>
    </w:p>
    <w:p>
      <w:pPr>
        <w:pStyle w:val="SourceCode"/>
        <w:keepLines/>
        <w:keepNext/>
      </w:pPr>
      <w:r>
        <w:rPr>
          <w:rStyle w:val="VerbatimChar"/>
        </w:rPr>
        <w:t xml:space="preserve"># Storage Spaces Direct Status prüfen</w:t>
      </w:r>
    </w:p>
    <w:p>
      <w:pPr>
        <w:pStyle w:val="SourceCode"/>
        <w:keepLines/>
        <w:keepNext/>
      </w:pPr>
      <w:r>
        <w:rPr>
          <w:rStyle w:val="VerbatimChar"/>
        </w:rPr>
        <w:t xml:space="preserve">Get-StorageSubSystem -FriendlyName "Cluster*" | Get-StorageHealthReport</w:t>
      </w:r>
    </w:p>
    <w:p>
      <w:pPr>
        <w:pStyle w:val="SourceCode"/>
        <w:keepLines/>
        <w:keepNext/>
      </w:pPr>
      <w:r>
        <w:rPr>
          <w:rStyle w:val="VerbatimChar"/>
        </w:rPr>
        <w:t xml:space="preserve"/>
      </w:r>
    </w:p>
    <w:p>
      <w:pPr>
        <w:pStyle w:val="SourceCode"/>
        <w:keepLines/>
        <w:keepNext/>
      </w:pPr>
      <w:r>
        <w:rPr>
          <w:rStyle w:val="VerbatimChar"/>
        </w:rPr>
        <w:t xml:space="preserve"># Pool-Status prüfen</w:t>
      </w:r>
    </w:p>
    <w:p>
      <w:pPr>
        <w:pStyle w:val="SourceCode"/>
        <w:keepLines/>
        <w:keepNext/>
      </w:pPr>
      <w:r>
        <w:rPr>
          <w:rStyle w:val="VerbatimChar"/>
        </w:rPr>
        <w:t xml:space="preserve">Get-StoragePool -FriendlyName "S2D*"</w:t>
      </w:r>
    </w:p>
    <w:p>
      <w:pPr>
        <w:pStyle w:val="SourceCode"/>
        <w:keepLines/>
        <w:keepNext/>
      </w:pPr>
      <w:r>
        <w:rPr>
          <w:rStyle w:val="VerbatimChar"/>
        </w:rPr>
        <w:t xml:space="preserve"/>
      </w:r>
    </w:p>
    <w:p>
      <w:pPr>
        <w:pStyle w:val="SourceCode"/>
        <w:keepLines/>
        <w:keepNext/>
      </w:pPr>
      <w:r>
        <w:rPr>
          <w:rStyle w:val="VerbatimChar"/>
        </w:rPr>
        <w:t xml:space="preserve"># Volume-Status prüfen</w:t>
      </w:r>
    </w:p>
    <w:p>
      <w:pPr>
        <w:pStyle w:val="SourceCode"/>
        <w:keepLines/>
        <w:keepNext/>
      </w:pPr>
      <w:r>
        <w:rPr>
          <w:rStyle w:val="VerbatimChar"/>
        </w:rPr>
        <w:t xml:space="preserve">Get-VirtualDisk | Select-Object FriendlyName, OperationalStatus, HealthStatus, ResiliencySettingName</w:t>
      </w:r>
    </w:p>
    <w:p>
      <w:pPr>
        <w:pStyle w:val="SourceCode"/>
        <w:keepLines/>
        <w:keepNext/>
      </w:pPr>
      <w:r>
        <w:rPr>
          <w:rStyle w:val="VerbatimChar"/>
        </w:rPr>
        <w:t xml:space="preserve"/>
      </w:r>
    </w:p>
    <w:p>
      <w:pPr>
        <w:pStyle w:val="SourceCode"/>
        <w:keepLines/>
        <w:keepNext/>
      </w:pPr>
      <w:r>
        <w:rPr>
          <w:rStyle w:val="VerbatimChar"/>
        </w:rPr>
        <w:t xml:space="preserve"># Laufwerks-Status prüfen</w:t>
      </w:r>
    </w:p>
    <w:p>
      <w:pPr>
        <w:pStyle w:val="SourceCode"/>
        <w:keepLines/>
      </w:pPr>
      <w:r>
        <w:rPr>
          <w:rStyle w:val="VerbatimChar"/>
        </w:rPr>
        <w:t xml:space="preserve">Get-PhysicalDisk | Select-Object FriendlyName, MediaType, OperationalStatus, HealthStatus, Usage</w:t>
      </w:r>
    </w:p>
    <w:bookmarkEnd w:id="102"/>
    <w:bookmarkEnd w:id="103"/>
    <w:bookmarkStart w:id="107" w:name="post-deployment-validierung"/>
    <w:p>
      <w:pPr>
        <w:pStyle w:val="Heading1"/>
      </w:pPr>
      <w:r>
        <w:rPr>
          <w:rStyle w:val="SectionNumber"/>
        </w:rPr>
        <w:t xml:space="preserve">17</w:t>
      </w:r>
      <w:r>
        <w:tab/>
      </w:r>
      <w:r>
        <w:t xml:space="preserve">Post-Deployment Validierung</w:t>
      </w:r>
    </w:p>
    <w:bookmarkStart w:id="104" w:name="health-service"/>
    <w:p>
      <w:pPr>
        <w:pStyle w:val="Heading2"/>
      </w:pPr>
      <w:r>
        <w:rPr>
          <w:rStyle w:val="SectionNumber"/>
        </w:rPr>
        <w:t xml:space="preserve">17.1</w:t>
      </w:r>
      <w:r>
        <w:tab/>
      </w:r>
      <w:r>
        <w:t xml:space="preserve">Health Service</w:t>
      </w:r>
    </w:p>
    <w:p>
      <w:pPr>
        <w:pStyle w:val="FirstParagraph"/>
      </w:pPr>
      <w:r>
        <w:t xml:space="preserve">Der in Windows Server integrierte</w:t>
      </w:r>
      <w:r>
        <w:t xml:space="preserve"> </w:t>
      </w:r>
      <w:r>
        <w:rPr>
          <w:b/>
          <w:bCs/>
        </w:rPr>
        <w:t xml:space="preserve">Health Service</w:t>
      </w:r>
      <w:r>
        <w:t xml:space="preserve"> </w:t>
      </w:r>
      <w:r>
        <w:t xml:space="preserve">überwacht den S2D-Cluster kontinuierlich [1]:</w:t>
      </w:r>
    </w:p>
    <w:p>
      <w:pPr>
        <w:pStyle w:val="SourceCode"/>
        <w:keepLines/>
        <w:keepNext/>
      </w:pPr>
      <w:r>
        <w:rPr>
          <w:rStyle w:val="VerbatimChar"/>
        </w:rPr>
        <w:t xml:space="preserve"># Cluster-Gesundheitszustand abfragen</w:t>
      </w:r>
    </w:p>
    <w:p>
      <w:pPr>
        <w:pStyle w:val="SourceCode"/>
        <w:keepLines/>
        <w:keepNext/>
      </w:pPr>
      <w:r>
        <w:rPr>
          <w:rStyle w:val="VerbatimChar"/>
        </w:rPr>
        <w:t xml:space="preserve">Get-HealthFault -CimSession "S2DCluster"</w:t>
      </w:r>
    </w:p>
    <w:p>
      <w:pPr>
        <w:pStyle w:val="SourceCode"/>
        <w:keepLines/>
        <w:keepNext/>
      </w:pPr>
      <w:r>
        <w:rPr>
          <w:rStyle w:val="VerbatimChar"/>
        </w:rPr>
        <w:t xml:space="preserve"/>
      </w:r>
    </w:p>
    <w:p>
      <w:pPr>
        <w:pStyle w:val="SourceCode"/>
        <w:keepLines/>
        <w:keepNext/>
      </w:pPr>
      <w:r>
        <w:rPr>
          <w:rStyle w:val="VerbatimChar"/>
        </w:rPr>
        <w:t xml:space="preserve"># Detaillierten Storage-Subsystem-Status prüfen</w:t>
      </w:r>
    </w:p>
    <w:p>
      <w:pPr>
        <w:pStyle w:val="SourceCode"/>
        <w:keepLines/>
        <w:keepNext/>
      </w:pPr>
      <w:r>
        <w:rPr>
          <w:rStyle w:val="VerbatimChar"/>
        </w:rPr>
        <w:t xml:space="preserve">Get-StorageSubSystem -FriendlyName "Cluster*" |</w:t>
      </w:r>
    </w:p>
    <w:p>
      <w:pPr>
        <w:pStyle w:val="SourceCode"/>
        <w:keepLines/>
        <w:keepNext/>
      </w:pPr>
      <w:r>
        <w:rPr>
          <w:rStyle w:val="VerbatimChar"/>
        </w:rPr>
        <w:t xml:space="preserve">    Debug-StorageSubSystem</w:t>
      </w:r>
    </w:p>
    <w:p>
      <w:pPr>
        <w:pStyle w:val="SourceCode"/>
        <w:keepLines/>
        <w:keepNext/>
      </w:pPr>
      <w:r>
        <w:rPr>
          <w:rStyle w:val="VerbatimChar"/>
        </w:rPr>
        <w:t xml:space="preserve"/>
      </w:r>
    </w:p>
    <w:p>
      <w:pPr>
        <w:pStyle w:val="SourceCode"/>
        <w:keepLines/>
        <w:keepNext/>
      </w:pPr>
      <w:r>
        <w:rPr>
          <w:rStyle w:val="VerbatimChar"/>
        </w:rPr>
        <w:t xml:space="preserve"># Alle Faults anzeigen</w:t>
      </w:r>
    </w:p>
    <w:p>
      <w:pPr>
        <w:pStyle w:val="SourceCode"/>
        <w:keepLines/>
        <w:keepNext/>
      </w:pPr>
      <w:r>
        <w:rPr>
          <w:rStyle w:val="VerbatimChar"/>
        </w:rPr>
        <w:t xml:space="preserve">Get-StorageSubSystem -FriendlyName "Cluster*" |</w:t>
      </w:r>
    </w:p>
    <w:p>
      <w:pPr>
        <w:pStyle w:val="SourceCode"/>
        <w:keepLines/>
      </w:pPr>
      <w:r>
        <w:rPr>
          <w:rStyle w:val="VerbatimChar"/>
        </w:rPr>
        <w:t xml:space="preserve">    Get-StorageHealthReport</w:t>
      </w:r>
    </w:p>
    <w:bookmarkEnd w:id="104"/>
    <w:bookmarkStart w:id="105" w:name="performance-monitoring"/>
    <w:p>
      <w:pPr>
        <w:pStyle w:val="Heading2"/>
      </w:pPr>
      <w:r>
        <w:rPr>
          <w:rStyle w:val="SectionNumber"/>
        </w:rPr>
        <w:t xml:space="preserve">17.2</w:t>
      </w:r>
      <w:r>
        <w:tab/>
      </w:r>
      <w:r>
        <w:t xml:space="preserve">Performance-Monitoring</w:t>
      </w:r>
    </w:p>
    <w:p>
      <w:pPr>
        <w:pStyle w:val="SourceCode"/>
        <w:keepLines/>
        <w:keepNext/>
      </w:pPr>
      <w:r>
        <w:rPr>
          <w:rStyle w:val="VerbatimChar"/>
        </w:rPr>
        <w:t xml:space="preserve"># Storage-Performance-Daten abrufen</w:t>
      </w:r>
    </w:p>
    <w:p>
      <w:pPr>
        <w:pStyle w:val="SourceCode"/>
        <w:keepLines/>
        <w:keepNext/>
      </w:pPr>
      <w:r>
        <w:rPr>
          <w:rStyle w:val="VerbatimChar"/>
        </w:rPr>
        <w:t xml:space="preserve">Get-Volume -FriendlyName "Volume01" |</w:t>
      </w:r>
    </w:p>
    <w:p>
      <w:pPr>
        <w:pStyle w:val="SourceCode"/>
        <w:keepLines/>
        <w:keepNext/>
      </w:pPr>
      <w:r>
        <w:rPr>
          <w:rStyle w:val="VerbatimChar"/>
        </w:rPr>
        <w:t xml:space="preserve">    Get-ClusterPerformanceHistory -TimeFrame LastHour</w:t>
      </w:r>
    </w:p>
    <w:p>
      <w:pPr>
        <w:pStyle w:val="SourceCode"/>
        <w:keepLines/>
        <w:keepNext/>
      </w:pPr>
      <w:r>
        <w:rPr>
          <w:rStyle w:val="VerbatimChar"/>
        </w:rPr>
        <w:t xml:space="preserve"/>
      </w:r>
    </w:p>
    <w:p>
      <w:pPr>
        <w:pStyle w:val="SourceCode"/>
        <w:keepLines/>
        <w:keepNext/>
      </w:pPr>
      <w:r>
        <w:rPr>
          <w:rStyle w:val="VerbatimChar"/>
        </w:rPr>
        <w:t xml:space="preserve"># IOPS pro Volume</w:t>
      </w:r>
    </w:p>
    <w:p>
      <w:pPr>
        <w:pStyle w:val="SourceCode"/>
        <w:keepLines/>
        <w:keepNext/>
      </w:pPr>
      <w:r>
        <w:rPr>
          <w:rStyle w:val="VerbatimChar"/>
        </w:rPr>
        <w:t xml:space="preserve">Get-VirtualDisk |</w:t>
      </w:r>
    </w:p>
    <w:p>
      <w:pPr>
        <w:pStyle w:val="SourceCode"/>
        <w:keepLines/>
        <w:keepNext/>
      </w:pPr>
      <w:r>
        <w:rPr>
          <w:rStyle w:val="VerbatimChar"/>
        </w:rPr>
        <w:t xml:space="preserve">    Get-ClusterPerformanceHistory -TimeFrame LastHour |</w:t>
      </w:r>
    </w:p>
    <w:p>
      <w:pPr>
        <w:pStyle w:val="SourceCode"/>
        <w:keepLines/>
        <w:keepNext/>
      </w:pPr>
      <w:r>
        <w:rPr>
          <w:rStyle w:val="VerbatimChar"/>
        </w:rPr>
        <w:t xml:space="preserve">    Select-Object Time, IOPSRead, IOPSWrite</w:t>
      </w:r>
    </w:p>
    <w:p>
      <w:pPr>
        <w:pStyle w:val="SourceCode"/>
        <w:keepLines/>
        <w:keepNext/>
      </w:pPr>
      <w:r>
        <w:rPr>
          <w:rStyle w:val="VerbatimChar"/>
        </w:rPr>
        <w:t xml:space="preserve"/>
      </w:r>
    </w:p>
    <w:p>
      <w:pPr>
        <w:pStyle w:val="SourceCode"/>
        <w:keepLines/>
        <w:keepNext/>
      </w:pPr>
      <w:r>
        <w:rPr>
          <w:rStyle w:val="VerbatimChar"/>
        </w:rPr>
        <w:t xml:space="preserve"># Netzwerk-Durchsatz der Storage-NICs prüfen</w:t>
      </w:r>
    </w:p>
    <w:p>
      <w:pPr>
        <w:pStyle w:val="SourceCode"/>
        <w:keepLines/>
        <w:keepNext/>
      </w:pPr>
      <w:r>
        <w:rPr>
          <w:rStyle w:val="VerbatimChar"/>
        </w:rPr>
        <w:t xml:space="preserve">Get-NetAdapter -Name "vEthernet (Storage*)" |</w:t>
      </w:r>
    </w:p>
    <w:p>
      <w:pPr>
        <w:pStyle w:val="SourceCode"/>
        <w:keepLines/>
      </w:pPr>
      <w:r>
        <w:rPr>
          <w:rStyle w:val="VerbatimChar"/>
        </w:rPr>
        <w:t xml:space="preserve">    Get-NetAdapterStatistics</w:t>
      </w:r>
    </w:p>
    <w:bookmarkEnd w:id="105"/>
    <w:bookmarkStart w:id="106" w:name="validierungsbefehle"/>
    <w:p>
      <w:pPr>
        <w:pStyle w:val="Heading2"/>
      </w:pPr>
      <w:r>
        <w:rPr>
          <w:rStyle w:val="SectionNumber"/>
        </w:rPr>
        <w:t xml:space="preserve">17.3</w:t>
      </w:r>
      <w:r>
        <w:tab/>
      </w:r>
      <w:r>
        <w:t xml:space="preserve">Validierungsbefehle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Prüfung</w:t>
            </w:r>
          </w:p>
        </w:tc>
        <w:tc>
          <w:tcPr/>
          <w:p>
            <w:pPr>
              <w:pStyle w:val="Compact"/>
            </w:pPr>
            <w:r>
              <w:t xml:space="preserve">Befehl</w:t>
            </w:r>
          </w:p>
        </w:tc>
      </w:tr>
      <w:tr>
        <w:tc>
          <w:tcPr/>
          <w:p>
            <w:pPr>
              <w:pStyle w:val="Compact"/>
            </w:pPr>
            <w:r>
              <w:t xml:space="preserve">Cluster-Knoten-Status</w:t>
            </w:r>
          </w:p>
        </w:tc>
        <w:tc>
          <w:tcPr/>
          <w:p>
            <w:pPr>
              <w:pStyle w:val="Compact"/>
            </w:pPr>
            <w:r>
              <w:rPr>
                <w:rStyle w:val="VerbatimChar"/>
              </w:rPr>
              <w:t xml:space="preserve">Get-ClusterNode</w:t>
            </w:r>
          </w:p>
        </w:tc>
      </w:tr>
      <w:tr>
        <w:tc>
          <w:tcPr/>
          <w:p>
            <w:pPr>
              <w:pStyle w:val="Compact"/>
            </w:pPr>
            <w:r>
              <w:t xml:space="preserve">S2D-Status</w:t>
            </w:r>
          </w:p>
        </w:tc>
        <w:tc>
          <w:tcPr/>
          <w:p>
            <w:pPr>
              <w:pStyle w:val="Compact"/>
            </w:pPr>
            <w:r>
              <w:rPr>
                <w:rStyle w:val="VerbatimChar"/>
              </w:rPr>
              <w:t xml:space="preserve">Get-ClusterS2D</w:t>
            </w:r>
          </w:p>
        </w:tc>
      </w:tr>
      <w:tr>
        <w:tc>
          <w:tcPr/>
          <w:p>
            <w:pPr>
              <w:pStyle w:val="Compact"/>
            </w:pPr>
            <w:r>
              <w:t xml:space="preserve">Pool-Gesundheit</w:t>
            </w:r>
          </w:p>
        </w:tc>
        <w:tc>
          <w:tcPr/>
          <w:p>
            <w:pPr>
              <w:pStyle w:val="Compact"/>
            </w:pPr>
            <w:r>
              <w:rPr>
                <w:rStyle w:val="VerbatimChar"/>
              </w:rPr>
              <w:t xml:space="preserve">Get-StoragePool -FriendlyName "S2D*"</w:t>
            </w:r>
          </w:p>
        </w:tc>
      </w:tr>
      <w:tr>
        <w:tc>
          <w:tcPr/>
          <w:p>
            <w:pPr>
              <w:pStyle w:val="Compact"/>
            </w:pPr>
            <w:r>
              <w:t xml:space="preserve">Volume-Gesundheit</w:t>
            </w:r>
          </w:p>
        </w:tc>
        <w:tc>
          <w:tcPr/>
          <w:p>
            <w:pPr>
              <w:pStyle w:val="Compact"/>
            </w:pPr>
            <w:r>
              <w:rPr>
                <w:rStyle w:val="VerbatimChar"/>
              </w:rPr>
              <w:t xml:space="preserve">Get-VirtualDisk</w:t>
            </w:r>
          </w:p>
        </w:tc>
      </w:tr>
      <w:tr>
        <w:tc>
          <w:tcPr/>
          <w:p>
            <w:pPr>
              <w:pStyle w:val="Compact"/>
            </w:pPr>
            <w:r>
              <w:t xml:space="preserve">Physische Laufwerke</w:t>
            </w:r>
          </w:p>
        </w:tc>
        <w:tc>
          <w:tcPr/>
          <w:p>
            <w:pPr>
              <w:pStyle w:val="Compact"/>
            </w:pPr>
            <w:r>
              <w:rPr>
                <w:rStyle w:val="VerbatimChar"/>
              </w:rPr>
              <w:t xml:space="preserve">Get-PhysicalDisk</w:t>
            </w:r>
          </w:p>
        </w:tc>
      </w:tr>
      <w:tr>
        <w:tc>
          <w:tcPr/>
          <w:p>
            <w:pPr>
              <w:pStyle w:val="Compact"/>
            </w:pPr>
            <w:r>
              <w:t xml:space="preserve">Netzwerk-Status</w:t>
            </w:r>
          </w:p>
        </w:tc>
        <w:tc>
          <w:tcPr/>
          <w:p>
            <w:pPr>
              <w:pStyle w:val="Compact"/>
            </w:pPr>
            <w:r>
              <w:rPr>
                <w:rStyle w:val="VerbatimChar"/>
              </w:rPr>
              <w:t xml:space="preserve">Get-ClusterNetwork</w:t>
            </w:r>
          </w:p>
        </w:tc>
      </w:tr>
      <w:tr>
        <w:tc>
          <w:tcPr/>
          <w:p>
            <w:pPr>
              <w:pStyle w:val="Compact"/>
            </w:pPr>
            <w:r>
              <w:t xml:space="preserve">Quorum-Status</w:t>
            </w:r>
          </w:p>
        </w:tc>
        <w:tc>
          <w:tcPr/>
          <w:p>
            <w:pPr>
              <w:pStyle w:val="Compact"/>
            </w:pPr>
            <w:r>
              <w:rPr>
                <w:rStyle w:val="VerbatimChar"/>
              </w:rPr>
              <w:t xml:space="preserve">Get-ClusterQuorum</w:t>
            </w:r>
          </w:p>
        </w:tc>
      </w:tr>
      <w:tr>
        <w:tc>
          <w:tcPr/>
          <w:p>
            <w:pPr>
              <w:pStyle w:val="Compact"/>
            </w:pPr>
            <w:r>
              <w:t xml:space="preserve">Fault Domains</w:t>
            </w:r>
          </w:p>
        </w:tc>
        <w:tc>
          <w:tcPr/>
          <w:p>
            <w:pPr>
              <w:pStyle w:val="Compact"/>
            </w:pPr>
            <w:r>
              <w:rPr>
                <w:rStyle w:val="VerbatimChar"/>
              </w:rPr>
              <w:t xml:space="preserve">Get-ClusterFaultDomain</w:t>
            </w:r>
          </w:p>
        </w:tc>
      </w:tr>
      <w:tr>
        <w:tc>
          <w:tcPr/>
          <w:p>
            <w:pPr>
              <w:pStyle w:val="Compact"/>
            </w:pPr>
            <w:r>
              <w:t xml:space="preserve">Health Faults</w:t>
            </w:r>
          </w:p>
        </w:tc>
        <w:tc>
          <w:tcPr/>
          <w:p>
            <w:pPr>
              <w:pStyle w:val="Compact"/>
            </w:pPr>
            <w:r>
              <w:rPr>
                <w:rStyle w:val="VerbatimChar"/>
              </w:rPr>
              <w:t xml:space="preserve">Get-HealthFault</w:t>
            </w:r>
          </w:p>
        </w:tc>
      </w:tr>
    </w:tbl>
    <w:bookmarkEnd w:id="106"/>
    <w:bookmarkEnd w:id="107"/>
    <w:bookmarkStart w:id="115" w:name="sicherheitshärtung"/>
    <w:p>
      <w:pPr>
        <w:pStyle w:val="Heading1"/>
      </w:pPr>
      <w:r>
        <w:rPr>
          <w:rStyle w:val="SectionNumber"/>
        </w:rPr>
        <w:t xml:space="preserve">18</w:t>
      </w:r>
      <w:r>
        <w:tab/>
      </w:r>
      <w:r>
        <w:t xml:space="preserve">Sicherheitshärtung</w:t>
      </w:r>
    </w:p>
    <w:bookmarkStart w:id="110" w:name="smb-verschlüsselung-data-in-transit"/>
    <w:p>
      <w:pPr>
        <w:pStyle w:val="Heading2"/>
      </w:pPr>
      <w:r>
        <w:rPr>
          <w:rStyle w:val="SectionNumber"/>
        </w:rPr>
        <w:t xml:space="preserve">18.1</w:t>
      </w:r>
      <w:r>
        <w:tab/>
      </w:r>
      <w:r>
        <w:t xml:space="preserve">SMB-Verschlüsselung (Data-in-Transit)</w:t>
      </w:r>
    </w:p>
    <w:p>
      <w:pPr>
        <w:pStyle w:val="FirstParagraph"/>
      </w:pPr>
      <w:r>
        <w:t xml:space="preserve">Ab Windows Server 2022 unterstützt SMB 3.1.1 die Verschlüsselung des</w:t>
      </w:r>
      <w:r>
        <w:t xml:space="preserve"> </w:t>
      </w:r>
      <w:r>
        <w:rPr>
          <w:b/>
          <w:bCs/>
        </w:rPr>
        <w:t xml:space="preserve">gesamten Cluster-internen Storage-Traffics</w:t>
      </w:r>
      <w:r>
        <w:t xml:space="preserve"> </w:t>
      </w:r>
      <w:r>
        <w:t xml:space="preserve">— einschließlich</w:t>
      </w:r>
      <w:r>
        <w:t xml:space="preserve"> </w:t>
      </w:r>
      <w:hyperlink w:anchor="csv-cluster-shared-volumes">
        <w:r>
          <w:rPr>
            <w:rStyle w:val="Hyperlink"/>
          </w:rPr>
          <w:t xml:space="preserve">CSV</w:t>
        </w:r>
      </w:hyperlink>
      <w:r>
        <w:t xml:space="preserve">-I/O und Storage Bus Layer (SBL). Diese Verschlüsselung schützt die East-West-Kommunikation zwischen den Knoten und ist besonders relevant, wenn der Storage-Traffic physische Brandschottdurchführungen passiert [10].</w:t>
      </w:r>
    </w:p>
    <w:p>
      <w:pPr>
        <w:pStyle w:val="BlockText"/>
      </w:pPr>
      <w:r>
        <w:rPr>
          <w:b/>
          <w:bCs/>
        </w:rPr>
        <w:t xml:space="preserve">Wichtig</w:t>
      </w:r>
      <w:r>
        <w:t xml:space="preserve">: Vor Windows Server 2022 deaktivierte SMB-Verschlüsselung die RDMA-Beschleunigung (SMB Direct). Ab</w:t>
      </w:r>
      <w:r>
        <w:t xml:space="preserve"> </w:t>
      </w:r>
      <w:r>
        <w:rPr>
          <w:b/>
          <w:bCs/>
        </w:rPr>
        <w:t xml:space="preserve">Windows Server 2022</w:t>
      </w:r>
      <w:r>
        <w:t xml:space="preserve"> </w:t>
      </w:r>
      <w:r>
        <w:t xml:space="preserve">funktioniert SMB Encryption</w:t>
      </w:r>
      <w:r>
        <w:t xml:space="preserve"> </w:t>
      </w:r>
      <w:r>
        <w:rPr>
          <w:b/>
          <w:bCs/>
        </w:rPr>
        <w:t xml:space="preserve">mit</w:t>
      </w:r>
      <w:r>
        <w:t xml:space="preserve"> </w:t>
      </w:r>
      <w:r>
        <w:t xml:space="preserve">RDMA/SMB Direct — die Daten werden vor dem RDMA-Placement verschlüsselt. Der Performance-Overhead ist gering (AES-128-GCM/AES-256-GCM) [10].</w:t>
      </w:r>
    </w:p>
    <w:bookmarkStart w:id="108" w:name="Xab9640f57b41138c1df8f6cbcd24e1ac0b6651e"/>
    <w:p>
      <w:pPr>
        <w:pStyle w:val="Heading3"/>
      </w:pPr>
      <w:r>
        <w:rPr>
          <w:rStyle w:val="SectionNumber"/>
        </w:rPr>
        <w:t xml:space="preserve">18.1.1</w:t>
      </w:r>
      <w:r>
        <w:tab/>
      </w:r>
      <w:r>
        <w:t xml:space="preserve">Cluster-weite SMB-Verschlüsselung aktivieren</w:t>
      </w:r>
    </w:p>
    <w:p>
      <w:pPr>
        <w:pStyle w:val="SourceCode"/>
        <w:keepLines/>
        <w:keepNext/>
      </w:pPr>
      <w:r>
        <w:rPr>
          <w:rStyle w:val="VerbatimChar"/>
        </w:rPr>
        <w:t xml:space="preserve"># SMB-Verschlüsselung auf dem gesamten Server aktivieren</w:t>
      </w:r>
    </w:p>
    <w:p>
      <w:pPr>
        <w:pStyle w:val="SourceCode"/>
        <w:keepLines/>
        <w:keepNext/>
      </w:pPr>
      <w:r>
        <w:rPr>
          <w:rStyle w:val="VerbatimChar"/>
        </w:rPr>
        <w:t xml:space="preserve">Invoke-Command -ComputerName Node01,Node02,Node03,Node04,Node05,Node06 -ScriptBlock {</w:t>
      </w:r>
    </w:p>
    <w:p>
      <w:pPr>
        <w:pStyle w:val="SourceCode"/>
        <w:keepLines/>
        <w:keepNext/>
      </w:pPr>
      <w:r>
        <w:rPr>
          <w:rStyle w:val="VerbatimChar"/>
        </w:rPr>
        <w:t xml:space="preserve">    Set-SmbServerConfiguration -EncryptData $true -Force</w:t>
      </w:r>
    </w:p>
    <w:p>
      <w:pPr>
        <w:pStyle w:val="SourceCode"/>
        <w:keepLines/>
        <w:keepNext/>
      </w:pPr>
      <w:r>
        <w:rPr>
          <w:rStyle w:val="VerbatimChar"/>
        </w:rPr>
        <w:t xml:space="preserve">}</w:t>
      </w:r>
    </w:p>
    <w:p>
      <w:pPr>
        <w:pStyle w:val="SourceCode"/>
        <w:keepLines/>
        <w:keepNext/>
      </w:pPr>
      <w:r>
        <w:rPr>
          <w:rStyle w:val="VerbatimChar"/>
        </w:rPr>
        <w:t xml:space="preserve"/>
      </w:r>
    </w:p>
    <w:p>
      <w:pPr>
        <w:pStyle w:val="SourceCode"/>
        <w:keepLines/>
        <w:keepNext/>
      </w:pPr>
      <w:r>
        <w:rPr>
          <w:rStyle w:val="VerbatimChar"/>
        </w:rPr>
        <w:t xml:space="preserve"># Unverschlüsselten Zugriff ablehnen (empfohlen)</w:t>
      </w:r>
    </w:p>
    <w:p>
      <w:pPr>
        <w:pStyle w:val="SourceCode"/>
        <w:keepLines/>
        <w:keepNext/>
      </w:pPr>
      <w:r>
        <w:rPr>
          <w:rStyle w:val="VerbatimChar"/>
        </w:rPr>
        <w:t xml:space="preserve">Invoke-Command -ComputerName Node01,Node02,Node03,Node04,Node05,Node06 -ScriptBlock {</w:t>
      </w:r>
    </w:p>
    <w:p>
      <w:pPr>
        <w:pStyle w:val="SourceCode"/>
        <w:keepLines/>
        <w:keepNext/>
      </w:pPr>
      <w:r>
        <w:rPr>
          <w:rStyle w:val="VerbatimChar"/>
        </w:rPr>
        <w:t xml:space="preserve">    Set-SmbServerConfiguration -RejectUnencryptedAccess $true -Force</w:t>
      </w:r>
    </w:p>
    <w:p>
      <w:pPr>
        <w:pStyle w:val="SourceCode"/>
        <w:keepLines/>
      </w:pPr>
      <w:r>
        <w:rPr>
          <w:rStyle w:val="VerbatimChar"/>
        </w:rPr>
        <w:t xml:space="preserve">}</w:t>
      </w:r>
    </w:p>
    <w:bookmarkEnd w:id="108"/>
    <w:bookmarkStart w:id="109" w:name="verschlüsselungsstatus-prüfen"/>
    <w:p>
      <w:pPr>
        <w:pStyle w:val="Heading3"/>
      </w:pPr>
      <w:r>
        <w:rPr>
          <w:rStyle w:val="SectionNumber"/>
        </w:rPr>
        <w:t xml:space="preserve">18.1.2</w:t>
      </w:r>
      <w:r>
        <w:tab/>
      </w:r>
      <w:r>
        <w:t xml:space="preserve">Verschlüsselungsstatus prüfen</w:t>
      </w:r>
    </w:p>
    <w:p>
      <w:pPr>
        <w:pStyle w:val="SourceCode"/>
        <w:keepLines/>
        <w:keepNext/>
      </w:pPr>
      <w:r>
        <w:rPr>
          <w:rStyle w:val="VerbatimChar"/>
        </w:rPr>
        <w:t xml:space="preserve"># SMB-Verbindungen und Verschlüsselungsstatus prüfen</w:t>
      </w:r>
    </w:p>
    <w:p>
      <w:pPr>
        <w:pStyle w:val="SourceCode"/>
        <w:keepLines/>
      </w:pPr>
      <w:r>
        <w:rPr>
          <w:rStyle w:val="VerbatimChar"/>
        </w:rPr>
        <w:t xml:space="preserve">Get-SmbConnection | Select-Object ServerName, ShareName, Dialect, Encrypted, RdmaTransport</w:t>
      </w:r>
    </w:p>
    <w:bookmarkEnd w:id="109"/>
    <w:bookmarkEnd w:id="110"/>
    <w:bookmarkStart w:id="111" w:name="smb-signing-datenintegrität"/>
    <w:p>
      <w:pPr>
        <w:pStyle w:val="Heading2"/>
      </w:pPr>
      <w:r>
        <w:rPr>
          <w:rStyle w:val="SectionNumber"/>
        </w:rPr>
        <w:t xml:space="preserve">18.2</w:t>
      </w:r>
      <w:r>
        <w:tab/>
      </w:r>
      <w:r>
        <w:t xml:space="preserve">SMB Signing (Datenintegrität)</w:t>
      </w:r>
    </w:p>
    <w:p>
      <w:pPr>
        <w:pStyle w:val="FirstParagraph"/>
      </w:pPr>
      <w:r>
        <w:t xml:space="preserve">SMB Signing schützt gegen Manipulation des Storage-Traffics (Integrity Protection). Ab Windows Server 2022 wird</w:t>
      </w:r>
      <w:r>
        <w:t xml:space="preserve"> </w:t>
      </w:r>
      <w:r>
        <w:rPr>
          <w:b/>
          <w:bCs/>
        </w:rPr>
        <w:t xml:space="preserve">AES-128-GMAC</w:t>
      </w:r>
      <w:r>
        <w:t xml:space="preserve"> </w:t>
      </w:r>
      <w:r>
        <w:t xml:space="preserve">für performantes Signing verwendet [10].</w:t>
      </w:r>
    </w:p>
    <w:p>
      <w:pPr>
        <w:pStyle w:val="SourceCode"/>
        <w:keepLines/>
        <w:keepNext/>
      </w:pPr>
      <w:r>
        <w:rPr>
          <w:rStyle w:val="VerbatimChar"/>
        </w:rPr>
        <w:t xml:space="preserve"># SMB Signing erzwingen (auf allen Knoten)</w:t>
      </w:r>
    </w:p>
    <w:p>
      <w:pPr>
        <w:pStyle w:val="SourceCode"/>
        <w:keepLines/>
        <w:keepNext/>
      </w:pPr>
      <w:r>
        <w:rPr>
          <w:rStyle w:val="VerbatimChar"/>
        </w:rPr>
        <w:t xml:space="preserve">Invoke-Command -ComputerName Node01,Node02,Node03,Node04,Node05,Node06 -ScriptBlock {</w:t>
      </w:r>
    </w:p>
    <w:p>
      <w:pPr>
        <w:pStyle w:val="SourceCode"/>
        <w:keepLines/>
        <w:keepNext/>
      </w:pPr>
      <w:r>
        <w:rPr>
          <w:rStyle w:val="VerbatimChar"/>
        </w:rPr>
        <w:t xml:space="preserve">    Set-SmbServerConfiguration -RequireSecuritySignature $true -Force</w:t>
      </w:r>
    </w:p>
    <w:p>
      <w:pPr>
        <w:pStyle w:val="SourceCode"/>
        <w:keepLines/>
      </w:pPr>
      <w:r>
        <w:rPr>
          <w:rStyle w:val="VerbatimChar"/>
        </w:rPr>
        <w:t xml:space="preserve">}</w:t>
      </w:r>
    </w:p>
    <w:p>
      <w:pPr>
        <w:pStyle w:val="BlockText"/>
      </w:pPr>
      <w:r>
        <w:rPr>
          <w:b/>
          <w:bCs/>
        </w:rPr>
        <w:t xml:space="preserve">Hinweis</w:t>
      </w:r>
      <w:r>
        <w:t xml:space="preserve">: Bei aktivierter SMB-Verschlüsselung wird Signing automatisch mit abgedeckt (AES-CMAC/AES-GMAC wird als Teil der Encryption angewendet). Separates Signing ist daher nur relevant, wenn Verschlüsselung nicht aktiviert ist [10].</w:t>
      </w:r>
    </w:p>
    <w:bookmarkEnd w:id="111"/>
    <w:bookmarkStart w:id="112" w:name="smb-1.0-deaktivieren"/>
    <w:p>
      <w:pPr>
        <w:pStyle w:val="Heading2"/>
      </w:pPr>
      <w:r>
        <w:rPr>
          <w:rStyle w:val="SectionNumber"/>
        </w:rPr>
        <w:t xml:space="preserve">18.3</w:t>
      </w:r>
      <w:r>
        <w:tab/>
      </w:r>
      <w:r>
        <w:t xml:space="preserve">SMB 1.0 deaktivieren</w:t>
      </w:r>
    </w:p>
    <w:p>
      <w:pPr>
        <w:pStyle w:val="FirstParagraph"/>
      </w:pPr>
      <w:r>
        <w:t xml:space="preserve">SMB 1.0 ist ein veraltetes Protokoll ohne moderne Sicherheitsfeatures. Die Preauthentication Integrity von SMB 3.1.1 schützt</w:t>
      </w:r>
      <w:r>
        <w:t xml:space="preserve"> </w:t>
      </w:r>
      <w:r>
        <w:rPr>
          <w:b/>
          <w:bCs/>
        </w:rPr>
        <w:t xml:space="preserve">nicht</w:t>
      </w:r>
      <w:r>
        <w:t xml:space="preserve"> </w:t>
      </w:r>
      <w:r>
        <w:t xml:space="preserve">vor einem Downgrade auf SMB 1.0. Microsoft empfiehlt dringend die Deaktivierung [10].</w:t>
      </w:r>
    </w:p>
    <w:p>
      <w:pPr>
        <w:pStyle w:val="SourceCode"/>
        <w:keepLines/>
        <w:keepNext/>
      </w:pPr>
      <w:r>
        <w:rPr>
          <w:rStyle w:val="VerbatimChar"/>
        </w:rPr>
        <w:t xml:space="preserve"># SMB 1.0 auf allen Knoten deaktivieren</w:t>
      </w:r>
    </w:p>
    <w:p>
      <w:pPr>
        <w:pStyle w:val="SourceCode"/>
        <w:keepLines/>
        <w:keepNext/>
      </w:pPr>
      <w:r>
        <w:rPr>
          <w:rStyle w:val="VerbatimChar"/>
        </w:rPr>
        <w:t xml:space="preserve">Invoke-Command -ComputerName Node01,Node02,Node03,Node04,Node05,Node06 -ScriptBlock {</w:t>
      </w:r>
    </w:p>
    <w:p>
      <w:pPr>
        <w:pStyle w:val="SourceCode"/>
        <w:keepLines/>
        <w:keepNext/>
      </w:pPr>
      <w:r>
        <w:rPr>
          <w:rStyle w:val="VerbatimChar"/>
        </w:rPr>
        <w:t xml:space="preserve">    Disable-WindowsOptionalFeature -Online -FeatureName SMB1Protocol -NoRestart</w:t>
      </w:r>
    </w:p>
    <w:p>
      <w:pPr>
        <w:pStyle w:val="SourceCode"/>
        <w:keepLines/>
        <w:keepNext/>
      </w:pPr>
      <w:r>
        <w:rPr>
          <w:rStyle w:val="VerbatimChar"/>
        </w:rPr>
        <w:t xml:space="preserve">}</w:t>
      </w:r>
    </w:p>
    <w:p>
      <w:pPr>
        <w:pStyle w:val="SourceCode"/>
        <w:keepLines/>
        <w:keepNext/>
      </w:pPr>
      <w:r>
        <w:rPr>
          <w:rStyle w:val="VerbatimChar"/>
        </w:rPr>
        <w:t xml:space="preserve"/>
      </w:r>
    </w:p>
    <w:p>
      <w:pPr>
        <w:pStyle w:val="SourceCode"/>
        <w:keepLines/>
        <w:keepNext/>
      </w:pPr>
      <w:r>
        <w:rPr>
          <w:rStyle w:val="VerbatimChar"/>
        </w:rPr>
        <w:t xml:space="preserve"># Prüfen, ob SMB 1.0 deaktiviert ist</w:t>
      </w:r>
    </w:p>
    <w:p>
      <w:pPr>
        <w:pStyle w:val="SourceCode"/>
        <w:keepLines/>
        <w:keepNext/>
      </w:pPr>
      <w:r>
        <w:rPr>
          <w:rStyle w:val="VerbatimChar"/>
        </w:rPr>
        <w:t xml:space="preserve">Invoke-Command -ComputerName Node01,Node02,Node03,Node04,Node05,Node06 -ScriptBlock {</w:t>
      </w:r>
    </w:p>
    <w:p>
      <w:pPr>
        <w:pStyle w:val="SourceCode"/>
        <w:keepLines/>
        <w:keepNext/>
      </w:pPr>
      <w:r>
        <w:rPr>
          <w:rStyle w:val="VerbatimChar"/>
        </w:rPr>
        <w:t xml:space="preserve">    Get-WindowsOptionalFeature -Online -FeatureName SMB1Protocol |</w:t>
      </w:r>
    </w:p>
    <w:p>
      <w:pPr>
        <w:pStyle w:val="SourceCode"/>
        <w:keepLines/>
        <w:keepNext/>
      </w:pPr>
      <w:r>
        <w:rPr>
          <w:rStyle w:val="VerbatimChar"/>
        </w:rPr>
        <w:t xml:space="preserve">        Select-Object FeatureName, State</w:t>
      </w:r>
    </w:p>
    <w:p>
      <w:pPr>
        <w:pStyle w:val="SourceCode"/>
        <w:keepLines/>
      </w:pPr>
      <w:r>
        <w:rPr>
          <w:rStyle w:val="VerbatimChar"/>
        </w:rPr>
        <w:t xml:space="preserve">}</w:t>
      </w:r>
    </w:p>
    <w:bookmarkEnd w:id="112"/>
    <w:bookmarkStart w:id="113" w:name="bitlocker-verschlüsselung-at-rest"/>
    <w:p>
      <w:pPr>
        <w:pStyle w:val="Heading2"/>
      </w:pPr>
      <w:r>
        <w:rPr>
          <w:rStyle w:val="SectionNumber"/>
        </w:rPr>
        <w:t xml:space="preserve">18.4</w:t>
      </w:r>
      <w:r>
        <w:tab/>
      </w:r>
      <w:r>
        <w:t xml:space="preserve">BitLocker — Verschlüsselung at Rest</w:t>
      </w:r>
    </w:p>
    <w:p>
      <w:pPr>
        <w:pStyle w:val="FirstParagraph"/>
      </w:pPr>
      <w:hyperlink w:anchor="smb-verschlüsselung">
        <w:r>
          <w:rPr>
            <w:rStyle w:val="Hyperlink"/>
          </w:rPr>
          <w:t xml:space="preserve">SMB-Verschlüsselung</w:t>
        </w:r>
      </w:hyperlink>
      <w:r>
        <w:t xml:space="preserve"> </w:t>
      </w:r>
      <w:r>
        <w:t xml:space="preserve">schützt Daten</w:t>
      </w:r>
      <w:r>
        <w:t xml:space="preserve"> </w:t>
      </w:r>
      <w:r>
        <w:rPr>
          <w:b/>
          <w:bCs/>
        </w:rPr>
        <w:t xml:space="preserve">während der Übertragung</w:t>
      </w:r>
      <w:r>
        <w:t xml:space="preserve"> </w:t>
      </w:r>
      <w:r>
        <w:t xml:space="preserve">(in-transit), deckt aber keine Daten auf den physischen Laufwerken ab (at-rest). Für Schutz ruhender Daten wird</w:t>
      </w:r>
      <w:r>
        <w:t xml:space="preserve"> </w:t>
      </w:r>
      <w:r>
        <w:rPr>
          <w:b/>
          <w:bCs/>
        </w:rPr>
        <w:t xml:space="preserve">BitLocker Drive Encryption</w:t>
      </w:r>
      <w:r>
        <w:t xml:space="preserve"> </w:t>
      </w:r>
      <w:r>
        <w:t xml:space="preserve">auf den S2D-Datenlaufwerken empfohlen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Empfehlung</w:t>
            </w:r>
          </w:p>
        </w:tc>
      </w:tr>
      <w:tr>
        <w:tc>
          <w:tcPr/>
          <w:p>
            <w:pPr>
              <w:pStyle w:val="Compact"/>
            </w:pPr>
            <w:r>
              <w:t xml:space="preserve">Boot-Laufwerke</w:t>
            </w:r>
          </w:p>
        </w:tc>
        <w:tc>
          <w:tcPr/>
          <w:p>
            <w:pPr>
              <w:pStyle w:val="Compact"/>
            </w:pPr>
            <w:r>
              <w:t xml:space="preserve">BitLocker mit TPM-Schutz</w:t>
            </w:r>
          </w:p>
        </w:tc>
      </w:tr>
      <w:tr>
        <w:tc>
          <w:tcPr/>
          <w:p>
            <w:pPr>
              <w:pStyle w:val="Compact"/>
            </w:pPr>
            <w:r>
              <w:t xml:space="preserve">S2D-Datenlaufwerke (CSV)</w:t>
            </w:r>
          </w:p>
        </w:tc>
        <w:tc>
          <w:tcPr/>
          <w:p>
            <w:pPr>
              <w:pStyle w:val="Compact"/>
            </w:pPr>
            <w:r>
              <w:t xml:space="preserve">BitLocker auf CSV-Volumes aktivieren</w:t>
            </w:r>
          </w:p>
        </w:tc>
      </w:tr>
      <w:tr>
        <w:tc>
          <w:tcPr/>
          <w:p>
            <w:pPr>
              <w:pStyle w:val="Compact"/>
            </w:pPr>
            <w:r>
              <w:t xml:space="preserve">Schlüsselverwaltung</w:t>
            </w:r>
          </w:p>
        </w:tc>
        <w:tc>
          <w:tcPr/>
          <w:p>
            <w:pPr>
              <w:pStyle w:val="Compact"/>
            </w:pPr>
            <w:r>
              <w:t xml:space="preserve">Active Directory-basierte Schlüsselsicherung oder MBAM</w:t>
            </w:r>
          </w:p>
        </w:tc>
      </w:tr>
      <w:tr>
        <w:tc>
          <w:tcPr/>
          <w:p>
            <w:pPr>
              <w:pStyle w:val="Compact"/>
            </w:pPr>
            <w:r>
              <w:t xml:space="preserve">Performance-Overhead</w:t>
            </w:r>
          </w:p>
        </w:tc>
        <w:tc>
          <w:tcPr/>
          <w:p>
            <w:pPr>
              <w:pStyle w:val="Compact"/>
            </w:pPr>
            <w:r>
              <w:t xml:space="preserve">Gering bei Hardware-AES-Unterstützung (alle modernen Server-CPUs)</w:t>
            </w:r>
          </w:p>
        </w:tc>
      </w:tr>
    </w:tbl>
    <w:p>
      <w:pPr>
        <w:pStyle w:val="SourceCode"/>
        <w:keepLines/>
        <w:keepNext/>
      </w:pPr>
      <w:r>
        <w:rPr>
          <w:rStyle w:val="VerbatimChar"/>
        </w:rPr>
        <w:t xml:space="preserve"># BitLocker auf einem CSV-Volume aktivieren (Beispiel)</w:t>
      </w:r>
    </w:p>
    <w:p>
      <w:pPr>
        <w:pStyle w:val="SourceCode"/>
        <w:keepLines/>
        <w:keepNext/>
      </w:pPr>
      <w:r>
        <w:rPr>
          <w:rStyle w:val="VerbatimChar"/>
        </w:rPr>
        <w:t xml:space="preserve">Enable-BitLocker -MountPoint "C:\ClusterStorage\Volume1" `</w:t>
      </w:r>
    </w:p>
    <w:p>
      <w:pPr>
        <w:pStyle w:val="SourceCode"/>
        <w:keepLines/>
        <w:keepNext/>
      </w:pPr>
      <w:r>
        <w:rPr>
          <w:rStyle w:val="VerbatimChar"/>
        </w:rPr>
        <w:t xml:space="preserve">    -EncryptionMethod XtsAes256 `</w:t>
      </w:r>
    </w:p>
    <w:p>
      <w:pPr>
        <w:pStyle w:val="SourceCode"/>
        <w:keepLines/>
        <w:keepNext/>
      </w:pPr>
      <w:r>
        <w:rPr>
          <w:rStyle w:val="VerbatimChar"/>
        </w:rPr>
        <w:t xml:space="preserve">    -RecoveryPasswordProtector</w:t>
      </w:r>
    </w:p>
    <w:p>
      <w:pPr>
        <w:pStyle w:val="SourceCode"/>
        <w:keepLines/>
        <w:keepNext/>
      </w:pPr>
      <w:r>
        <w:rPr>
          <w:rStyle w:val="VerbatimChar"/>
        </w:rPr>
        <w:t xml:space="preserve"/>
      </w:r>
    </w:p>
    <w:p>
      <w:pPr>
        <w:pStyle w:val="SourceCode"/>
        <w:keepLines/>
        <w:keepNext/>
      </w:pPr>
      <w:r>
        <w:rPr>
          <w:rStyle w:val="VerbatimChar"/>
        </w:rPr>
        <w:t xml:space="preserve"># BitLocker-Status aller Volumes prüfen</w:t>
      </w:r>
    </w:p>
    <w:p>
      <w:pPr>
        <w:pStyle w:val="SourceCode"/>
        <w:keepLines/>
      </w:pPr>
      <w:r>
        <w:rPr>
          <w:rStyle w:val="VerbatimChar"/>
        </w:rPr>
        <w:t xml:space="preserve">Get-BitLockerVolume | Select-Object MountPoint, VolumeStatus, EncryptionMethod, ProtectionStatus</w:t>
      </w:r>
    </w:p>
    <w:p>
      <w:pPr>
        <w:pStyle w:val="BlockText"/>
      </w:pPr>
      <w:r>
        <w:rPr>
          <w:b/>
          <w:bCs/>
        </w:rPr>
        <w:t xml:space="preserve">Hinweis</w:t>
      </w:r>
      <w:r>
        <w:t xml:space="preserve">: BitLocker auf CSV-Volumes erfordert die Aktivierung über den Cluster-Koordinator-Knoten (Owner-Node des Volumes). Nach Aktivierung wird die Verschlüsselung transparent für alle Knoten angewendet.</w:t>
      </w:r>
    </w:p>
    <w:bookmarkEnd w:id="113"/>
    <w:bookmarkStart w:id="114" w:name="windows-firewall-netzwerk-härtung"/>
    <w:p>
      <w:pPr>
        <w:pStyle w:val="Heading2"/>
      </w:pPr>
      <w:r>
        <w:rPr>
          <w:rStyle w:val="SectionNumber"/>
        </w:rPr>
        <w:t xml:space="preserve">18.5</w:t>
      </w:r>
      <w:r>
        <w:tab/>
      </w:r>
      <w:r>
        <w:t xml:space="preserve">Windows-Firewall — Netzwerk-Härtung</w:t>
      </w:r>
    </w:p>
    <w:p>
      <w:pPr>
        <w:pStyle w:val="FirstParagraph"/>
      </w:pPr>
      <w:r>
        <w:t xml:space="preserve">Die Windows-Firewall sollte auf allen S2D-Knoten</w:t>
      </w:r>
      <w:r>
        <w:t xml:space="preserve"> </w:t>
      </w:r>
      <w:r>
        <w:rPr>
          <w:b/>
          <w:bCs/>
        </w:rPr>
        <w:t xml:space="preserve">aktiviert</w:t>
      </w:r>
      <w:r>
        <w:t xml:space="preserve"> </w:t>
      </w:r>
      <w:r>
        <w:t xml:space="preserve">bleiben. Folgende Ports und Protokolle werden für den S2D-Betrieb benötigt: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 / Protokoll</w:t>
            </w:r>
          </w:p>
        </w:tc>
        <w:tc>
          <w:tcPr/>
          <w:p>
            <w:pPr>
              <w:pStyle w:val="Compact"/>
            </w:pPr>
            <w:r>
              <w:t xml:space="preserve">Dienst</w:t>
            </w:r>
          </w:p>
        </w:tc>
        <w:tc>
          <w:tcPr/>
          <w:p>
            <w:pPr>
              <w:pStyle w:val="Compact"/>
            </w:pPr>
            <w:r>
              <w:t xml:space="preserve">Richtung</w:t>
            </w:r>
          </w:p>
        </w:tc>
      </w:tr>
      <w:tr>
        <w:tc>
          <w:tcPr/>
          <w:p>
            <w:pPr>
              <w:pStyle w:val="Compact"/>
            </w:pPr>
            <w:r>
              <w:rPr>
                <w:b/>
                <w:bCs/>
              </w:rPr>
              <w:t xml:space="preserve">TCP 445</w:t>
            </w:r>
          </w:p>
        </w:tc>
        <w:tc>
          <w:tcPr/>
          <w:p>
            <w:pPr>
              <w:pStyle w:val="Compact"/>
            </w:pPr>
            <w:r>
              <w:t xml:space="preserve">SMB (Storage-Traffic, CSV, Live Migration)</w:t>
            </w:r>
          </w:p>
        </w:tc>
        <w:tc>
          <w:tcPr/>
          <w:p>
            <w:pPr>
              <w:pStyle w:val="Compact"/>
            </w:pPr>
            <w:r>
              <w:t xml:space="preserve">Eingehend + Ausgehend</w:t>
            </w:r>
          </w:p>
        </w:tc>
      </w:tr>
      <w:tr>
        <w:tc>
          <w:tcPr/>
          <w:p>
            <w:pPr>
              <w:pStyle w:val="Compact"/>
            </w:pPr>
            <w:r>
              <w:rPr>
                <w:b/>
                <w:bCs/>
              </w:rPr>
              <w:t xml:space="preserve">TCP 5985</w:t>
            </w:r>
          </w:p>
        </w:tc>
        <w:tc>
          <w:tcPr/>
          <w:p>
            <w:pPr>
              <w:pStyle w:val="Compact"/>
            </w:pPr>
            <w:r>
              <w:t xml:space="preserve">WinRM / PowerShell Remoting (HTTP)</w:t>
            </w:r>
          </w:p>
        </w:tc>
        <w:tc>
          <w:tcPr/>
          <w:p>
            <w:pPr>
              <w:pStyle w:val="Compact"/>
            </w:pPr>
            <w:r>
              <w:t xml:space="preserve">Eingehend</w:t>
            </w:r>
          </w:p>
        </w:tc>
      </w:tr>
      <w:tr>
        <w:tc>
          <w:tcPr/>
          <w:p>
            <w:pPr>
              <w:pStyle w:val="Compact"/>
            </w:pPr>
            <w:r>
              <w:rPr>
                <w:b/>
                <w:bCs/>
              </w:rPr>
              <w:t xml:space="preserve">TCP 5986</w:t>
            </w:r>
          </w:p>
        </w:tc>
        <w:tc>
          <w:tcPr/>
          <w:p>
            <w:pPr>
              <w:pStyle w:val="Compact"/>
            </w:pPr>
            <w:r>
              <w:t xml:space="preserve">WinRM / PowerShell Remoting (HTTPS)</w:t>
            </w:r>
          </w:p>
        </w:tc>
        <w:tc>
          <w:tcPr/>
          <w:p>
            <w:pPr>
              <w:pStyle w:val="Compact"/>
            </w:pPr>
            <w:r>
              <w:t xml:space="preserve">Eingehend</w:t>
            </w:r>
          </w:p>
        </w:tc>
      </w:tr>
      <w:tr>
        <w:tc>
          <w:tcPr/>
          <w:p>
            <w:pPr>
              <w:pStyle w:val="Compact"/>
            </w:pPr>
            <w:r>
              <w:rPr>
                <w:b/>
                <w:bCs/>
              </w:rPr>
              <w:t xml:space="preserve">UDP 3343</w:t>
            </w:r>
          </w:p>
        </w:tc>
        <w:tc>
          <w:tcPr/>
          <w:p>
            <w:pPr>
              <w:pStyle w:val="Compact"/>
            </w:pPr>
            <w:r>
              <w:t xml:space="preserve">Cluster-Netzwerk-Treiber</w:t>
            </w:r>
          </w:p>
        </w:tc>
        <w:tc>
          <w:tcPr/>
          <w:p>
            <w:pPr>
              <w:pStyle w:val="Compact"/>
            </w:pPr>
            <w:r>
              <w:t xml:space="preserve">Eingehend + Ausgehend</w:t>
            </w:r>
          </w:p>
        </w:tc>
      </w:tr>
      <w:tr>
        <w:tc>
          <w:tcPr/>
          <w:p>
            <w:pPr>
              <w:pStyle w:val="Compact"/>
            </w:pPr>
            <w:r>
              <w:rPr>
                <w:b/>
                <w:bCs/>
              </w:rPr>
              <w:t xml:space="preserve">TCP 135</w:t>
            </w:r>
          </w:p>
        </w:tc>
        <w:tc>
          <w:tcPr/>
          <w:p>
            <w:pPr>
              <w:pStyle w:val="Compact"/>
            </w:pPr>
            <w:r>
              <w:t xml:space="preserve">RPC Endpoint Mapper</w:t>
            </w:r>
          </w:p>
        </w:tc>
        <w:tc>
          <w:tcPr/>
          <w:p>
            <w:pPr>
              <w:pStyle w:val="Compact"/>
            </w:pPr>
            <w:r>
              <w:t xml:space="preserve">Eingehend</w:t>
            </w:r>
          </w:p>
        </w:tc>
      </w:tr>
      <w:tr>
        <w:tc>
          <w:tcPr/>
          <w:p>
            <w:pPr>
              <w:pStyle w:val="Compact"/>
            </w:pPr>
            <w:r>
              <w:rPr>
                <w:b/>
                <w:bCs/>
              </w:rPr>
              <w:t xml:space="preserve">TCP 49152–65535</w:t>
            </w:r>
          </w:p>
        </w:tc>
        <w:tc>
          <w:tcPr/>
          <w:p>
            <w:pPr>
              <w:pStyle w:val="Compact"/>
            </w:pPr>
            <w:r>
              <w:t xml:space="preserve">RPC Dynamic Ports</w:t>
            </w:r>
          </w:p>
        </w:tc>
        <w:tc>
          <w:tcPr/>
          <w:p>
            <w:pPr>
              <w:pStyle w:val="Compact"/>
            </w:pPr>
            <w:r>
              <w:t xml:space="preserve">Eingehend</w:t>
            </w:r>
          </w:p>
        </w:tc>
      </w:tr>
      <w:tr>
        <w:tc>
          <w:tcPr/>
          <w:p>
            <w:pPr>
              <w:pStyle w:val="Compact"/>
            </w:pPr>
            <w:r>
              <w:rPr>
                <w:b/>
                <w:bCs/>
              </w:rPr>
              <w:t xml:space="preserve">ICMP</w:t>
            </w:r>
          </w:p>
        </w:tc>
        <w:tc>
          <w:tcPr/>
          <w:p>
            <w:pPr>
              <w:pStyle w:val="Compact"/>
            </w:pPr>
            <w:r>
              <w:t xml:space="preserve">Cluster-Heartbeat</w:t>
            </w:r>
          </w:p>
        </w:tc>
        <w:tc>
          <w:tcPr/>
          <w:p>
            <w:pPr>
              <w:pStyle w:val="Compact"/>
            </w:pPr>
            <w:r>
              <w:t xml:space="preserve">Eingehend + Ausgehend</w:t>
            </w:r>
          </w:p>
        </w:tc>
      </w:tr>
    </w:tbl>
    <w:p>
      <w:pPr>
        <w:pStyle w:val="SourceCode"/>
        <w:keepLines/>
        <w:keepNext/>
      </w:pPr>
      <w:r>
        <w:rPr>
          <w:rStyle w:val="VerbatimChar"/>
        </w:rPr>
        <w:t xml:space="preserve"># Firewall-Regeln für Failover Clustering prüfen</w:t>
      </w:r>
    </w:p>
    <w:p>
      <w:pPr>
        <w:pStyle w:val="SourceCode"/>
        <w:keepLines/>
        <w:keepNext/>
      </w:pPr>
      <w:r>
        <w:rPr>
          <w:rStyle w:val="VerbatimChar"/>
        </w:rPr>
        <w:t xml:space="preserve">Get-NetFirewallRule -Group "Failover Clusters" |</w:t>
      </w:r>
    </w:p>
    <w:p>
      <w:pPr>
        <w:pStyle w:val="SourceCode"/>
        <w:keepLines/>
        <w:keepNext/>
      </w:pPr>
      <w:r>
        <w:rPr>
          <w:rStyle w:val="VerbatimChar"/>
        </w:rPr>
        <w:t xml:space="preserve">    Select-Object Name, Enabled, Direction, Action |</w:t>
      </w:r>
    </w:p>
    <w:p>
      <w:pPr>
        <w:pStyle w:val="SourceCode"/>
        <w:keepLines/>
        <w:keepNext/>
      </w:pPr>
      <w:r>
        <w:rPr>
          <w:rStyle w:val="VerbatimChar"/>
        </w:rPr>
        <w:t xml:space="preserve">    Format-Table -AutoSize</w:t>
      </w:r>
    </w:p>
    <w:p>
      <w:pPr>
        <w:pStyle w:val="SourceCode"/>
        <w:keepLines/>
        <w:keepNext/>
      </w:pPr>
      <w:r>
        <w:rPr>
          <w:rStyle w:val="VerbatimChar"/>
        </w:rPr>
        <w:t xml:space="preserve"/>
      </w:r>
    </w:p>
    <w:p>
      <w:pPr>
        <w:pStyle w:val="SourceCode"/>
        <w:keepLines/>
        <w:keepNext/>
      </w:pPr>
      <w:r>
        <w:rPr>
          <w:rStyle w:val="VerbatimChar"/>
        </w:rPr>
        <w:t xml:space="preserve"># SMB-Firewall-Regeln prüfen</w:t>
      </w:r>
    </w:p>
    <w:p>
      <w:pPr>
        <w:pStyle w:val="SourceCode"/>
        <w:keepLines/>
        <w:keepNext/>
      </w:pPr>
      <w:r>
        <w:rPr>
          <w:rStyle w:val="VerbatimChar"/>
        </w:rPr>
        <w:t xml:space="preserve">Get-NetFirewallRule -Group "File and Printer Sharing" |</w:t>
      </w:r>
    </w:p>
    <w:p>
      <w:pPr>
        <w:pStyle w:val="SourceCode"/>
        <w:keepLines/>
        <w:keepNext/>
      </w:pPr>
      <w:r>
        <w:rPr>
          <w:rStyle w:val="VerbatimChar"/>
        </w:rPr>
        <w:t xml:space="preserve">    Where-Object { $_.Enabled -eq 'True' } |</w:t>
      </w:r>
    </w:p>
    <w:p>
      <w:pPr>
        <w:pStyle w:val="SourceCode"/>
        <w:keepLines/>
      </w:pPr>
      <w:r>
        <w:rPr>
          <w:rStyle w:val="VerbatimChar"/>
        </w:rPr>
        <w:t xml:space="preserve">    Select-Object Name, Direction, Action</w:t>
      </w:r>
    </w:p>
    <w:p>
      <w:pPr>
        <w:pStyle w:val="BlockText"/>
      </w:pPr>
      <w:r>
        <w:rPr>
          <w:b/>
          <w:bCs/>
        </w:rPr>
        <w:t xml:space="preserve">Best Practice</w:t>
      </w:r>
      <w:r>
        <w:t xml:space="preserve">: Nicht benötigte eingehende Firewall-Regeln deaktivieren. Insbesondere bei brandabschnittübergreifendem Betrieb sollte der Traffic auf den Storage-NICs auf die erforderlichen Ports beschränkt werden. Management-NICs sollten nur die Verwaltungsports (RDP 3389, WinRM 5985/5986) zulassen.</w:t>
      </w:r>
    </w:p>
    <w:bookmarkEnd w:id="114"/>
    <w:bookmarkEnd w:id="115"/>
    <w:bookmarkStart w:id="120" w:name="Xbb96464e63469802cc268bf331ca381b1c3df8e"/>
    <w:p>
      <w:pPr>
        <w:pStyle w:val="Heading1"/>
      </w:pPr>
      <w:r>
        <w:rPr>
          <w:rStyle w:val="SectionNumber"/>
        </w:rPr>
        <w:t xml:space="preserve">19</w:t>
      </w:r>
      <w:r>
        <w:tab/>
      </w:r>
      <w:r>
        <w:t xml:space="preserve">Performance-Optimierung für IO-intensive Workloads</w:t>
      </w:r>
    </w:p>
    <w:bookmarkStart w:id="118" w:name="storage-qos-quality-of-service"/>
    <w:p>
      <w:pPr>
        <w:pStyle w:val="Heading2"/>
      </w:pPr>
      <w:r>
        <w:rPr>
          <w:rStyle w:val="SectionNumber"/>
        </w:rPr>
        <w:t xml:space="preserve">19.1</w:t>
      </w:r>
      <w:r>
        <w:tab/>
      </w:r>
      <w:r>
        <w:t xml:space="preserve">Storage QoS (Quality of Service)</w:t>
      </w:r>
    </w:p>
    <w:p>
      <w:pPr>
        <w:pStyle w:val="FirstParagraph"/>
      </w:pPr>
      <w:hyperlink w:anchor="storage-qos-quality-of-service">
        <w:r>
          <w:rPr>
            <w:rStyle w:val="Hyperlink"/>
          </w:rPr>
          <w:t xml:space="preserve">Storage QoS</w:t>
        </w:r>
      </w:hyperlink>
      <w:r>
        <w:t xml:space="preserve"> </w:t>
      </w:r>
      <w:r>
        <w:t xml:space="preserve">ermöglicht die zentrale Überwachung und Steuerung der Storage-Performance auf VM-Ebene. Bei IO-intensiven Workloads (SQL Server, OLTP, VDI) ist Storage QoS essenziell, um</w:t>
      </w:r>
      <w:r>
        <w:t xml:space="preserve"> </w:t>
      </w:r>
      <w:r>
        <w:rPr>
          <w:b/>
          <w:bCs/>
        </w:rPr>
        <w:t xml:space="preserve">„Noisy Neighbor”-Probleme</w:t>
      </w:r>
      <w:r>
        <w:t xml:space="preserve"> </w:t>
      </w:r>
      <w:r>
        <w:t xml:space="preserve">zu verhindern und IOPS-Garantien pro VM durchzusetzen [11].</w:t>
      </w:r>
    </w:p>
    <w:p>
      <w:pPr>
        <w:pStyle w:val="BodyText"/>
      </w:pPr>
      <w:r>
        <w:t xml:space="preserve">Storage QoS wird bei S2D mit Cluster Shared Volumes</w:t>
      </w:r>
      <w:r>
        <w:t xml:space="preserve"> </w:t>
      </w:r>
      <w:r>
        <w:rPr>
          <w:b/>
          <w:bCs/>
        </w:rPr>
        <w:t xml:space="preserve">automatisch aktiviert</w:t>
      </w:r>
      <w:r>
        <w:t xml:space="preserve"> </w:t>
      </w:r>
      <w:r>
        <w:t xml:space="preserve">— es muss lediglich die Policy-Konfiguration vorgenommen werden [11].</w:t>
      </w:r>
    </w:p>
    <w:bookmarkStart w:id="116" w:name="storage-qos-policies-erstellen"/>
    <w:p>
      <w:pPr>
        <w:pStyle w:val="Heading3"/>
      </w:pPr>
      <w:r>
        <w:rPr>
          <w:rStyle w:val="SectionNumber"/>
        </w:rPr>
        <w:t xml:space="preserve">19.1.1</w:t>
      </w:r>
      <w:r>
        <w:tab/>
      </w:r>
      <w:r>
        <w:t xml:space="preserve">Storage QoS Policies erstellen</w:t>
      </w:r>
    </w:p>
    <w:p>
      <w:pPr>
        <w:pStyle w:val="SourceCode"/>
        <w:keepLines/>
        <w:keepNext/>
      </w:pPr>
      <w:r>
        <w:rPr>
          <w:rStyle w:val="VerbatimChar"/>
        </w:rPr>
        <w:t xml:space="preserve"># Dedizierte Policy: Jede VM bekommt eigene IOPS-Limits</w:t>
      </w:r>
    </w:p>
    <w:p>
      <w:pPr>
        <w:pStyle w:val="SourceCode"/>
        <w:keepLines/>
        <w:keepNext/>
      </w:pPr>
      <w:r>
        <w:rPr>
          <w:rStyle w:val="VerbatimChar"/>
        </w:rPr>
        <w:t xml:space="preserve">New-StorageQosPolicy -Name "SQL-Production" `</w:t>
      </w:r>
    </w:p>
    <w:p>
      <w:pPr>
        <w:pStyle w:val="SourceCode"/>
        <w:keepLines/>
        <w:keepNext/>
      </w:pPr>
      <w:r>
        <w:rPr>
          <w:rStyle w:val="VerbatimChar"/>
        </w:rPr>
        <w:t xml:space="preserve">    -PolicyType Dedicated `</w:t>
      </w:r>
    </w:p>
    <w:p>
      <w:pPr>
        <w:pStyle w:val="SourceCode"/>
        <w:keepLines/>
        <w:keepNext/>
      </w:pPr>
      <w:r>
        <w:rPr>
          <w:rStyle w:val="VerbatimChar"/>
        </w:rPr>
        <w:t xml:space="preserve">    -MinimumIops 5000 `</w:t>
      </w:r>
    </w:p>
    <w:p>
      <w:pPr>
        <w:pStyle w:val="SourceCode"/>
        <w:keepLines/>
        <w:keepNext/>
      </w:pPr>
      <w:r>
        <w:rPr>
          <w:rStyle w:val="VerbatimChar"/>
        </w:rPr>
        <w:t xml:space="preserve">    -MaximumIops 20000</w:t>
      </w:r>
    </w:p>
    <w:p>
      <w:pPr>
        <w:pStyle w:val="SourceCode"/>
        <w:keepLines/>
        <w:keepNext/>
      </w:pPr>
      <w:r>
        <w:rPr>
          <w:rStyle w:val="VerbatimChar"/>
        </w:rPr>
        <w:t xml:space="preserve"/>
      </w:r>
    </w:p>
    <w:p>
      <w:pPr>
        <w:pStyle w:val="SourceCode"/>
        <w:keepLines/>
        <w:keepNext/>
      </w:pPr>
      <w:r>
        <w:rPr>
          <w:rStyle w:val="VerbatimChar"/>
        </w:rPr>
        <w:t xml:space="preserve"># Aggregierte Policy: Alle zugewiesenen VMs teilen sich das Budget</w:t>
      </w:r>
    </w:p>
    <w:p>
      <w:pPr>
        <w:pStyle w:val="SourceCode"/>
        <w:keepLines/>
        <w:keepNext/>
      </w:pPr>
      <w:r>
        <w:rPr>
          <w:rStyle w:val="VerbatimChar"/>
        </w:rPr>
        <w:t xml:space="preserve">New-StorageQosPolicy -Name "VDI-Pool" `</w:t>
      </w:r>
    </w:p>
    <w:p>
      <w:pPr>
        <w:pStyle w:val="SourceCode"/>
        <w:keepLines/>
        <w:keepNext/>
      </w:pPr>
      <w:r>
        <w:rPr>
          <w:rStyle w:val="VerbatimChar"/>
        </w:rPr>
        <w:t xml:space="preserve">    -PolicyType Aggregated `</w:t>
      </w:r>
    </w:p>
    <w:p>
      <w:pPr>
        <w:pStyle w:val="SourceCode"/>
        <w:keepLines/>
        <w:keepNext/>
      </w:pPr>
      <w:r>
        <w:rPr>
          <w:rStyle w:val="VerbatimChar"/>
        </w:rPr>
        <w:t xml:space="preserve">    -MinimumIops 1000 `</w:t>
      </w:r>
    </w:p>
    <w:p>
      <w:pPr>
        <w:pStyle w:val="SourceCode"/>
        <w:keepLines/>
        <w:keepNext/>
      </w:pPr>
      <w:r>
        <w:rPr>
          <w:rStyle w:val="VerbatimChar"/>
        </w:rPr>
        <w:t xml:space="preserve">    -MaximumIops 10000</w:t>
      </w:r>
    </w:p>
    <w:p>
      <w:pPr>
        <w:pStyle w:val="SourceCode"/>
        <w:keepLines/>
        <w:keepNext/>
      </w:pPr>
      <w:r>
        <w:rPr>
          <w:rStyle w:val="VerbatimChar"/>
        </w:rPr>
        <w:t xml:space="preserve"/>
      </w:r>
    </w:p>
    <w:p>
      <w:pPr>
        <w:pStyle w:val="SourceCode"/>
        <w:keepLines/>
        <w:keepNext/>
      </w:pPr>
      <w:r>
        <w:rPr>
          <w:rStyle w:val="VerbatimChar"/>
        </w:rPr>
        <w:t xml:space="preserve"># Policy auf VM-Festplatten anwenden</w:t>
      </w:r>
    </w:p>
    <w:p>
      <w:pPr>
        <w:pStyle w:val="SourceCode"/>
        <w:keepLines/>
        <w:keepNext/>
      </w:pPr>
      <w:r>
        <w:rPr>
          <w:rStyle w:val="VerbatimChar"/>
        </w:rPr>
        <w:t xml:space="preserve">$policyId = (Get-StorageQosPolicy -Name "SQL-Production").PolicyId</w:t>
      </w:r>
    </w:p>
    <w:p>
      <w:pPr>
        <w:pStyle w:val="SourceCode"/>
        <w:keepLines/>
        <w:keepNext/>
      </w:pPr>
      <w:r>
        <w:rPr>
          <w:rStyle w:val="VerbatimChar"/>
        </w:rPr>
        <w:t xml:space="preserve">Get-VM -Name "SQL01" | Get-VMHardDiskDrive |</w:t>
      </w:r>
    </w:p>
    <w:p>
      <w:pPr>
        <w:pStyle w:val="SourceCode"/>
        <w:keepLines/>
      </w:pPr>
      <w:r>
        <w:rPr>
          <w:rStyle w:val="VerbatimChar"/>
        </w:rPr>
        <w:t xml:space="preserve">    Set-VMHardDiskDrive -QoSPolicyID $policyId</w:t>
      </w:r>
    </w:p>
    <w:bookmarkEnd w:id="116"/>
    <w:bookmarkStart w:id="117" w:name="storage-qos-überwachen"/>
    <w:p>
      <w:pPr>
        <w:pStyle w:val="Heading3"/>
      </w:pPr>
      <w:r>
        <w:rPr>
          <w:rStyle w:val="SectionNumber"/>
        </w:rPr>
        <w:t xml:space="preserve">19.1.2</w:t>
      </w:r>
      <w:r>
        <w:tab/>
      </w:r>
      <w:r>
        <w:t xml:space="preserve">Storage QoS überwachen</w:t>
      </w:r>
    </w:p>
    <w:p>
      <w:pPr>
        <w:pStyle w:val="SourceCode"/>
        <w:keepLines/>
        <w:keepNext/>
      </w:pPr>
      <w:r>
        <w:rPr>
          <w:rStyle w:val="VerbatimChar"/>
        </w:rPr>
        <w:t xml:space="preserve"># Alle Flows mit IOPS und Latenz anzeigen</w:t>
      </w:r>
    </w:p>
    <w:p>
      <w:pPr>
        <w:pStyle w:val="SourceCode"/>
        <w:keepLines/>
        <w:keepNext/>
      </w:pPr>
      <w:r>
        <w:rPr>
          <w:rStyle w:val="VerbatimChar"/>
        </w:rPr>
        <w:t xml:space="preserve">Get-StorageQosFlow | Sort-Object StorageNodeIOPS -Descending |</w:t>
      </w:r>
    </w:p>
    <w:p>
      <w:pPr>
        <w:pStyle w:val="SourceCode"/>
        <w:keepLines/>
        <w:keepNext/>
      </w:pPr>
      <w:r>
        <w:rPr>
          <w:rStyle w:val="VerbatimChar"/>
        </w:rPr>
        <w:t xml:space="preserve">    Format-Table InitiatorName, StorageNodeIOPS, InitiatorLatency,</w:t>
      </w:r>
    </w:p>
    <w:p>
      <w:pPr>
        <w:pStyle w:val="SourceCode"/>
        <w:keepLines/>
        <w:keepNext/>
      </w:pPr>
      <w:r>
        <w:rPr>
          <w:rStyle w:val="VerbatimChar"/>
        </w:rPr>
        <w:t xml:space="preserve">                 MinimumIops, MaximumIops, Status -AutoSize</w:t>
      </w:r>
    </w:p>
    <w:p>
      <w:pPr>
        <w:pStyle w:val="SourceCode"/>
        <w:keepLines/>
        <w:keepNext/>
      </w:pPr>
      <w:r>
        <w:rPr>
          <w:rStyle w:val="VerbatimChar"/>
        </w:rPr>
        <w:t xml:space="preserve"/>
      </w:r>
    </w:p>
    <w:p>
      <w:pPr>
        <w:pStyle w:val="SourceCode"/>
        <w:keepLines/>
        <w:keepNext/>
      </w:pPr>
      <w:r>
        <w:rPr>
          <w:rStyle w:val="VerbatimChar"/>
        </w:rPr>
        <w:t xml:space="preserve"># Flows mit unzureichendem Durchsatz identifizieren</w:t>
      </w:r>
    </w:p>
    <w:p>
      <w:pPr>
        <w:pStyle w:val="SourceCode"/>
        <w:keepLines/>
        <w:keepNext/>
      </w:pPr>
      <w:r>
        <w:rPr>
          <w:rStyle w:val="VerbatimChar"/>
        </w:rPr>
        <w:t xml:space="preserve">Get-StorageQosFlow -Status InsufficientThroughput</w:t>
      </w:r>
    </w:p>
    <w:p>
      <w:pPr>
        <w:pStyle w:val="SourceCode"/>
        <w:keepLines/>
        <w:keepNext/>
      </w:pPr>
      <w:r>
        <w:rPr>
          <w:rStyle w:val="VerbatimChar"/>
        </w:rPr>
        <w:t xml:space="preserve"/>
      </w:r>
    </w:p>
    <w:p>
      <w:pPr>
        <w:pStyle w:val="SourceCode"/>
        <w:keepLines/>
        <w:keepNext/>
      </w:pPr>
      <w:r>
        <w:rPr>
          <w:rStyle w:val="VerbatimChar"/>
        </w:rPr>
        <w:t xml:space="preserve"># Volume-Performance anzeigen</w:t>
      </w:r>
    </w:p>
    <w:p>
      <w:pPr>
        <w:pStyle w:val="SourceCode"/>
        <w:keepLines/>
      </w:pPr>
      <w:r>
        <w:rPr>
          <w:rStyle w:val="VerbatimChar"/>
        </w:rPr>
        <w:t xml:space="preserve">Get-StorageQosVolume | Format-List IOPS, Latency, Reservation, Limit,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Policy-Typ</w:t>
            </w:r>
          </w:p>
        </w:tc>
        <w:tc>
          <w:tcPr/>
          <w:p>
            <w:pPr>
              <w:pStyle w:val="Compact"/>
            </w:pPr>
            <w:r>
              <w:t xml:space="preserve">Verhalten</w:t>
            </w:r>
          </w:p>
        </w:tc>
        <w:tc>
          <w:tcPr/>
          <w:p>
            <w:pPr>
              <w:pStyle w:val="Compact"/>
            </w:pPr>
            <w:r>
              <w:t xml:space="preserve">Einsatz</w:t>
            </w:r>
          </w:p>
        </w:tc>
      </w:tr>
      <w:tr>
        <w:tc>
          <w:tcPr/>
          <w:p>
            <w:pPr>
              <w:pStyle w:val="Compact"/>
            </w:pPr>
            <w:r>
              <w:rPr>
                <w:b/>
                <w:bCs/>
              </w:rPr>
              <w:t xml:space="preserve">Dedicated</w:t>
            </w:r>
          </w:p>
        </w:tc>
        <w:tc>
          <w:tcPr/>
          <w:p>
            <w:pPr>
              <w:pStyle w:val="Compact"/>
            </w:pPr>
            <w:r>
              <w:t xml:space="preserve">Jede VM/VHD bekommt eigene Min/Max-IOPS</w:t>
            </w:r>
          </w:p>
        </w:tc>
        <w:tc>
          <w:tcPr/>
          <w:p>
            <w:pPr>
              <w:pStyle w:val="Compact"/>
            </w:pPr>
            <w:r>
              <w:t xml:space="preserve">Produktions-VMs mit SLA</w:t>
            </w:r>
          </w:p>
        </w:tc>
      </w:tr>
      <w:tr>
        <w:tc>
          <w:tcPr/>
          <w:p>
            <w:pPr>
              <w:pStyle w:val="Compact"/>
            </w:pPr>
            <w:r>
              <w:rPr>
                <w:b/>
                <w:bCs/>
              </w:rPr>
              <w:t xml:space="preserve">Aggregated</w:t>
            </w:r>
          </w:p>
        </w:tc>
        <w:tc>
          <w:tcPr/>
          <w:p>
            <w:pPr>
              <w:pStyle w:val="Compact"/>
            </w:pPr>
            <w:r>
              <w:t xml:space="preserve">Alle zugewiesenen VMs teilen Min/Max</w:t>
            </w:r>
          </w:p>
        </w:tc>
        <w:tc>
          <w:tcPr/>
          <w:p>
            <w:pPr>
              <w:pStyle w:val="Compact"/>
            </w:pPr>
            <w:r>
              <w:t xml:space="preserve">VDI-Pools, Entwicklungsumgebungen</w:t>
            </w:r>
          </w:p>
        </w:tc>
      </w:tr>
    </w:tbl>
    <w:bookmarkEnd w:id="117"/>
    <w:bookmarkEnd w:id="118"/>
    <w:bookmarkStart w:id="119" w:name="csv-in-memory-read-cache"/>
    <w:p>
      <w:pPr>
        <w:pStyle w:val="Heading2"/>
      </w:pPr>
      <w:r>
        <w:rPr>
          <w:rStyle w:val="SectionNumber"/>
        </w:rPr>
        <w:t xml:space="preserve">19.2</w:t>
      </w:r>
      <w:r>
        <w:tab/>
      </w:r>
      <w:r>
        <w:t xml:space="preserve">CSV In-Memory Read Cache</w:t>
      </w:r>
    </w:p>
    <w:p>
      <w:pPr>
        <w:pStyle w:val="FirstParagraph"/>
      </w:pPr>
      <w:r>
        <w:t xml:space="preserve">Der</w:t>
      </w:r>
      <w:r>
        <w:t xml:space="preserve"> </w:t>
      </w:r>
      <w:r>
        <w:rPr>
          <w:b/>
          <w:bCs/>
        </w:rPr>
        <w:t xml:space="preserve">CSV In-Memory Read Cache</w:t>
      </w:r>
      <w:r>
        <w:t xml:space="preserve"> </w:t>
      </w:r>
      <w:r>
        <w:t xml:space="preserve">nutzt Systemspeicher (RAM) als Block-Level-Lese-Cache für ungepufferte Leseoperationen. Dies verbessert die Performance bei IO-intensiven Workloads erheblich, insbesondere bei Hyper-V und Scale-Out File Server [4].</w:t>
      </w:r>
    </w:p>
    <w:p>
      <w:pPr>
        <w:pStyle w:val="SourceCode"/>
        <w:keepLines/>
        <w:keepNext/>
      </w:pPr>
      <w:r>
        <w:rPr>
          <w:rStyle w:val="VerbatimChar"/>
        </w:rPr>
        <w:t xml:space="preserve"># CSV-Cache aktivieren (Beispiel: 2 GB pro Server)</w:t>
      </w:r>
    </w:p>
    <w:p>
      <w:pPr>
        <w:pStyle w:val="SourceCode"/>
        <w:keepLines/>
        <w:keepNext/>
      </w:pPr>
      <w:r>
        <w:rPr>
          <w:rStyle w:val="VerbatimChar"/>
        </w:rPr>
        <w:t xml:space="preserve">$ClusterName = "S2DCluster"</w:t>
      </w:r>
    </w:p>
    <w:p>
      <w:pPr>
        <w:pStyle w:val="SourceCode"/>
        <w:keepLines/>
        <w:keepNext/>
      </w:pPr>
      <w:r>
        <w:rPr>
          <w:rStyle w:val="VerbatimChar"/>
        </w:rPr>
        <w:t xml:space="preserve">(Get-Cluster $ClusterName).BlockCacheSize = 2048</w:t>
      </w:r>
    </w:p>
    <w:p>
      <w:pPr>
        <w:pStyle w:val="SourceCode"/>
        <w:keepLines/>
        <w:keepNext/>
      </w:pPr>
      <w:r>
        <w:rPr>
          <w:rStyle w:val="VerbatimChar"/>
        </w:rPr>
        <w:t xml:space="preserve"/>
      </w:r>
    </w:p>
    <w:p>
      <w:pPr>
        <w:pStyle w:val="SourceCode"/>
        <w:keepLines/>
        <w:keepNext/>
      </w:pPr>
      <w:r>
        <w:rPr>
          <w:rStyle w:val="VerbatimChar"/>
        </w:rPr>
        <w:t xml:space="preserve"># Aktuellen Cache-Status prüfen</w:t>
      </w:r>
    </w:p>
    <w:p>
      <w:pPr>
        <w:pStyle w:val="SourceCode"/>
        <w:keepLines/>
      </w:pPr>
      <w:r>
        <w:rPr>
          <w:rStyle w:val="VerbatimChar"/>
        </w:rPr>
        <w:t xml:space="preserve">(Get-Cluster $ClusterName).BlockCacheSize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Empfehlung</w:t>
            </w:r>
          </w:p>
        </w:tc>
      </w:tr>
      <w:tr>
        <w:tc>
          <w:tcPr/>
          <w:p>
            <w:pPr>
              <w:pStyle w:val="Compact"/>
            </w:pPr>
            <w:r>
              <w:t xml:space="preserve">Größe</w:t>
            </w:r>
          </w:p>
        </w:tc>
        <w:tc>
          <w:tcPr/>
          <w:p>
            <w:pPr>
              <w:pStyle w:val="Compact"/>
            </w:pPr>
            <w:r>
              <w:t xml:space="preserve">1–4 GB pro Server (abhängig vom verfügbaren RAM)</w:t>
            </w:r>
          </w:p>
        </w:tc>
      </w:tr>
      <w:tr>
        <w:tc>
          <w:tcPr/>
          <w:p>
            <w:pPr>
              <w:pStyle w:val="Compact"/>
            </w:pPr>
            <w:r>
              <w:t xml:space="preserve">Workload-Typ</w:t>
            </w:r>
          </w:p>
        </w:tc>
        <w:tc>
          <w:tcPr/>
          <w:p>
            <w:pPr>
              <w:pStyle w:val="Compact"/>
            </w:pPr>
            <w:r>
              <w:t xml:space="preserve">Besonders effektiv für read-intensive Workloads (VDI, File Server)</w:t>
            </w:r>
          </w:p>
        </w:tc>
      </w:tr>
      <w:tr>
        <w:tc>
          <w:tcPr/>
          <w:p>
            <w:pPr>
              <w:pStyle w:val="Compact"/>
            </w:pPr>
            <w:r>
              <w:t xml:space="preserve">Trade-off</w:t>
            </w:r>
          </w:p>
        </w:tc>
        <w:tc>
          <w:tcPr/>
          <w:p>
            <w:pPr>
              <w:pStyle w:val="Compact"/>
            </w:pPr>
            <w:r>
              <w:t xml:space="preserve">Reduziert den für VMs verfügbaren RAM — Balance zwischen Cache- und VM-Bedarf finden</w:t>
            </w:r>
          </w:p>
        </w:tc>
      </w:tr>
      <w:tr>
        <w:tc>
          <w:tcPr/>
          <w:p>
            <w:pPr>
              <w:pStyle w:val="Compact"/>
            </w:pPr>
            <w:r>
              <w:t xml:space="preserve">Aktivierung</w:t>
            </w:r>
          </w:p>
        </w:tc>
        <w:tc>
          <w:tcPr/>
          <w:p>
            <w:pPr>
              <w:pStyle w:val="Compact"/>
            </w:pPr>
            <w:r>
              <w:t xml:space="preserve">Sofort wirksam, kein Neustart erforderlich</w:t>
            </w:r>
          </w:p>
        </w:tc>
      </w:tr>
    </w:tbl>
    <w:p>
      <w:pPr>
        <w:pStyle w:val="BlockText"/>
      </w:pPr>
      <w:r>
        <w:rPr>
          <w:b/>
          <w:bCs/>
        </w:rPr>
        <w:t xml:space="preserve">Hinweis</w:t>
      </w:r>
      <w:r>
        <w:t xml:space="preserve">: Der CSV-Cache ersetzt nicht den S2D Storage Bus Cache (NVMe/SSD als Cache-Tier), sondern ergänzt ihn. Der Storage Bus Cache arbeitet auf Blockgeräte-Ebene, der CSV-Cache auf Dateisystem-Ebene [4].</w:t>
      </w:r>
    </w:p>
    <w:bookmarkEnd w:id="119"/>
    <w:bookmarkEnd w:id="120"/>
    <w:bookmarkStart w:id="125" w:name="häufige-fehler-und-troubleshooting"/>
    <w:p>
      <w:pPr>
        <w:pStyle w:val="Heading1"/>
      </w:pPr>
      <w:r>
        <w:rPr>
          <w:rStyle w:val="SectionNumber"/>
        </w:rPr>
        <w:t xml:space="preserve">20</w:t>
      </w:r>
      <w:r>
        <w:tab/>
      </w:r>
      <w:r>
        <w:t xml:space="preserve">Häufige Fehler und Troubleshooting</w:t>
      </w:r>
    </w:p>
    <w:bookmarkStart w:id="121" w:name="häufige-fehler-beim-setup"/>
    <w:p>
      <w:pPr>
        <w:pStyle w:val="Heading2"/>
      </w:pPr>
      <w:r>
        <w:rPr>
          <w:rStyle w:val="SectionNumber"/>
        </w:rPr>
        <w:t xml:space="preserve">20.1</w:t>
      </w:r>
      <w:r>
        <w:tab/>
      </w:r>
      <w:r>
        <w:t xml:space="preserve">Häufige Fehler beim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Fehler</w:t>
            </w:r>
          </w:p>
        </w:tc>
        <w:tc>
          <w:tcPr/>
          <w:p>
            <w:pPr>
              <w:pStyle w:val="Compact"/>
            </w:pPr>
            <w:r>
              <w:t xml:space="preserve">Ursache</w:t>
            </w:r>
          </w:p>
        </w:tc>
        <w:tc>
          <w:tcPr/>
          <w:p>
            <w:pPr>
              <w:pStyle w:val="Compact"/>
            </w:pPr>
            <w:r>
              <w:t xml:space="preserve">Lösung</w:t>
            </w:r>
          </w:p>
        </w:tc>
      </w:tr>
      <w:tr>
        <w:tc>
          <w:tcPr/>
          <w:p>
            <w:pPr>
              <w:pStyle w:val="Compact"/>
            </w:pPr>
            <w:r>
              <w:t xml:space="preserve">Clustervalidierung schlägt bei „Storage Spaces Direct” fehl</w:t>
            </w:r>
          </w:p>
        </w:tc>
        <w:tc>
          <w:tcPr/>
          <w:p>
            <w:pPr>
              <w:pStyle w:val="Compact"/>
            </w:pPr>
            <w:r>
              <w:t xml:space="preserve">Inkompatible oder nicht unterstützte Laufwerke</w:t>
            </w:r>
          </w:p>
        </w:tc>
        <w:tc>
          <w:tcPr/>
          <w:p>
            <w:pPr>
              <w:pStyle w:val="Compact"/>
            </w:pPr>
            <w:r>
              <w:t xml:space="preserve">Laufwerke auf Windows Server Catalog prüfen; RAID-Controller deaktivieren oder im Pass-Through-Modus betreiben</w:t>
            </w:r>
          </w:p>
        </w:tc>
      </w:tr>
      <w:tr>
        <w:tc>
          <w:tcPr/>
          <w:p>
            <w:pPr>
              <w:pStyle w:val="Compact"/>
            </w:pPr>
            <w:r>
              <w:rPr>
                <w:rStyle w:val="VerbatimChar"/>
              </w:rPr>
              <w:t xml:space="preserve">Enable-ClusterStorageSpacesDirect</w:t>
            </w:r>
            <w:r>
              <w:t xml:space="preserve"> </w:t>
            </w:r>
            <w:r>
              <w:t xml:space="preserve">scheitert</w:t>
            </w:r>
          </w:p>
        </w:tc>
        <w:tc>
          <w:tcPr/>
          <w:p>
            <w:pPr>
              <w:pStyle w:val="Compact"/>
            </w:pPr>
            <w:r>
              <w:t xml:space="preserve">Heterogene Laufwerkskonfiguration oder noch vorhandene Partitionen</w:t>
            </w:r>
          </w:p>
        </w:tc>
        <w:tc>
          <w:tcPr/>
          <w:p>
            <w:pPr>
              <w:pStyle w:val="Compact"/>
            </w:pPr>
            <w:r>
              <w:t xml:space="preserve">Laufwerkssymmetrie sicherstellen; alle Nicht-Boot-Laufwerke mit</w:t>
            </w:r>
            <w:r>
              <w:t xml:space="preserve"> </w:t>
            </w:r>
            <w:r>
              <w:rPr>
                <w:rStyle w:val="VerbatimChar"/>
              </w:rPr>
              <w:t xml:space="preserve">Clear-Disk</w:t>
            </w:r>
            <w:r>
              <w:t xml:space="preserve"> </w:t>
            </w:r>
            <w:r>
              <w:t xml:space="preserve">bereinigen</w:t>
            </w:r>
          </w:p>
        </w:tc>
      </w:tr>
      <w:tr>
        <w:tc>
          <w:tcPr/>
          <w:p>
            <w:pPr>
              <w:pStyle w:val="Compact"/>
            </w:pPr>
            <w:r>
              <w:t xml:space="preserve">RDMA funktioniert nicht</w:t>
            </w:r>
          </w:p>
        </w:tc>
        <w:tc>
          <w:tcPr/>
          <w:p>
            <w:pPr>
              <w:pStyle w:val="Compact"/>
            </w:pPr>
            <w:r>
              <w:t xml:space="preserve">Falsche Treiber, SET nicht konfiguriert, VLAN-Mismatch</w:t>
            </w:r>
          </w:p>
        </w:tc>
        <w:tc>
          <w:tcPr/>
          <w:p>
            <w:pPr>
              <w:pStyle w:val="Compact"/>
            </w:pPr>
            <w:r>
              <w:t xml:space="preserve">NIC-Treiber aktualisieren; SET statt LBFO verwenden; VLAN-Konfiguration auf allen Knoten und Switches prüfen</w:t>
            </w:r>
          </w:p>
        </w:tc>
      </w:tr>
      <w:tr>
        <w:tc>
          <w:tcPr/>
          <w:p>
            <w:pPr>
              <w:pStyle w:val="Compact"/>
            </w:pPr>
            <w:r>
              <w:t xml:space="preserve">Cluster-Erstellung schlägt fehl</w:t>
            </w:r>
          </w:p>
        </w:tc>
        <w:tc>
          <w:tcPr/>
          <w:p>
            <w:pPr>
              <w:pStyle w:val="Compact"/>
            </w:pPr>
            <w:r>
              <w:t xml:space="preserve">DNS-Probleme, Name bereits vergeben, Firewall blockiert</w:t>
            </w:r>
          </w:p>
        </w:tc>
        <w:tc>
          <w:tcPr/>
          <w:p>
            <w:pPr>
              <w:pStyle w:val="Compact"/>
            </w:pPr>
            <w:r>
              <w:t xml:space="preserve">DNS-Auflösung prüfen; eindeutigen Clusternamen wählen; Firewall-Regeln für Failover Clustering prüfen</w:t>
            </w:r>
          </w:p>
        </w:tc>
      </w:tr>
      <w:tr>
        <w:tc>
          <w:tcPr/>
          <w:p>
            <w:pPr>
              <w:pStyle w:val="Compact"/>
            </w:pPr>
            <w:r>
              <w:t xml:space="preserve">Volumes werden nicht erstellt</w:t>
            </w:r>
          </w:p>
        </w:tc>
        <w:tc>
          <w:tcPr/>
          <w:p>
            <w:pPr>
              <w:pStyle w:val="Compact"/>
            </w:pPr>
            <w:r>
              <w:t xml:space="preserve">Unzureichende Kapazität im Pool oder zu wenige Fault Domains</w:t>
            </w:r>
          </w:p>
        </w:tc>
        <w:tc>
          <w:tcPr/>
          <w:p>
            <w:pPr>
              <w:pStyle w:val="Compact"/>
            </w:pPr>
            <w:r>
              <w:t xml:space="preserve">Pool-Kapazität mit</w:t>
            </w:r>
            <w:r>
              <w:t xml:space="preserve"> </w:t>
            </w:r>
            <w:r>
              <w:rPr>
                <w:rStyle w:val="VerbatimChar"/>
              </w:rPr>
              <w:t xml:space="preserve">Get-StoragePool</w:t>
            </w:r>
            <w:r>
              <w:t xml:space="preserve"> </w:t>
            </w:r>
            <w:r>
              <w:t xml:space="preserve">prüfen; Fault-Domain-Anzahl gegen Resilienz-Anforderungen prüfen</w:t>
            </w:r>
          </w:p>
        </w:tc>
      </w:tr>
      <w:tr>
        <w:tc>
          <w:tcPr/>
          <w:p>
            <w:pPr>
              <w:pStyle w:val="Compact"/>
            </w:pPr>
            <w:r>
              <w:t xml:space="preserve">Performance-Probleme</w:t>
            </w:r>
          </w:p>
        </w:tc>
        <w:tc>
          <w:tcPr/>
          <w:p>
            <w:pPr>
              <w:pStyle w:val="Compact"/>
            </w:pPr>
            <w:r>
              <w:t xml:space="preserve">Fehlende RDMA-Konfiguration, Jumbo Frames Mismatch, asymmetrische Bandbreite</w:t>
            </w:r>
          </w:p>
        </w:tc>
        <w:tc>
          <w:tcPr/>
          <w:p>
            <w:pPr>
              <w:pStyle w:val="Compact"/>
            </w:pPr>
            <w:r>
              <w:t xml:space="preserve">RDMA-Status mit</w:t>
            </w:r>
            <w:r>
              <w:t xml:space="preserve"> </w:t>
            </w:r>
            <w:r>
              <w:rPr>
                <w:rStyle w:val="VerbatimChar"/>
              </w:rPr>
              <w:t xml:space="preserve">Get-NetAdapterRDMA</w:t>
            </w:r>
            <w:r>
              <w:t xml:space="preserve"> </w:t>
            </w:r>
            <w:r>
              <w:t xml:space="preserve">prüfen; MTU Ende-zu-Ende validieren</w:t>
            </w:r>
          </w:p>
        </w:tc>
      </w:tr>
    </w:tbl>
    <w:bookmarkEnd w:id="121"/>
    <w:bookmarkStart w:id="122" w:name="clustervalidierung-fehlgeschlagen"/>
    <w:p>
      <w:pPr>
        <w:pStyle w:val="Heading2"/>
      </w:pPr>
      <w:r>
        <w:rPr>
          <w:rStyle w:val="SectionNumber"/>
        </w:rPr>
        <w:t xml:space="preserve">20.2</w:t>
      </w:r>
      <w:r>
        <w:tab/>
      </w:r>
      <w:r>
        <w:t xml:space="preserve">Clustervalidierung fehlgeschlagen</w:t>
      </w:r>
    </w:p>
    <w:p>
      <w:pPr>
        <w:pStyle w:val="SourceCode"/>
        <w:keepLines/>
        <w:keepNext/>
      </w:pPr>
      <w:r>
        <w:rPr>
          <w:rStyle w:val="VerbatimChar"/>
        </w:rPr>
        <w:t xml:space="preserve"># Validierungsbericht anzeigen (Pfad wird nach Test-Cluster ausgegeben)</w:t>
      </w:r>
    </w:p>
    <w:p>
      <w:pPr>
        <w:pStyle w:val="SourceCode"/>
        <w:keepLines/>
        <w:keepNext/>
      </w:pPr>
      <w:r>
        <w:rPr>
          <w:rStyle w:val="VerbatimChar"/>
        </w:rPr>
        <w:t xml:space="preserve"># Standardpfad: C:\Users\&lt;User&gt;\AppData\Local\Temp\</w:t>
      </w:r>
    </w:p>
    <w:p>
      <w:pPr>
        <w:pStyle w:val="SourceCode"/>
        <w:keepLines/>
        <w:keepNext/>
      </w:pPr>
      <w:r>
        <w:rPr>
          <w:rStyle w:val="VerbatimChar"/>
        </w:rPr>
        <w:t xml:space="preserve">Get-ChildItem "$env:TEMP\Validation Report*.htm" |</w:t>
      </w:r>
    </w:p>
    <w:p>
      <w:pPr>
        <w:pStyle w:val="SourceCode"/>
        <w:keepLines/>
        <w:keepNext/>
      </w:pPr>
      <w:r>
        <w:rPr>
          <w:rStyle w:val="VerbatimChar"/>
        </w:rPr>
        <w:t xml:space="preserve">    Sort-Object LastWriteTime -Descending |</w:t>
      </w:r>
    </w:p>
    <w:p>
      <w:pPr>
        <w:pStyle w:val="SourceCode"/>
        <w:keepLines/>
        <w:keepNext/>
      </w:pPr>
      <w:r>
        <w:rPr>
          <w:rStyle w:val="VerbatimChar"/>
        </w:rPr>
        <w:t xml:space="preserve">    Select-Object -First 1 |</w:t>
      </w:r>
    </w:p>
    <w:p>
      <w:pPr>
        <w:pStyle w:val="SourceCode"/>
        <w:keepLines/>
      </w:pPr>
      <w:r>
        <w:rPr>
          <w:rStyle w:val="VerbatimChar"/>
        </w:rPr>
        <w:t xml:space="preserve">    Invoke-Item</w:t>
      </w:r>
    </w:p>
    <w:bookmarkEnd w:id="122"/>
    <w:bookmarkStart w:id="123" w:name="laufwerke-werden-nicht-erkannt"/>
    <w:p>
      <w:pPr>
        <w:pStyle w:val="Heading2"/>
      </w:pPr>
      <w:r>
        <w:rPr>
          <w:rStyle w:val="SectionNumber"/>
        </w:rPr>
        <w:t xml:space="preserve">20.3</w:t>
      </w:r>
      <w:r>
        <w:tab/>
      </w:r>
      <w:r>
        <w:t xml:space="preserve">Laufwerke werden nicht erkannt</w:t>
      </w:r>
    </w:p>
    <w:p>
      <w:pPr>
        <w:pStyle w:val="SourceCode"/>
        <w:keepLines/>
        <w:keepNext/>
      </w:pPr>
      <w:r>
        <w:rPr>
          <w:rStyle w:val="VerbatimChar"/>
        </w:rPr>
        <w:t xml:space="preserve"># Physische Laufwerke und deren Status prüfen</w:t>
      </w:r>
    </w:p>
    <w:p>
      <w:pPr>
        <w:pStyle w:val="SourceCode"/>
        <w:keepLines/>
        <w:keepNext/>
      </w:pPr>
      <w:r>
        <w:rPr>
          <w:rStyle w:val="VerbatimChar"/>
        </w:rPr>
        <w:t xml:space="preserve">Get-PhysicalDisk | Format-Table FriendlyName, SerialNumber, MediaType,</w:t>
      </w:r>
    </w:p>
    <w:p>
      <w:pPr>
        <w:pStyle w:val="SourceCode"/>
        <w:keepLines/>
        <w:keepNext/>
      </w:pPr>
      <w:r>
        <w:rPr>
          <w:rStyle w:val="VerbatimChar"/>
        </w:rPr>
        <w:t xml:space="preserve">    CanPool, OperationalStatus, HealthStatus, Usage -AutoSize</w:t>
      </w:r>
    </w:p>
    <w:p>
      <w:pPr>
        <w:pStyle w:val="SourceCode"/>
        <w:keepLines/>
        <w:keepNext/>
      </w:pPr>
      <w:r>
        <w:rPr>
          <w:rStyle w:val="VerbatimChar"/>
        </w:rPr>
        <w:t xml:space="preserve"/>
      </w:r>
    </w:p>
    <w:p>
      <w:pPr>
        <w:pStyle w:val="SourceCode"/>
        <w:keepLines/>
        <w:keepNext/>
      </w:pPr>
      <w:r>
        <w:rPr>
          <w:rStyle w:val="VerbatimChar"/>
        </w:rPr>
        <w:t xml:space="preserve"># Laufwerke, die dem Pool beitreten können</w:t>
      </w:r>
    </w:p>
    <w:p>
      <w:pPr>
        <w:pStyle w:val="SourceCode"/>
        <w:keepLines/>
      </w:pPr>
      <w:r>
        <w:rPr>
          <w:rStyle w:val="VerbatimChar"/>
        </w:rPr>
        <w:t xml:space="preserve">Get-PhysicalDisk -CanPool $true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Bedeutung</w:t>
            </w:r>
          </w:p>
        </w:tc>
        <w:tc>
          <w:tcPr/>
          <w:p>
            <w:pPr>
              <w:pStyle w:val="Compact"/>
            </w:pPr>
            <w:r>
              <w:t xml:space="preserve">Aktion</w:t>
            </w:r>
          </w:p>
        </w:tc>
      </w:tr>
      <w:tr>
        <w:tc>
          <w:tcPr/>
          <w:p>
            <w:pPr>
              <w:pStyle w:val="Compact"/>
            </w:pPr>
            <w:r>
              <w:rPr>
                <w:rStyle w:val="VerbatimChar"/>
              </w:rPr>
              <w:t xml:space="preserve">CanPool = False</w:t>
            </w:r>
          </w:p>
        </w:tc>
        <w:tc>
          <w:tcPr/>
          <w:p>
            <w:pPr>
              <w:pStyle w:val="Compact"/>
            </w:pPr>
            <w:r>
              <w:t xml:space="preserve">Laufwerk kann nicht dem Pool beitreten</w:t>
            </w:r>
          </w:p>
        </w:tc>
        <w:tc>
          <w:tcPr/>
          <w:p>
            <w:pPr>
              <w:pStyle w:val="Compact"/>
            </w:pPr>
            <w:r>
              <w:t xml:space="preserve">Prüfen, ob Partitionen/Daten vorhanden sind;</w:t>
            </w:r>
            <w:r>
              <w:t xml:space="preserve"> </w:t>
            </w:r>
            <w:r>
              <w:rPr>
                <w:rStyle w:val="VerbatimChar"/>
              </w:rPr>
              <w:t xml:space="preserve">Clear-Disk</w:t>
            </w:r>
            <w:r>
              <w:t xml:space="preserve"> </w:t>
            </w:r>
            <w:r>
              <w:t xml:space="preserve">ausführen</w:t>
            </w:r>
          </w:p>
        </w:tc>
      </w:tr>
      <w:tr>
        <w:tc>
          <w:tcPr/>
          <w:p>
            <w:pPr>
              <w:pStyle w:val="Compact"/>
            </w:pPr>
            <w:r>
              <w:rPr>
                <w:rStyle w:val="VerbatimChar"/>
              </w:rPr>
              <w:t xml:space="preserve">OperationalStatus = Lost Communication</w:t>
            </w:r>
          </w:p>
        </w:tc>
        <w:tc>
          <w:tcPr/>
          <w:p>
            <w:pPr>
              <w:pStyle w:val="Compact"/>
            </w:pPr>
            <w:r>
              <w:t xml:space="preserve">Verbindung zum Laufwerk verloren</w:t>
            </w:r>
          </w:p>
        </w:tc>
        <w:tc>
          <w:tcPr/>
          <w:p>
            <w:pPr>
              <w:pStyle w:val="Compact"/>
            </w:pPr>
            <w:r>
              <w:t xml:space="preserve">Kabelverbindung und HBA prüfen</w:t>
            </w:r>
          </w:p>
        </w:tc>
      </w:tr>
      <w:tr>
        <w:tc>
          <w:tcPr/>
          <w:p>
            <w:pPr>
              <w:pStyle w:val="Compact"/>
            </w:pPr>
            <w:r>
              <w:rPr>
                <w:rStyle w:val="VerbatimChar"/>
              </w:rPr>
              <w:t xml:space="preserve">HealthStatus = Unhealthy</w:t>
            </w:r>
          </w:p>
        </w:tc>
        <w:tc>
          <w:tcPr/>
          <w:p>
            <w:pPr>
              <w:pStyle w:val="Compact"/>
            </w:pPr>
            <w:r>
              <w:t xml:space="preserve">Laufwerk defekt</w:t>
            </w:r>
          </w:p>
        </w:tc>
        <w:tc>
          <w:tcPr/>
          <w:p>
            <w:pPr>
              <w:pStyle w:val="Compact"/>
            </w:pPr>
            <w:r>
              <w:t xml:space="preserve">Laufwerk austauschen</w:t>
            </w:r>
          </w:p>
        </w:tc>
      </w:tr>
    </w:tbl>
    <w:bookmarkEnd w:id="123"/>
    <w:bookmarkStart w:id="124" w:name="netzwerk-troubleshooting"/>
    <w:p>
      <w:pPr>
        <w:pStyle w:val="Heading2"/>
      </w:pPr>
      <w:r>
        <w:rPr>
          <w:rStyle w:val="SectionNumber"/>
        </w:rPr>
        <w:t xml:space="preserve">20.4</w:t>
      </w:r>
      <w:r>
        <w:tab/>
      </w:r>
      <w:r>
        <w:t xml:space="preserve">Netzwerk-Troubleshooting</w:t>
      </w:r>
    </w:p>
    <w:p>
      <w:pPr>
        <w:pStyle w:val="SourceCode"/>
        <w:keepLines/>
        <w:keepNext/>
      </w:pPr>
      <w:r>
        <w:rPr>
          <w:rStyle w:val="VerbatimChar"/>
        </w:rPr>
        <w:t xml:space="preserve"># RDMA-Konnektivität testen</w:t>
      </w:r>
    </w:p>
    <w:p>
      <w:pPr>
        <w:pStyle w:val="SourceCode"/>
        <w:keepLines/>
        <w:keepNext/>
      </w:pPr>
      <w:r>
        <w:rPr>
          <w:rStyle w:val="VerbatimChar"/>
        </w:rPr>
        <w:t xml:space="preserve">Test-NetConnection -ComputerName Node02 -Port 445</w:t>
      </w:r>
    </w:p>
    <w:p>
      <w:pPr>
        <w:pStyle w:val="SourceCode"/>
        <w:keepLines/>
        <w:keepNext/>
      </w:pPr>
      <w:r>
        <w:rPr>
          <w:rStyle w:val="VerbatimChar"/>
        </w:rPr>
        <w:t xml:space="preserve"/>
      </w:r>
    </w:p>
    <w:p>
      <w:pPr>
        <w:pStyle w:val="SourceCode"/>
        <w:keepLines/>
        <w:keepNext/>
      </w:pPr>
      <w:r>
        <w:rPr>
          <w:rStyle w:val="VerbatimChar"/>
        </w:rPr>
        <w:t xml:space="preserve"># SMB Direct Status prüfen</w:t>
      </w:r>
    </w:p>
    <w:p>
      <w:pPr>
        <w:pStyle w:val="SourceCode"/>
        <w:keepLines/>
        <w:keepNext/>
      </w:pPr>
      <w:r>
        <w:rPr>
          <w:rStyle w:val="VerbatimChar"/>
        </w:rPr>
        <w:t xml:space="preserve">Get-SmbConnection | Select-Object ServerName, ShareName, Dialect, RdmaTransport</w:t>
      </w:r>
    </w:p>
    <w:p>
      <w:pPr>
        <w:pStyle w:val="SourceCode"/>
        <w:keepLines/>
        <w:keepNext/>
      </w:pPr>
      <w:r>
        <w:rPr>
          <w:rStyle w:val="VerbatimChar"/>
        </w:rPr>
        <w:t xml:space="preserve"/>
      </w:r>
    </w:p>
    <w:p>
      <w:pPr>
        <w:pStyle w:val="SourceCode"/>
        <w:keepLines/>
        <w:keepNext/>
      </w:pPr>
      <w:r>
        <w:rPr>
          <w:rStyle w:val="VerbatimChar"/>
        </w:rPr>
        <w:t xml:space="preserve"># SMB Multichannel prüfen</w:t>
      </w:r>
    </w:p>
    <w:p>
      <w:pPr>
        <w:pStyle w:val="SourceCode"/>
        <w:keepLines/>
      </w:pPr>
      <w:r>
        <w:rPr>
          <w:rStyle w:val="VerbatimChar"/>
        </w:rPr>
        <w:t xml:space="preserve">Get-SmbMultichannelConnection</w:t>
      </w:r>
    </w:p>
    <w:bookmarkEnd w:id="124"/>
    <w:bookmarkEnd w:id="125"/>
    <w:bookmarkStart w:id="129" w:name="quellenverzeichnis-1"/>
    <w:p>
      <w:pPr>
        <w:pStyle w:val="Heading1"/>
      </w:pPr>
      <w:r>
        <w:rPr>
          <w:rStyle w:val="SectionNumber"/>
        </w:rPr>
        <w:t xml:space="preserve">21</w:t>
      </w:r>
      <w:r>
        <w:tab/>
      </w:r>
      <w:r>
        <w:t xml:space="preserve">Quellenverzeichnis</w:t>
      </w:r>
    </w:p>
    <w:p>
      <w:pPr>
        <w:numPr>
          <w:ilvl w:val="0"/>
          <w:numId w:val="1006"/>
        </w:numPr>
      </w:pPr>
      <w:r>
        <w:rPr>
          <w:b/>
          <w:bCs/>
        </w:rPr>
        <w:t xml:space="preserve">Microsoft Learn</w:t>
      </w:r>
      <w:r>
        <w:t xml:space="preserve"> </w:t>
      </w:r>
      <w:r>
        <w:t xml:space="preserve">— „Storage Spaces Direct overview”</w:t>
      </w:r>
      <w:r>
        <w:br/>
      </w:r>
      <w:hyperlink r:id="rId42">
        <w:r>
          <w:rPr>
            <w:rStyle w:val="Hyperlink"/>
          </w:rPr>
          <w:t xml:space="preserve">https://learn.microsoft.com/en-us/windows-server/storage/storage-spaces/storage-spaces-direct-overview</w:t>
        </w:r>
      </w:hyperlink>
      <w:r>
        <w:br/>
      </w:r>
      <w:r>
        <w:t xml:space="preserve">Abgerufen: 20. April 2026</w:t>
      </w:r>
    </w:p>
    <w:p>
      <w:pPr>
        <w:numPr>
          <w:ilvl w:val="0"/>
          <w:numId w:val="1006"/>
        </w:numPr>
      </w:pPr>
      <w:r>
        <w:rPr>
          <w:b/>
          <w:bCs/>
        </w:rPr>
        <w:t xml:space="preserve">Microsoft Learn</w:t>
      </w:r>
      <w:r>
        <w:t xml:space="preserve"> </w:t>
      </w:r>
      <w:r>
        <w:t xml:space="preserve">— „Storage Spaces Direct hardware requirements in Windows Server”</w:t>
      </w:r>
      <w:r>
        <w:br/>
      </w:r>
      <w:hyperlink r:id="rId43">
        <w:r>
          <w:rPr>
            <w:rStyle w:val="Hyperlink"/>
          </w:rPr>
          <w:t xml:space="preserve">https://learn.microsoft.com/en-us/windows-server/storage/storage-spaces/storage-spaces-direct-hardware-requirements</w:t>
        </w:r>
      </w:hyperlink>
      <w:r>
        <w:br/>
      </w:r>
      <w:r>
        <w:t xml:space="preserve">Abgerufen: 20. April 2026</w:t>
      </w:r>
    </w:p>
    <w:p>
      <w:pPr>
        <w:numPr>
          <w:ilvl w:val="0"/>
          <w:numId w:val="1006"/>
        </w:numPr>
      </w:pPr>
      <w:r>
        <w:rPr>
          <w:b/>
          <w:bCs/>
        </w:rPr>
        <w:t xml:space="preserve">Microsoft Learn</w:t>
      </w:r>
      <w:r>
        <w:t xml:space="preserve"> </w:t>
      </w:r>
      <w:r>
        <w:t xml:space="preserve">— „Understanding the storage pool cache”</w:t>
      </w:r>
      <w:r>
        <w:br/>
      </w:r>
      <w:hyperlink r:id="rId126">
        <w:r>
          <w:rPr>
            <w:rStyle w:val="Hyperlink"/>
          </w:rPr>
          <w:t xml:space="preserve">https://learn.microsoft.com/en-us/azure/azure-local/concepts/cache</w:t>
        </w:r>
      </w:hyperlink>
      <w:r>
        <w:br/>
      </w:r>
      <w:r>
        <w:t xml:space="preserve">Abgerufen: 20. April 2026</w:t>
      </w:r>
    </w:p>
    <w:p>
      <w:pPr>
        <w:numPr>
          <w:ilvl w:val="0"/>
          <w:numId w:val="1006"/>
        </w:numPr>
      </w:pPr>
      <w:r>
        <w:rPr>
          <w:b/>
          <w:bCs/>
        </w:rPr>
        <w:t xml:space="preserve">Microsoft Learn</w:t>
      </w:r>
      <w:r>
        <w:t xml:space="preserve"> </w:t>
      </w:r>
      <w:r>
        <w:t xml:space="preserve">— „Deploy Storage Spaces Direct on Windows Server”</w:t>
      </w:r>
      <w:r>
        <w:br/>
      </w:r>
      <w:hyperlink r:id="rId127">
        <w:r>
          <w:rPr>
            <w:rStyle w:val="Hyperlink"/>
          </w:rPr>
          <w:t xml:space="preserve">https://learn.microsoft.com/en-us/windows-server/storage/storage-spaces/deploy-storage-spaces-direct</w:t>
        </w:r>
      </w:hyperlink>
      <w:r>
        <w:br/>
      </w:r>
      <w:r>
        <w:t xml:space="preserve">Abgerufen: 20. April 2026</w:t>
      </w:r>
    </w:p>
    <w:p>
      <w:pPr>
        <w:numPr>
          <w:ilvl w:val="0"/>
          <w:numId w:val="1006"/>
        </w:numPr>
      </w:pPr>
      <w:r>
        <w:rPr>
          <w:b/>
          <w:bCs/>
        </w:rPr>
        <w:t xml:space="preserve">Microsoft Learn</w:t>
      </w:r>
      <w:r>
        <w:t xml:space="preserve"> </w:t>
      </w:r>
      <w:r>
        <w:t xml:space="preserve">— „Fault domain awareness”</w:t>
      </w:r>
      <w:r>
        <w:br/>
      </w:r>
      <w:hyperlink r:id="rId44">
        <w:r>
          <w:rPr>
            <w:rStyle w:val="Hyperlink"/>
          </w:rPr>
          <w:t xml:space="preserve">https://learn.microsoft.com/en-us/windows-server/failover-clustering/fault-domains</w:t>
        </w:r>
      </w:hyperlink>
      <w:r>
        <w:br/>
      </w:r>
      <w:r>
        <w:t xml:space="preserve">Abgerufen: 20. April 2026</w:t>
      </w:r>
    </w:p>
    <w:p>
      <w:pPr>
        <w:numPr>
          <w:ilvl w:val="0"/>
          <w:numId w:val="1006"/>
        </w:numPr>
      </w:pPr>
      <w:r>
        <w:rPr>
          <w:b/>
          <w:bCs/>
        </w:rPr>
        <w:t xml:space="preserve">Microsoft Learn</w:t>
      </w:r>
      <w:r>
        <w:t xml:space="preserve"> </w:t>
      </w:r>
      <w:r>
        <w:t xml:space="preserve">— „Plan volumes on Azure Local and Windows Server clusters”</w:t>
      </w:r>
      <w:r>
        <w:br/>
      </w:r>
      <w:hyperlink r:id="rId128">
        <w:r>
          <w:rPr>
            <w:rStyle w:val="Hyperlink"/>
          </w:rPr>
          <w:t xml:space="preserve">https://learn.microsoft.com/en-us/azure/azure-local/concepts/plan-volumes</w:t>
        </w:r>
      </w:hyperlink>
      <w:r>
        <w:br/>
      </w:r>
      <w:r>
        <w:t xml:space="preserve">Abgerufen: 20. April 2026</w:t>
      </w:r>
    </w:p>
    <w:p>
      <w:pPr>
        <w:numPr>
          <w:ilvl w:val="0"/>
          <w:numId w:val="1006"/>
        </w:numPr>
      </w:pPr>
      <w:r>
        <w:rPr>
          <w:b/>
          <w:bCs/>
        </w:rPr>
        <w:t xml:space="preserve">Microsoft Learn</w:t>
      </w:r>
      <w:r>
        <w:t xml:space="preserve"> </w:t>
      </w:r>
      <w:r>
        <w:t xml:space="preserve">— „Fault tolerance and storage efficiency on Azure Local and Windows Server clusters”</w:t>
      </w:r>
      <w:r>
        <w:br/>
      </w:r>
      <w:hyperlink r:id="rId45">
        <w:r>
          <w:rPr>
            <w:rStyle w:val="Hyperlink"/>
          </w:rPr>
          <w:t xml:space="preserve">https://learn.microsoft.com/en-us/windows-server/storage/storage-spaces/fault-tolerance</w:t>
        </w:r>
      </w:hyperlink>
      <w:r>
        <w:br/>
      </w:r>
      <w:r>
        <w:t xml:space="preserve">Abgerufen: 20. April 2026</w:t>
      </w:r>
    </w:p>
    <w:p>
      <w:pPr>
        <w:numPr>
          <w:ilvl w:val="0"/>
          <w:numId w:val="1006"/>
        </w:numPr>
      </w:pPr>
      <w:r>
        <w:rPr>
          <w:b/>
          <w:bCs/>
        </w:rPr>
        <w:t xml:space="preserve">Microsoft Learn</w:t>
      </w:r>
      <w:r>
        <w:t xml:space="preserve"> </w:t>
      </w:r>
      <w:r>
        <w:t xml:space="preserve">— „Understanding cluster and pool quorum”</w:t>
      </w:r>
      <w:r>
        <w:br/>
      </w:r>
      <w:hyperlink r:id="rId46">
        <w:r>
          <w:rPr>
            <w:rStyle w:val="Hyperlink"/>
          </w:rPr>
          <w:t xml:space="preserve">https://learn.microsoft.com/en-us/windows-server/storage/storage-spaces/quorum</w:t>
        </w:r>
      </w:hyperlink>
      <w:r>
        <w:br/>
      </w:r>
      <w:r>
        <w:t xml:space="preserve">Abgerufen: 20. April 2026</w:t>
      </w:r>
    </w:p>
    <w:p>
      <w:pPr>
        <w:numPr>
          <w:ilvl w:val="0"/>
          <w:numId w:val="1006"/>
        </w:numPr>
      </w:pPr>
      <w:r>
        <w:rPr>
          <w:b/>
          <w:bCs/>
        </w:rPr>
        <w:t xml:space="preserve">Microsoft Learn</w:t>
      </w:r>
      <w:r>
        <w:t xml:space="preserve"> </w:t>
      </w:r>
      <w:r>
        <w:t xml:space="preserve">— „Deploy a quorum witness”</w:t>
      </w:r>
      <w:r>
        <w:br/>
      </w:r>
      <w:hyperlink r:id="rId47">
        <w:r>
          <w:rPr>
            <w:rStyle w:val="Hyperlink"/>
          </w:rPr>
          <w:t xml:space="preserve">https://learn.microsoft.com/en-us/windows-server/failover-clustering/deploy-quorum-witness</w:t>
        </w:r>
      </w:hyperlink>
      <w:r>
        <w:br/>
      </w:r>
      <w:r>
        <w:t xml:space="preserve">Abgerufen: 20. April 2026</w:t>
      </w:r>
    </w:p>
    <w:p>
      <w:pPr>
        <w:numPr>
          <w:ilvl w:val="0"/>
          <w:numId w:val="1006"/>
        </w:numPr>
      </w:pPr>
      <w:r>
        <w:rPr>
          <w:b/>
          <w:bCs/>
        </w:rPr>
        <w:t xml:space="preserve">Microsoft Learn</w:t>
      </w:r>
      <w:r>
        <w:t xml:space="preserve"> </w:t>
      </w:r>
      <w:r>
        <w:t xml:space="preserve">— „SMB security enhancements”</w:t>
      </w:r>
      <w:r>
        <w:br/>
      </w:r>
      <w:hyperlink r:id="rId48">
        <w:r>
          <w:rPr>
            <w:rStyle w:val="Hyperlink"/>
          </w:rPr>
          <w:t xml:space="preserve">https://learn.microsoft.com/en-us/windows-server/storage/file-server/smb-security</w:t>
        </w:r>
      </w:hyperlink>
      <w:r>
        <w:br/>
      </w:r>
      <w:r>
        <w:t xml:space="preserve">Abgerufen: 21. April 2026</w:t>
      </w:r>
    </w:p>
    <w:p>
      <w:pPr>
        <w:numPr>
          <w:ilvl w:val="0"/>
          <w:numId w:val="1006"/>
        </w:numPr>
      </w:pPr>
      <w:r>
        <w:rPr>
          <w:b/>
          <w:bCs/>
        </w:rPr>
        <w:t xml:space="preserve">Microsoft Learn</w:t>
      </w:r>
      <w:r>
        <w:t xml:space="preserve"> </w:t>
      </w:r>
      <w:r>
        <w:t xml:space="preserve">— „Storage Quality of Service”</w:t>
      </w:r>
      <w:r>
        <w:br/>
      </w:r>
      <w:hyperlink r:id="rId49">
        <w:r>
          <w:rPr>
            <w:rStyle w:val="Hyperlink"/>
          </w:rPr>
          <w:t xml:space="preserve">https://learn.microsoft.com/en-us/windows-server/storage/storage-qos/storage-qos-overview</w:t>
        </w:r>
      </w:hyperlink>
      <w:r>
        <w:br/>
      </w:r>
      <w:r>
        <w:t xml:space="preserve">Abgerufen: 21. April 2026</w:t>
      </w:r>
    </w:p>
    <w:p>
      <w:r>
        <w:br w:type="page"/>
      </w:r>
    </w:p>
    <w:bookmarkEnd w:id="129"/>
    <w:bookmarkStart w:id="224" w:name="glossar-fachbegriffe-und-abkürzungen"/>
    <w:p>
      <w:pPr>
        <w:pStyle w:val="Heading1"/>
      </w:pPr>
      <w:r>
        <w:rPr>
          <w:rStyle w:val="SectionNumber"/>
        </w:rPr>
        <w:t xml:space="preserve">22</w:t>
      </w:r>
      <w:r>
        <w:tab/>
      </w:r>
      <w:r>
        <w:t xml:space="preserve">Glossar — Fachbegriffe und Abkürzungen</w:t>
      </w:r>
    </w:p>
    <w:p>
      <w:pPr>
        <w:pStyle w:val="FirstParagraph"/>
      </w:pPr>
      <w:r>
        <w:t xml:space="preserve">Dieses Dokument dient als Nachschlagewerk für alle Fachbegriffe und Abkürzungen, die in den Dokumenten</w:t>
      </w:r>
      <w:r>
        <w:t xml:space="preserve"> </w:t>
      </w:r>
      <w:hyperlink w:anchor="zusammenfassung">
        <w:r>
          <w:rPr>
            <w:rStyle w:val="Hyperlink"/>
          </w:rPr>
          <w:t xml:space="preserve">S2D über Brandabschnitte</w:t>
        </w:r>
      </w:hyperlink>
      <w:r>
        <w:t xml:space="preserve"> </w:t>
      </w:r>
      <w:r>
        <w:t xml:space="preserve">und</w:t>
      </w:r>
      <w:r>
        <w:t xml:space="preserve"> </w:t>
      </w:r>
      <w:hyperlink w:anchor="zusammenfassung-1">
        <w:r>
          <w:rPr>
            <w:rStyle w:val="Hyperlink"/>
          </w:rPr>
          <w:t xml:space="preserve">S2D Setup-Leitfaden</w:t>
        </w:r>
      </w:hyperlink>
      <w:r>
        <w:t xml:space="preserve"> </w:t>
      </w:r>
      <w:r>
        <w:t xml:space="preserve">verwendet werden.</w:t>
      </w:r>
    </w:p>
    <w:p>
      <w:r>
        <w:pict>
          <v:rect style="width:0;height:1.5pt" o:hralign="center" o:hrstd="t" o:hr="t"/>
        </w:pict>
      </w:r>
    </w:p>
    <w:bookmarkStart w:id="138" w:name="storage-und-dateisysteme"/>
    <w:p>
      <w:pPr>
        <w:pStyle w:val="Heading2"/>
      </w:pPr>
      <w:r>
        <w:rPr>
          <w:rStyle w:val="SectionNumber"/>
        </w:rPr>
        <w:t xml:space="preserve">22.1</w:t>
      </w:r>
      <w:r>
        <w:tab/>
      </w:r>
      <w:r>
        <w:t xml:space="preserve">Storage und Dateisysteme</w:t>
      </w:r>
    </w:p>
    <w:bookmarkStart w:id="130" w:name="s2d-storage-spaces-direct"/>
    <w:p>
      <w:pPr>
        <w:pStyle w:val="Heading3"/>
      </w:pPr>
      <w:r>
        <w:rPr>
          <w:rStyle w:val="SectionNumber"/>
        </w:rPr>
        <w:t xml:space="preserve">22.1.1</w:t>
      </w:r>
      <w:r>
        <w:tab/>
      </w:r>
      <w:r>
        <w:t xml:space="preserve">S2D (Storage Spaces Direct)</w:t>
      </w:r>
    </w:p>
    <w:p>
      <w:pPr>
        <w:pStyle w:val="FirstParagraph"/>
      </w:pPr>
      <w:r>
        <w:t xml:space="preserve">Software-defined Storage (SDS) Lösung in Windows Server Datacenter. Fasst die internen Speicherlaufwerke eines Clusters von 2 bis 16 Servern zu einem softwaredefinierten Speicherpool zusammen. Kein SAN erforderlich — alle Laufwerke sind direkt an die Server angeschlossen.</w:t>
      </w:r>
    </w:p>
    <w:bookmarkEnd w:id="130"/>
    <w:bookmarkStart w:id="131" w:name="sds-software-defined-storage"/>
    <w:p>
      <w:pPr>
        <w:pStyle w:val="Heading3"/>
      </w:pPr>
      <w:r>
        <w:rPr>
          <w:rStyle w:val="SectionNumber"/>
        </w:rPr>
        <w:t xml:space="preserve">22.1.2</w:t>
      </w:r>
      <w:r>
        <w:tab/>
      </w:r>
      <w:r>
        <w:t xml:space="preserve">SDS (Software-defined Storage)</w:t>
      </w:r>
    </w:p>
    <w:p>
      <w:pPr>
        <w:pStyle w:val="FirstParagraph"/>
      </w:pPr>
      <w:r>
        <w:t xml:space="preserve">Oberbegriff für Speicherlösungen, bei denen die Storage-Logik (Resilienz, Caching, Tiering) in Software statt in dedizierter Hardware (z. B. RAID-Controller oder SAN) implementiert ist. S2D ist Microsofts SDS-Implementierung.</w:t>
      </w:r>
    </w:p>
    <w:bookmarkEnd w:id="131"/>
    <w:bookmarkStart w:id="132" w:name="storage-pool"/>
    <w:p>
      <w:pPr>
        <w:pStyle w:val="Heading3"/>
      </w:pPr>
      <w:r>
        <w:rPr>
          <w:rStyle w:val="SectionNumber"/>
        </w:rPr>
        <w:t xml:space="preserve">22.1.3</w:t>
      </w:r>
      <w:r>
        <w:tab/>
      </w:r>
      <w:r>
        <w:t xml:space="preserve">Storage Pool</w:t>
      </w:r>
    </w:p>
    <w:p>
      <w:pPr>
        <w:pStyle w:val="FirstParagraph"/>
      </w:pPr>
      <w:r>
        <w:t xml:space="preserve">Ein logischer Zusammenschluss aller physischen Laufwerke im Cluster. S2D erstellt automatisch einen einzelnen Pool über alle Knoten. Aus diesem Pool werden virtuelle Volumes mit unterschiedlichen Resilienz-Einstellungen erstellt.</w:t>
      </w:r>
    </w:p>
    <w:bookmarkEnd w:id="132"/>
    <w:bookmarkStart w:id="133" w:name="cache-tier-capacity-tier"/>
    <w:p>
      <w:pPr>
        <w:pStyle w:val="Heading3"/>
      </w:pPr>
      <w:r>
        <w:rPr>
          <w:rStyle w:val="SectionNumber"/>
        </w:rPr>
        <w:t xml:space="preserve">22.1.4</w:t>
      </w:r>
      <w:r>
        <w:tab/>
      </w:r>
      <w:r>
        <w:t xml:space="preserve">Cache Tier / Capacity Tier</w:t>
      </w:r>
    </w:p>
    <w:p>
      <w:pPr>
        <w:pStyle w:val="FirstParagraph"/>
      </w:pPr>
      <w:r>
        <w:t xml:space="preserve">S2D nutzt automatisch die schnellsten Laufwerke als</w:t>
      </w:r>
      <w:r>
        <w:t xml:space="preserve"> </w:t>
      </w:r>
      <w:r>
        <w:rPr>
          <w:b/>
          <w:bCs/>
        </w:rPr>
        <w:t xml:space="preserve">Cache</w:t>
      </w:r>
      <w:r>
        <w:t xml:space="preserve"> </w:t>
      </w:r>
      <w:r>
        <w:t xml:space="preserve">(Schreib- und/oder Lese-Cache) und die langsameren als</w:t>
      </w:r>
      <w:r>
        <w:t xml:space="preserve"> </w:t>
      </w:r>
      <w:r>
        <w:rPr>
          <w:b/>
          <w:bCs/>
        </w:rPr>
        <w:t xml:space="preserve">Kapazität</w:t>
      </w:r>
      <w:r>
        <w:t xml:space="preserve"> </w:t>
      </w:r>
      <w:r>
        <w:t xml:space="preserve">(persistenter Speicher). Beispiel: NVMe als Cache, SSD oder HDD als Kapazität.</w:t>
      </w:r>
    </w:p>
    <w:bookmarkEnd w:id="133"/>
    <w:bookmarkStart w:id="134" w:name="csv-cluster-shared-volumes"/>
    <w:p>
      <w:pPr>
        <w:pStyle w:val="Heading3"/>
      </w:pPr>
      <w:r>
        <w:rPr>
          <w:rStyle w:val="SectionNumber"/>
        </w:rPr>
        <w:t xml:space="preserve">22.1.5</w:t>
      </w:r>
      <w:r>
        <w:tab/>
      </w:r>
      <w:r>
        <w:t xml:space="preserve">CSV (Cluster Shared Volume)</w:t>
      </w:r>
    </w:p>
    <w:p>
      <w:pPr>
        <w:pStyle w:val="FirstParagraph"/>
      </w:pPr>
      <w:r>
        <w:t xml:space="preserve">Ein Dateisystem-Feature, das es allen Cluster-Knoten ermöglicht, gleichzeitig auf dasselbe Volume zuzugreifen. Notwendig für Hyper-V-VMs, die zwischen Knoten verschoben werden.</w:t>
      </w:r>
    </w:p>
    <w:bookmarkEnd w:id="134"/>
    <w:bookmarkStart w:id="135" w:name="csvfs-cluster-shared-volume-file-system"/>
    <w:p>
      <w:pPr>
        <w:pStyle w:val="Heading3"/>
      </w:pPr>
      <w:r>
        <w:rPr>
          <w:rStyle w:val="SectionNumber"/>
        </w:rPr>
        <w:t xml:space="preserve">22.1.6</w:t>
      </w:r>
      <w:r>
        <w:tab/>
      </w:r>
      <w:r>
        <w:t xml:space="preserve">CSVFS (Cluster Shared Volume File System)</w:t>
      </w:r>
    </w:p>
    <w:p>
      <w:pPr>
        <w:pStyle w:val="FirstParagraph"/>
      </w:pPr>
      <w:r>
        <w:t xml:space="preserve">Das Dateisystem-Format für Cluster Shared Volumes. S2D-Volumes werden typischerweise als</w:t>
      </w:r>
      <w:r>
        <w:t xml:space="preserve"> </w:t>
      </w:r>
      <w:r>
        <w:rPr>
          <w:rStyle w:val="VerbatimChar"/>
        </w:rPr>
        <w:t xml:space="preserve">CSVFS_ReFS</w:t>
      </w:r>
      <w:r>
        <w:t xml:space="preserve"> </w:t>
      </w:r>
      <w:r>
        <w:t xml:space="preserve">formatiert.</w:t>
      </w:r>
    </w:p>
    <w:bookmarkEnd w:id="135"/>
    <w:bookmarkStart w:id="136" w:name="refs-resilient-file-system"/>
    <w:p>
      <w:pPr>
        <w:pStyle w:val="Heading3"/>
      </w:pPr>
      <w:r>
        <w:rPr>
          <w:rStyle w:val="SectionNumber"/>
        </w:rPr>
        <w:t xml:space="preserve">22.1.7</w:t>
      </w:r>
      <w:r>
        <w:tab/>
      </w:r>
      <w:r>
        <w:t xml:space="preserve">ReFS (Resilient File System)</w:t>
      </w:r>
    </w:p>
    <w:p>
      <w:pPr>
        <w:pStyle w:val="FirstParagraph"/>
      </w:pPr>
      <w:r>
        <w:t xml:space="preserve">Microsofts modernes Dateisystem, optimiert für große Datenmengen und Fehlerresilienz. Für S2D empfohlen, da es Features wie</w:t>
      </w:r>
      <w:r>
        <w:t xml:space="preserve"> </w:t>
      </w:r>
      <w:r>
        <w:rPr>
          <w:b/>
          <w:bCs/>
        </w:rPr>
        <w:t xml:space="preserve">Block Cloning</w:t>
      </w:r>
      <w:r>
        <w:t xml:space="preserve"> </w:t>
      </w:r>
      <w:r>
        <w:t xml:space="preserve">(schnelle VM-Checkpoints) und</w:t>
      </w:r>
      <w:r>
        <w:t xml:space="preserve"> </w:t>
      </w:r>
      <w:r>
        <w:rPr>
          <w:b/>
          <w:bCs/>
        </w:rPr>
        <w:t xml:space="preserve">Integrity Streams</w:t>
      </w:r>
      <w:r>
        <w:t xml:space="preserve"> </w:t>
      </w:r>
      <w:r>
        <w:t xml:space="preserve">(automatische Fehlererkennung) bietet.</w:t>
      </w:r>
    </w:p>
    <w:bookmarkEnd w:id="136"/>
    <w:bookmarkStart w:id="137" w:name="iops-inputoutput-operations-per-second"/>
    <w:p>
      <w:pPr>
        <w:pStyle w:val="Heading3"/>
      </w:pPr>
      <w:r>
        <w:rPr>
          <w:rStyle w:val="SectionNumber"/>
        </w:rPr>
        <w:t xml:space="preserve">22.1.8</w:t>
      </w:r>
      <w:r>
        <w:tab/>
      </w:r>
      <w:r>
        <w:t xml:space="preserve">IOPS (Input/Output Operations Per Second)</w:t>
      </w:r>
    </w:p>
    <w:p>
      <w:pPr>
        <w:pStyle w:val="FirstParagraph"/>
      </w:pPr>
      <w:r>
        <w:t xml:space="preserve">Maßeinheit für die Leistung von Speichergeräten. Gibt an, wie viele Lese-/Schreiboperationen pro Sekunde ein Laufwerk oder ein Storage-System verarbeiten kann. NVMe-Laufwerke erreichen typischerweise mehrere hunderttausend IOPS.</w:t>
      </w:r>
    </w:p>
    <w:p>
      <w:r>
        <w:pict>
          <v:rect style="width:0;height:1.5pt" o:hralign="center" o:hrstd="t" o:hr="t"/>
        </w:pict>
      </w:r>
    </w:p>
    <w:bookmarkEnd w:id="137"/>
    <w:bookmarkEnd w:id="138"/>
    <w:bookmarkStart w:id="150" w:name="laufwerkstypen-und-schnittstellen"/>
    <w:p>
      <w:pPr>
        <w:pStyle w:val="Heading2"/>
      </w:pPr>
      <w:r>
        <w:rPr>
          <w:rStyle w:val="SectionNumber"/>
        </w:rPr>
        <w:t xml:space="preserve">22.2</w:t>
      </w:r>
      <w:r>
        <w:tab/>
      </w:r>
      <w:r>
        <w:t xml:space="preserve">Laufwerkstypen und Schnittstellen</w:t>
      </w:r>
    </w:p>
    <w:bookmarkStart w:id="139" w:name="nvme-non-volatile-memory-express"/>
    <w:p>
      <w:pPr>
        <w:pStyle w:val="Heading3"/>
      </w:pPr>
      <w:r>
        <w:rPr>
          <w:rStyle w:val="SectionNumber"/>
        </w:rPr>
        <w:t xml:space="preserve">22.2.1</w:t>
      </w:r>
      <w:r>
        <w:tab/>
      </w:r>
      <w:r>
        <w:t xml:space="preserve">NVMe (Non-Volatile Memory Express)</w:t>
      </w:r>
    </w:p>
    <w:p>
      <w:pPr>
        <w:pStyle w:val="FirstParagraph"/>
      </w:pPr>
      <w:r>
        <w:t xml:space="preserve">Hochleistungs-Speicherprotokoll für Flash-basierte Laufwerke. Nutzt PCIe direkt (statt SATA/SAS) und bietet die höchsten IOPS und niedrigsten Latenzen. Verfügbar als M.2, U.2 oder Add-in-Card. In S2D typischerweise als Cache-Tier eingesetzt.</w:t>
      </w:r>
    </w:p>
    <w:bookmarkEnd w:id="139"/>
    <w:bookmarkStart w:id="140" w:name="ssd-solid-state-drive"/>
    <w:p>
      <w:pPr>
        <w:pStyle w:val="Heading3"/>
      </w:pPr>
      <w:r>
        <w:rPr>
          <w:rStyle w:val="SectionNumber"/>
        </w:rPr>
        <w:t xml:space="preserve">22.2.2</w:t>
      </w:r>
      <w:r>
        <w:tab/>
      </w:r>
      <w:r>
        <w:t xml:space="preserve">SSD (Solid-State Drive)</w:t>
      </w:r>
    </w:p>
    <w:p>
      <w:pPr>
        <w:pStyle w:val="FirstParagraph"/>
      </w:pPr>
      <w:r>
        <w:t xml:space="preserve">Flash-basiertes Speicherlaufwerk ohne bewegliche Teile. Schneller als HDD, aber langsamer als NVMe. Über SATA oder SAS angeschlossen. Für S2D müssen SSDs über</w:t>
      </w:r>
      <w:r>
        <w:t xml:space="preserve"> </w:t>
      </w:r>
      <w:r>
        <w:rPr>
          <w:b/>
          <w:bCs/>
        </w:rPr>
        <w:t xml:space="preserve">Power-Loss Protection</w:t>
      </w:r>
      <w:r>
        <w:t xml:space="preserve"> </w:t>
      </w:r>
      <w:r>
        <w:t xml:space="preserve">verfügen (keine Consumer-SSDs).</w:t>
      </w:r>
    </w:p>
    <w:bookmarkEnd w:id="140"/>
    <w:bookmarkStart w:id="141" w:name="hdd-hard-disk-drive"/>
    <w:p>
      <w:pPr>
        <w:pStyle w:val="Heading3"/>
      </w:pPr>
      <w:r>
        <w:rPr>
          <w:rStyle w:val="SectionNumber"/>
        </w:rPr>
        <w:t xml:space="preserve">22.2.3</w:t>
      </w:r>
      <w:r>
        <w:tab/>
      </w:r>
      <w:r>
        <w:t xml:space="preserve">HDD (Hard Disk Drive)</w:t>
      </w:r>
    </w:p>
    <w:p>
      <w:pPr>
        <w:pStyle w:val="FirstParagraph"/>
      </w:pPr>
      <w:r>
        <w:t xml:space="preserve">Magnetische Festplatte mit rotierenden Scheiben. Höchste Kapazität pro Euro, aber niedrigste IOPS und höchste Latenz. In S2D nur als Kapazitäts-Tier in Kombination mit schnelleren Cache-Laufwerken (NVMe oder SSD) unterstützt.</w:t>
      </w:r>
    </w:p>
    <w:bookmarkEnd w:id="141"/>
    <w:bookmarkStart w:id="142" w:name="pmem-persistent-memory"/>
    <w:p>
      <w:pPr>
        <w:pStyle w:val="Heading3"/>
      </w:pPr>
      <w:r>
        <w:rPr>
          <w:rStyle w:val="SectionNumber"/>
        </w:rPr>
        <w:t xml:space="preserve">22.2.4</w:t>
      </w:r>
      <w:r>
        <w:tab/>
      </w:r>
      <w:r>
        <w:t xml:space="preserve">PMem (Persistent Memory)</w:t>
      </w:r>
    </w:p>
    <w:p>
      <w:pPr>
        <w:pStyle w:val="FirstParagraph"/>
      </w:pPr>
      <w:r>
        <w:t xml:space="preserve">Speichertechnologie, die wie RAM direkt vom Prozessor adressiert wird, aber Daten auch ohne Strom behält. Kann in S2D im Block-Storage-Modus als extrem schneller Cache oder als Kapazität eingesetzt werden.</w:t>
      </w:r>
    </w:p>
    <w:bookmarkEnd w:id="142"/>
    <w:bookmarkStart w:id="143" w:name="X8f4e50ee79f33dccdfaabc802b9c528c86b931e"/>
    <w:p>
      <w:pPr>
        <w:pStyle w:val="Heading3"/>
      </w:pPr>
      <w:r>
        <w:rPr>
          <w:rStyle w:val="SectionNumber"/>
        </w:rPr>
        <w:t xml:space="preserve">22.2.5</w:t>
      </w:r>
      <w:r>
        <w:tab/>
      </w:r>
      <w:r>
        <w:t xml:space="preserve">SATA (Serial Advanced Technology Attachment)</w:t>
      </w:r>
    </w:p>
    <w:p>
      <w:pPr>
        <w:pStyle w:val="FirstParagraph"/>
      </w:pPr>
      <w:r>
        <w:t xml:space="preserve">Standard-Schnittstelle für die Verbindung von Massenspeichergeräten (SSDs, HDDs) mit dem Mainboard. Maximale Bandbreite: 6 Gbit/s (SATA III). Für S2D unterstützt, aber langsamer als SAS oder NVMe.</w:t>
      </w:r>
    </w:p>
    <w:bookmarkEnd w:id="143"/>
    <w:bookmarkStart w:id="144" w:name="sas-serial-attached-scsi"/>
    <w:p>
      <w:pPr>
        <w:pStyle w:val="Heading3"/>
      </w:pPr>
      <w:r>
        <w:rPr>
          <w:rStyle w:val="SectionNumber"/>
        </w:rPr>
        <w:t xml:space="preserve">22.2.6</w:t>
      </w:r>
      <w:r>
        <w:tab/>
      </w:r>
      <w:r>
        <w:t xml:space="preserve">SAS (Serial Attached SCSI)</w:t>
      </w:r>
    </w:p>
    <w:p>
      <w:pPr>
        <w:pStyle w:val="FirstParagraph"/>
      </w:pPr>
      <w:r>
        <w:t xml:space="preserve">Enterprise-Schnittstelle für Speicherlaufwerke. Bietet höhere Zuverlässigkeit und Bandbreite als SATA (bis 24 Gbit/s bei SAS-4). Unterstützt Dual-Port für Pfadredundanz. Standard in Rechenzentren.</w:t>
      </w:r>
    </w:p>
    <w:bookmarkEnd w:id="144"/>
    <w:bookmarkStart w:id="145" w:name="hba-host-bus-adapter"/>
    <w:p>
      <w:pPr>
        <w:pStyle w:val="Heading3"/>
      </w:pPr>
      <w:r>
        <w:rPr>
          <w:rStyle w:val="SectionNumber"/>
        </w:rPr>
        <w:t xml:space="preserve">22.2.7</w:t>
      </w:r>
      <w:r>
        <w:tab/>
      </w:r>
      <w:r>
        <w:t xml:space="preserve">HBA (Host Bus Adapter)</w:t>
      </w:r>
    </w:p>
    <w:p>
      <w:pPr>
        <w:pStyle w:val="FirstParagraph"/>
      </w:pPr>
      <w:r>
        <w:t xml:space="preserve">Controller-Karte, die Speicherlaufwerke mit dem Server verbindet. Für S2D muss der HBA im</w:t>
      </w:r>
      <w:r>
        <w:t xml:space="preserve"> </w:t>
      </w:r>
      <w:r>
        <w:rPr>
          <w:b/>
          <w:bCs/>
        </w:rPr>
        <w:t xml:space="preserve">Pass-Through-Modus</w:t>
      </w:r>
      <w:r>
        <w:t xml:space="preserve"> </w:t>
      </w:r>
      <w:r>
        <w:t xml:space="preserve">(auch JBOD-Modus) betrieben werden —</w:t>
      </w:r>
      <w:r>
        <w:t xml:space="preserve"> </w:t>
      </w:r>
      <w:r>
        <w:rPr>
          <w:b/>
          <w:bCs/>
        </w:rPr>
        <w:t xml:space="preserve">kein Hardware-RAID</w:t>
      </w:r>
      <w:r>
        <w:t xml:space="preserve">. S2D verwaltet die Datenresilienz selbst.</w:t>
      </w:r>
    </w:p>
    <w:bookmarkEnd w:id="145"/>
    <w:bookmarkStart w:id="146" w:name="pass-through-hba-modus"/>
    <w:p>
      <w:pPr>
        <w:pStyle w:val="Heading3"/>
      </w:pPr>
      <w:r>
        <w:rPr>
          <w:rStyle w:val="SectionNumber"/>
        </w:rPr>
        <w:t xml:space="preserve">22.2.8</w:t>
      </w:r>
      <w:r>
        <w:tab/>
      </w:r>
      <w:r>
        <w:t xml:space="preserve">Pass-Through (HBA-Modus)</w:t>
      </w:r>
    </w:p>
    <w:p>
      <w:pPr>
        <w:pStyle w:val="FirstParagraph"/>
      </w:pPr>
      <w:r>
        <w:t xml:space="preserve">Betriebsmodus eines HBA oder RAID-Controllers, bei dem Laufwerke direkt an das Betriebssystem durchgereicht werden, ohne dass der Controller RAID-Funktionalität anwendet. Auch als</w:t>
      </w:r>
      <w:r>
        <w:t xml:space="preserve"> </w:t>
      </w:r>
      <w:r>
        <w:rPr>
          <w:b/>
          <w:bCs/>
        </w:rPr>
        <w:t xml:space="preserve">JBOD-Modus</w:t>
      </w:r>
      <w:r>
        <w:t xml:space="preserve"> </w:t>
      </w:r>
      <w:r>
        <w:t xml:space="preserve">(Just a Bunch Of Disks) bezeichnet. Für S2D zwingend erforderlich.</w:t>
      </w:r>
    </w:p>
    <w:bookmarkEnd w:id="146"/>
    <w:bookmarkStart w:id="147" w:name="power-loss-protection"/>
    <w:p>
      <w:pPr>
        <w:pStyle w:val="Heading3"/>
      </w:pPr>
      <w:r>
        <w:rPr>
          <w:rStyle w:val="SectionNumber"/>
        </w:rPr>
        <w:t xml:space="preserve">22.2.9</w:t>
      </w:r>
      <w:r>
        <w:tab/>
      </w:r>
      <w:r>
        <w:t xml:space="preserve">Power-Loss Protection</w:t>
      </w:r>
    </w:p>
    <w:p>
      <w:pPr>
        <w:pStyle w:val="FirstParagraph"/>
      </w:pPr>
      <w:r>
        <w:t xml:space="preserve">Schutzmechanismus in Enterprise-SSDs, der sicherstellt, dass bei plötzlichem Stromausfall alle Daten im flüchtigen Schreibcache der SSD noch auf den Flash geschrieben werden. Consumer-SSDs ohne diesen Schutz können bei Stromausfall Daten verlieren und sind für S2D nicht unterstützt.</w:t>
      </w:r>
    </w:p>
    <w:bookmarkEnd w:id="147"/>
    <w:bookmarkStart w:id="148" w:name="san-storage-area-network"/>
    <w:p>
      <w:pPr>
        <w:pStyle w:val="Heading3"/>
      </w:pPr>
      <w:r>
        <w:rPr>
          <w:rStyle w:val="SectionNumber"/>
        </w:rPr>
        <w:t xml:space="preserve">22.2.10</w:t>
      </w:r>
      <w:r>
        <w:tab/>
      </w:r>
      <w:r>
        <w:t xml:space="preserve">SAN (Storage Area Network)</w:t>
      </w:r>
    </w:p>
    <w:p>
      <w:pPr>
        <w:pStyle w:val="FirstParagraph"/>
      </w:pPr>
      <w:r>
        <w:t xml:space="preserve">Dediziertes Netzwerk für den Zugriff auf Block-Level-Storage (typischerweise über Fibre Channel oder iSCSI). S2D verwendet</w:t>
      </w:r>
      <w:r>
        <w:t xml:space="preserve"> </w:t>
      </w:r>
      <w:r>
        <w:rPr>
          <w:b/>
          <w:bCs/>
        </w:rPr>
        <w:t xml:space="preserve">kein</w:t>
      </w:r>
      <w:r>
        <w:t xml:space="preserve"> </w:t>
      </w:r>
      <w:r>
        <w:t xml:space="preserve">SAN — die Laufwerke müssen direkt an die Server angeschlossen sein.</w:t>
      </w:r>
    </w:p>
    <w:bookmarkEnd w:id="148"/>
    <w:bookmarkStart w:id="149" w:name="satadom"/>
    <w:p>
      <w:pPr>
        <w:pStyle w:val="Heading3"/>
      </w:pPr>
      <w:r>
        <w:rPr>
          <w:rStyle w:val="SectionNumber"/>
        </w:rPr>
        <w:t xml:space="preserve">22.2.11</w:t>
      </w:r>
      <w:r>
        <w:tab/>
      </w:r>
      <w:r>
        <w:t xml:space="preserve">SATADOM</w:t>
      </w:r>
    </w:p>
    <w:p>
      <w:pPr>
        <w:pStyle w:val="FirstParagraph"/>
      </w:pPr>
      <w:r>
        <w:t xml:space="preserve">Kleine Boot-SSD im DOM-Formfaktor (Disk-on-Module), die direkt auf dem Mainboard in einen SATA-Anschluss gesteckt wird. Wird als Boot-Gerät für Server verwendet, um die regulären Laufwerksschächte für S2D-Datenlaufwerke freizuhalten.</w:t>
      </w:r>
    </w:p>
    <w:p>
      <w:r>
        <w:pict>
          <v:rect style="width:0;height:1.5pt" o:hralign="center" o:hrstd="t" o:hr="t"/>
        </w:pict>
      </w:r>
    </w:p>
    <w:bookmarkEnd w:id="149"/>
    <w:bookmarkEnd w:id="150"/>
    <w:bookmarkStart w:id="159" w:name="netzwerk-grundlagen"/>
    <w:p>
      <w:pPr>
        <w:pStyle w:val="Heading2"/>
      </w:pPr>
      <w:r>
        <w:rPr>
          <w:rStyle w:val="SectionNumber"/>
        </w:rPr>
        <w:t xml:space="preserve">22.3</w:t>
      </w:r>
      <w:r>
        <w:tab/>
      </w:r>
      <w:r>
        <w:t xml:space="preserve">Netzwerk — Grundlagen</w:t>
      </w:r>
    </w:p>
    <w:bookmarkStart w:id="151" w:name="nic-network-interface-card"/>
    <w:p>
      <w:pPr>
        <w:pStyle w:val="Heading3"/>
      </w:pPr>
      <w:r>
        <w:rPr>
          <w:rStyle w:val="SectionNumber"/>
        </w:rPr>
        <w:t xml:space="preserve">22.3.1</w:t>
      </w:r>
      <w:r>
        <w:tab/>
      </w:r>
      <w:r>
        <w:t xml:space="preserve">NIC (Network Interface Card)</w:t>
      </w:r>
    </w:p>
    <w:p>
      <w:pPr>
        <w:pStyle w:val="FirstParagraph"/>
      </w:pPr>
      <w:r>
        <w:t xml:space="preserve">Netzwerkadapter — die physische oder virtuelle Netzwerkkarte im Server. Für S2D werden NICs mit mindestens 10 GbE, empfohlen 25 GbE oder schneller, benötigt.</w:t>
      </w:r>
    </w:p>
    <w:bookmarkEnd w:id="151"/>
    <w:bookmarkStart w:id="152" w:name="vnic-virtual-nic"/>
    <w:p>
      <w:pPr>
        <w:pStyle w:val="Heading3"/>
      </w:pPr>
      <w:r>
        <w:rPr>
          <w:rStyle w:val="SectionNumber"/>
        </w:rPr>
        <w:t xml:space="preserve">22.3.2</w:t>
      </w:r>
      <w:r>
        <w:tab/>
      </w:r>
      <w:r>
        <w:t xml:space="preserve">vNIC (Virtual NIC)</w:t>
      </w:r>
    </w:p>
    <w:p>
      <w:pPr>
        <w:pStyle w:val="FirstParagraph"/>
      </w:pPr>
      <w:r>
        <w:t xml:space="preserve">Virtuelle Netzwerkkarte, die vom Hyper-V Virtual Switch bereitgestellt wird. Bei S2D werden vNICs für Storage-Traffic, Live Migration und Management-Traffic erstellt. RDMA kann über SET auf vNICs aktiviert werden.</w:t>
      </w:r>
    </w:p>
    <w:bookmarkEnd w:id="152"/>
    <w:bookmarkStart w:id="153" w:name="gbe-gigabit-ethernet"/>
    <w:p>
      <w:pPr>
        <w:pStyle w:val="Heading3"/>
      </w:pPr>
      <w:r>
        <w:rPr>
          <w:rStyle w:val="SectionNumber"/>
        </w:rPr>
        <w:t xml:space="preserve">22.3.3</w:t>
      </w:r>
      <w:r>
        <w:tab/>
      </w:r>
      <w:r>
        <w:t xml:space="preserve">GbE (Gigabit Ethernet)</w:t>
      </w:r>
    </w:p>
    <w:p>
      <w:pPr>
        <w:pStyle w:val="FirstParagraph"/>
      </w:pPr>
      <w:r>
        <w:t xml:space="preserve">Maßeinheit für die Netzwerkbandbreite. 1 GbE = 1 Gbit/s. S2D erfordert mindestens</w:t>
      </w:r>
      <w:r>
        <w:t xml:space="preserve"> </w:t>
      </w:r>
      <w:r>
        <w:rPr>
          <w:b/>
          <w:bCs/>
        </w:rPr>
        <w:t xml:space="preserve">10 GbE</w:t>
      </w:r>
      <w:r>
        <w:t xml:space="preserve">, empfohlen</w:t>
      </w:r>
      <w:r>
        <w:t xml:space="preserve"> </w:t>
      </w:r>
      <w:r>
        <w:rPr>
          <w:b/>
          <w:bCs/>
        </w:rPr>
        <w:t xml:space="preserve">25 GbE</w:t>
      </w:r>
      <w:r>
        <w:t xml:space="preserve"> </w:t>
      </w:r>
      <w:r>
        <w:t xml:space="preserve">für 4+ Knoten.</w:t>
      </w:r>
    </w:p>
    <w:bookmarkEnd w:id="153"/>
    <w:bookmarkStart w:id="154" w:name="mtu-maximum-transmission-unit"/>
    <w:p>
      <w:pPr>
        <w:pStyle w:val="Heading3"/>
      </w:pPr>
      <w:r>
        <w:rPr>
          <w:rStyle w:val="SectionNumber"/>
        </w:rPr>
        <w:t xml:space="preserve">22.3.4</w:t>
      </w:r>
      <w:r>
        <w:tab/>
      </w:r>
      <w:r>
        <w:t xml:space="preserve">MTU (Maximum Transmission Unit)</w:t>
      </w:r>
    </w:p>
    <w:p>
      <w:pPr>
        <w:pStyle w:val="FirstParagraph"/>
      </w:pPr>
      <w:r>
        <w:t xml:space="preserve">Die maximale Paketgröße in Bytes, die über ein Netzwerk übertragen werden kann, ohne fragmentiert zu werden. Standard: 1500 Bytes. Für S2D-Storage-Netzwerke werden</w:t>
      </w:r>
      <w:r>
        <w:t xml:space="preserve"> </w:t>
      </w:r>
      <w:r>
        <w:rPr>
          <w:b/>
          <w:bCs/>
        </w:rPr>
        <w:t xml:space="preserve">Jumbo Frames</w:t>
      </w:r>
      <w:r>
        <w:t xml:space="preserve"> </w:t>
      </w:r>
      <w:r>
        <w:t xml:space="preserve">mit 9014 Bytes empfohlen. Alle Geräte im Pfad (NICs, Switches, vNICs) müssen die gleiche MTU verwenden.</w:t>
      </w:r>
    </w:p>
    <w:bookmarkEnd w:id="154"/>
    <w:bookmarkStart w:id="155" w:name="jumbo-frames-1"/>
    <w:p>
      <w:pPr>
        <w:pStyle w:val="Heading3"/>
      </w:pPr>
      <w:r>
        <w:rPr>
          <w:rStyle w:val="SectionNumber"/>
        </w:rPr>
        <w:t xml:space="preserve">22.3.5</w:t>
      </w:r>
      <w:r>
        <w:tab/>
      </w:r>
      <w:r>
        <w:t xml:space="preserve">Jumbo Frames</w:t>
      </w:r>
    </w:p>
    <w:p>
      <w:pPr>
        <w:pStyle w:val="FirstParagraph"/>
      </w:pPr>
      <w:r>
        <w:t xml:space="preserve">Ethernet-Frames mit einer MTU größer als 1500 Bytes, typischerweise</w:t>
      </w:r>
      <w:r>
        <w:t xml:space="preserve"> </w:t>
      </w:r>
      <w:r>
        <w:rPr>
          <w:b/>
          <w:bCs/>
        </w:rPr>
        <w:t xml:space="preserve">9014 Bytes</w:t>
      </w:r>
      <w:r>
        <w:t xml:space="preserve">. Reduzieren den Protokoll-Overhead bei großen Datenübertragungen (mehr Nutzdaten pro Paket) und verbessern die Storage-Performance. Nur im Storage-Netzwerk einsetzen, nicht im Management-Netzwerk.</w:t>
      </w:r>
    </w:p>
    <w:bookmarkEnd w:id="155"/>
    <w:bookmarkStart w:id="156" w:name="vlan-virtual-local-area-network"/>
    <w:p>
      <w:pPr>
        <w:pStyle w:val="Heading3"/>
      </w:pPr>
      <w:r>
        <w:rPr>
          <w:rStyle w:val="SectionNumber"/>
        </w:rPr>
        <w:t xml:space="preserve">22.3.6</w:t>
      </w:r>
      <w:r>
        <w:tab/>
      </w:r>
      <w:r>
        <w:t xml:space="preserve">VLAN (Virtual Local Area Network)</w:t>
      </w:r>
    </w:p>
    <w:p>
      <w:pPr>
        <w:pStyle w:val="FirstParagraph"/>
      </w:pPr>
      <w:r>
        <w:t xml:space="preserve">Logische Netzwerktrennung auf Layer 2 (IEEE 802.1Q). Erlaubt die Isolierung verschiedener Netzwerktypen (Management, Storage, VM-Traffic) auf derselben physischen Infrastruktur. Jedes VLAN bekommt eine eigene VLAN-ID (1–4094).</w:t>
      </w:r>
    </w:p>
    <w:bookmarkEnd w:id="156"/>
    <w:bookmarkStart w:id="157" w:name="rtt-round-trip-time"/>
    <w:p>
      <w:pPr>
        <w:pStyle w:val="Heading3"/>
      </w:pPr>
      <w:r>
        <w:rPr>
          <w:rStyle w:val="SectionNumber"/>
        </w:rPr>
        <w:t xml:space="preserve">22.3.7</w:t>
      </w:r>
      <w:r>
        <w:tab/>
      </w:r>
      <w:r>
        <w:t xml:space="preserve">RTT (Round-Trip Time)</w:t>
      </w:r>
    </w:p>
    <w:p>
      <w:pPr>
        <w:pStyle w:val="FirstParagraph"/>
      </w:pPr>
      <w:r>
        <w:t xml:space="preserve">Die Zeit, die ein Netzwerkpaket benötigt, um von A nach B und zurück zu gelangen. Für S2D über Brandabschnitte muss die RTT</w:t>
      </w:r>
      <w:r>
        <w:t xml:space="preserve"> </w:t>
      </w:r>
      <w:r>
        <w:rPr>
          <w:b/>
          <w:bCs/>
        </w:rPr>
        <w:t xml:space="preserve">unter 1 ms</w:t>
      </w:r>
      <w:r>
        <w:t xml:space="preserve"> </w:t>
      </w:r>
      <w:r>
        <w:t xml:space="preserve">liegen, da S2D synchron schreibt und erhöhte Latenz die I/O-Performance direkt reduziert.</w:t>
      </w:r>
    </w:p>
    <w:bookmarkEnd w:id="157"/>
    <w:bookmarkStart w:id="158" w:name="tor-top-of-rack"/>
    <w:p>
      <w:pPr>
        <w:pStyle w:val="Heading3"/>
      </w:pPr>
      <w:r>
        <w:rPr>
          <w:rStyle w:val="SectionNumber"/>
        </w:rPr>
        <w:t xml:space="preserve">22.3.8</w:t>
      </w:r>
      <w:r>
        <w:tab/>
      </w:r>
      <w:r>
        <w:t xml:space="preserve">ToR (Top of Rack)</w:t>
      </w:r>
    </w:p>
    <w:p>
      <w:pPr>
        <w:pStyle w:val="FirstParagraph"/>
      </w:pPr>
      <w:r>
        <w:t xml:space="preserve">Netzwerk-Switch, der oben im Server-Rack montiert ist und die Server im Rack mit dem übergeordneten Netzwerk verbindet. Bei RoCE muss der ToR-Switch korrekt für PFC und ECN konfiguriert werden.</w:t>
      </w:r>
    </w:p>
    <w:p>
      <w:r>
        <w:pict>
          <v:rect style="width:0;height:1.5pt" o:hralign="center" o:hrstd="t" o:hr="t"/>
        </w:pict>
      </w:r>
    </w:p>
    <w:bookmarkEnd w:id="158"/>
    <w:bookmarkEnd w:id="159"/>
    <w:bookmarkStart w:id="166" w:name="netzwerk-rdma-und-protokolle"/>
    <w:p>
      <w:pPr>
        <w:pStyle w:val="Heading2"/>
      </w:pPr>
      <w:r>
        <w:rPr>
          <w:rStyle w:val="SectionNumber"/>
        </w:rPr>
        <w:t xml:space="preserve">22.4</w:t>
      </w:r>
      <w:r>
        <w:tab/>
      </w:r>
      <w:r>
        <w:t xml:space="preserve">Netzwerk — RDMA und Protokolle</w:t>
      </w:r>
    </w:p>
    <w:bookmarkStart w:id="160" w:name="rdma-remote-direct-memory-access"/>
    <w:p>
      <w:pPr>
        <w:pStyle w:val="Heading3"/>
      </w:pPr>
      <w:r>
        <w:rPr>
          <w:rStyle w:val="SectionNumber"/>
        </w:rPr>
        <w:t xml:space="preserve">22.4.1</w:t>
      </w:r>
      <w:r>
        <w:tab/>
      </w:r>
      <w:r>
        <w:t xml:space="preserve">RDMA (Remote Direct Memory Access)</w:t>
      </w:r>
    </w:p>
    <w:p>
      <w:pPr>
        <w:pStyle w:val="FirstParagraph"/>
      </w:pPr>
      <w:r>
        <w:t xml:space="preserve">Technologie, die den direkten Speicherzugriff zwischen zwei Servern ermöglicht,</w:t>
      </w:r>
      <w:r>
        <w:t xml:space="preserve"> </w:t>
      </w:r>
      <w:r>
        <w:rPr>
          <w:b/>
          <w:bCs/>
        </w:rPr>
        <w:t xml:space="preserve">ohne die CPU zu belasten</w:t>
      </w:r>
      <w:r>
        <w:t xml:space="preserve">. Die Daten werden direkt aus dem Arbeitsspeicher des Senders in den Arbeitsspeicher des Empfängers kopiert — unter Umgehung des Betriebssystem-Kernels. Ergebnis: extrem niedrige Latenz, hoher Durchsatz und minimale CPU-Last. S2D nutzt RDMA über SMB Direct für den Storage-Traffic.</w:t>
      </w:r>
    </w:p>
    <w:bookmarkEnd w:id="160"/>
    <w:bookmarkStart w:id="161" w:name="roce-rdma-over-converged-ethernet"/>
    <w:p>
      <w:pPr>
        <w:pStyle w:val="Heading3"/>
      </w:pPr>
      <w:r>
        <w:rPr>
          <w:rStyle w:val="SectionNumber"/>
        </w:rPr>
        <w:t xml:space="preserve">22.4.2</w:t>
      </w:r>
      <w:r>
        <w:tab/>
      </w:r>
      <w:r>
        <w:t xml:space="preserve">RoCE (RDMA over Converged Ethernet)</w:t>
      </w:r>
    </w:p>
    <w:p>
      <w:pPr>
        <w:pStyle w:val="FirstParagraph"/>
      </w:pPr>
      <w:r>
        <w:t xml:space="preserve">RDMA-Implementierung für Standard-Ethernet-Netzwerke. Verfügbar in zwei Versionen:</w:t>
      </w:r>
    </w:p>
    <w:p>
      <w:pPr>
        <w:pStyle w:val="Compact"/>
        <w:numPr>
          <w:ilvl w:val="0"/>
          <w:numId w:val="1007"/>
        </w:numPr>
      </w:pPr>
      <w:r>
        <w:rPr>
          <w:b/>
          <w:bCs/>
        </w:rPr>
        <w:t xml:space="preserve">RoCE v1</w:t>
      </w:r>
      <w:r>
        <w:t xml:space="preserve">: Layer-2-Protokoll (nur innerhalb eines VLANs)</w:t>
      </w:r>
    </w:p>
    <w:p>
      <w:pPr>
        <w:pStyle w:val="Compact"/>
        <w:numPr>
          <w:ilvl w:val="0"/>
          <w:numId w:val="1007"/>
        </w:numPr>
      </w:pPr>
      <w:r>
        <w:rPr>
          <w:b/>
          <w:bCs/>
        </w:rPr>
        <w:t xml:space="preserve">RoCE v2</w:t>
      </w:r>
      <w:r>
        <w:t xml:space="preserve">: Layer-3-fähig (routbar über IP-Netzwerke, bevorzugt)</w:t>
      </w:r>
    </w:p>
    <w:p>
      <w:pPr>
        <w:pStyle w:val="FirstParagraph"/>
      </w:pPr>
      <w:r>
        <w:rPr>
          <w:b/>
          <w:bCs/>
        </w:rPr>
        <w:t xml:space="preserve">Wichtig</w:t>
      </w:r>
      <w:r>
        <w:t xml:space="preserve">: RoCE erfordert zwingend eine korrekte Switch-Konfiguration mit</w:t>
      </w:r>
      <w:r>
        <w:t xml:space="preserve"> </w:t>
      </w:r>
      <w:hyperlink w:anchor="pfc-priority-flow-control">
        <w:r>
          <w:rPr>
            <w:rStyle w:val="Hyperlink"/>
          </w:rPr>
          <w:t xml:space="preserve">PFC</w:t>
        </w:r>
      </w:hyperlink>
      <w:r>
        <w:t xml:space="preserve"> </w:t>
      </w:r>
      <w:r>
        <w:t xml:space="preserve">und</w:t>
      </w:r>
      <w:r>
        <w:t xml:space="preserve"> </w:t>
      </w:r>
      <w:hyperlink w:anchor="ecn-explicit-congestion-notification">
        <w:r>
          <w:rPr>
            <w:rStyle w:val="Hyperlink"/>
          </w:rPr>
          <w:t xml:space="preserve">ECN</w:t>
        </w:r>
      </w:hyperlink>
      <w:r>
        <w:t xml:space="preserve">, da RDMA</w:t>
      </w:r>
      <w:r>
        <w:t xml:space="preserve"> </w:t>
      </w:r>
      <w:r>
        <w:rPr>
          <w:b/>
          <w:bCs/>
        </w:rPr>
        <w:t xml:space="preserve">keine Paketverluste toleriert</w:t>
      </w:r>
      <w:r>
        <w:t xml:space="preserve">.</w:t>
      </w:r>
    </w:p>
    <w:bookmarkEnd w:id="161"/>
    <w:bookmarkStart w:id="162" w:name="iwarp-internet-wide-area-rdma-protocol"/>
    <w:p>
      <w:pPr>
        <w:pStyle w:val="Heading3"/>
      </w:pPr>
      <w:r>
        <w:rPr>
          <w:rStyle w:val="SectionNumber"/>
        </w:rPr>
        <w:t xml:space="preserve">22.4.3</w:t>
      </w:r>
      <w:r>
        <w:tab/>
      </w:r>
      <w:r>
        <w:t xml:space="preserve">iWARP (Internet Wide Area RDMA Protocol)</w:t>
      </w:r>
    </w:p>
    <w:p>
      <w:pPr>
        <w:pStyle w:val="FirstParagraph"/>
      </w:pPr>
      <w:r>
        <w:t xml:space="preserve">Alternative RDMA-Implementierung, die auf TCP/IP aufsetzt. Von Microsoft</w:t>
      </w:r>
      <w:r>
        <w:t xml:space="preserve"> </w:t>
      </w:r>
      <w:r>
        <w:rPr>
          <w:b/>
          <w:bCs/>
        </w:rPr>
        <w:t xml:space="preserve">empfohlen</w:t>
      </w:r>
      <w:r>
        <w:t xml:space="preserve">, da iWARP</w:t>
      </w:r>
      <w:r>
        <w:t xml:space="preserve"> </w:t>
      </w:r>
      <w:r>
        <w:rPr>
          <w:b/>
          <w:bCs/>
        </w:rPr>
        <w:t xml:space="preserve">keine spezielle Switch-Konfiguration</w:t>
      </w:r>
      <w:r>
        <w:t xml:space="preserve"> </w:t>
      </w:r>
      <w:r>
        <w:t xml:space="preserve">benötigt (kein PFC, kein ECN erforderlich). TCP übernimmt die Flusskontrolle. Einfacher zu implementieren als RoCE, aber bei identischer Hardware leicht geringerer Durchsatz.</w:t>
      </w:r>
    </w:p>
    <w:bookmarkEnd w:id="162"/>
    <w:bookmarkStart w:id="163" w:name="smb-server-message-block"/>
    <w:p>
      <w:pPr>
        <w:pStyle w:val="Heading3"/>
      </w:pPr>
      <w:r>
        <w:rPr>
          <w:rStyle w:val="SectionNumber"/>
        </w:rPr>
        <w:t xml:space="preserve">22.4.4</w:t>
      </w:r>
      <w:r>
        <w:tab/>
      </w:r>
      <w:r>
        <w:t xml:space="preserve">SMB (Server Message Block)</w:t>
      </w:r>
    </w:p>
    <w:p>
      <w:pPr>
        <w:pStyle w:val="FirstParagraph"/>
      </w:pPr>
      <w:r>
        <w:t xml:space="preserve">Netzwerkprotokoll für den Zugriff auf Dateien, Drucker und andere Netzwerkressourcen. S2D nutzt</w:t>
      </w:r>
      <w:r>
        <w:t xml:space="preserve"> </w:t>
      </w:r>
      <w:r>
        <w:rPr>
          <w:b/>
          <w:bCs/>
        </w:rPr>
        <w:t xml:space="preserve">SMB 3.x</w:t>
      </w:r>
      <w:r>
        <w:t xml:space="preserve"> </w:t>
      </w:r>
      <w:r>
        <w:t xml:space="preserve">als Transportprotokoll für den gesamten Storage-Traffic zwischen den Cluster-Knoten.</w:t>
      </w:r>
    </w:p>
    <w:bookmarkEnd w:id="163"/>
    <w:bookmarkStart w:id="164" w:name="smb-direct"/>
    <w:p>
      <w:pPr>
        <w:pStyle w:val="Heading3"/>
      </w:pPr>
      <w:r>
        <w:rPr>
          <w:rStyle w:val="SectionNumber"/>
        </w:rPr>
        <w:t xml:space="preserve">22.4.5</w:t>
      </w:r>
      <w:r>
        <w:tab/>
      </w:r>
      <w:r>
        <w:t xml:space="preserve">SMB Direct</w:t>
      </w:r>
    </w:p>
    <w:p>
      <w:pPr>
        <w:pStyle w:val="FirstParagraph"/>
      </w:pPr>
      <w:r>
        <w:t xml:space="preserve">SMB über RDMA. Ermöglicht CPU-entlastende Datenübertragung mit niedriger Latenz und hohem Durchsatz für den S2D-Storage-Traffic. Erfordert RDMA-fähige NICs.</w:t>
      </w:r>
    </w:p>
    <w:bookmarkEnd w:id="164"/>
    <w:bookmarkStart w:id="165" w:name="smb-multichannel"/>
    <w:p>
      <w:pPr>
        <w:pStyle w:val="Heading3"/>
      </w:pPr>
      <w:r>
        <w:rPr>
          <w:rStyle w:val="SectionNumber"/>
        </w:rPr>
        <w:t xml:space="preserve">22.4.6</w:t>
      </w:r>
      <w:r>
        <w:tab/>
      </w:r>
      <w:r>
        <w:t xml:space="preserve">SMB Multichannel</w:t>
      </w:r>
    </w:p>
    <w:p>
      <w:pPr>
        <w:pStyle w:val="FirstParagraph"/>
      </w:pPr>
      <w:r>
        <w:t xml:space="preserve">Feature von SMB 3.x, das automatisch mehrere Netzwerkverbindungen zwischen zwei Knoten nutzt. Bietet</w:t>
      </w:r>
      <w:r>
        <w:t xml:space="preserve"> </w:t>
      </w:r>
      <w:r>
        <w:rPr>
          <w:b/>
          <w:bCs/>
        </w:rPr>
        <w:t xml:space="preserve">Bandbreitenaggregation</w:t>
      </w:r>
      <w:r>
        <w:t xml:space="preserve"> </w:t>
      </w:r>
      <w:r>
        <w:t xml:space="preserve">(mehr Durchsatz) und</w:t>
      </w:r>
      <w:r>
        <w:t xml:space="preserve"> </w:t>
      </w:r>
      <w:r>
        <w:rPr>
          <w:b/>
          <w:bCs/>
        </w:rPr>
        <w:t xml:space="preserve">automatisches Failover</w:t>
      </w:r>
      <w:r>
        <w:t xml:space="preserve"> </w:t>
      </w:r>
      <w:r>
        <w:t xml:space="preserve">(Ausfall eines Pfads wird kompensiert). Aktiviert sich automatisch, wenn mehrere Netzwerkpfade vorhanden sind.</w:t>
      </w:r>
    </w:p>
    <w:p>
      <w:r>
        <w:pict>
          <v:rect style="width:0;height:1.5pt" o:hralign="center" o:hrstd="t" o:hr="t"/>
        </w:pict>
      </w:r>
    </w:p>
    <w:bookmarkEnd w:id="165"/>
    <w:bookmarkEnd w:id="166"/>
    <w:bookmarkStart w:id="182" w:name="Xad5a8204814c40aad0bb550311adff0d363099b"/>
    <w:p>
      <w:pPr>
        <w:pStyle w:val="Heading2"/>
      </w:pPr>
      <w:r>
        <w:rPr>
          <w:rStyle w:val="SectionNumber"/>
        </w:rPr>
        <w:t xml:space="preserve">22.5</w:t>
      </w:r>
      <w:r>
        <w:tab/>
      </w:r>
      <w:r>
        <w:t xml:space="preserve">Netzwerk — Flusskontrolle und Staumanagement</w:t>
      </w:r>
    </w:p>
    <w:bookmarkStart w:id="169" w:name="pfc-priority-flow-control"/>
    <w:p>
      <w:pPr>
        <w:pStyle w:val="Heading3"/>
      </w:pPr>
      <w:r>
        <w:rPr>
          <w:rStyle w:val="SectionNumber"/>
        </w:rPr>
        <w:t xml:space="preserve">22.5.1</w:t>
      </w:r>
      <w:r>
        <w:tab/>
      </w:r>
      <w:r>
        <w:t xml:space="preserve">PFC (Priority Flow Control)</w:t>
      </w:r>
    </w:p>
    <w:p>
      <w:pPr>
        <w:pStyle w:val="FirstParagraph"/>
      </w:pPr>
      <w:r>
        <w:rPr>
          <w:b/>
          <w:bCs/>
        </w:rPr>
        <w:t xml:space="preserve">IEEE 802.1Qbb</w:t>
      </w:r>
      <w:r>
        <w:t xml:space="preserve"> </w:t>
      </w:r>
      <w:r>
        <w:t xml:space="preserve">— Erweiterung des klassischen Ethernet-Pause-Mechanismus. Stoppt Traffic</w:t>
      </w:r>
      <w:r>
        <w:t xml:space="preserve"> </w:t>
      </w:r>
      <w:r>
        <w:rPr>
          <w:b/>
          <w:bCs/>
        </w:rPr>
        <w:t xml:space="preserve">pro Priorität/Queue</w:t>
      </w:r>
      <w:r>
        <w:t xml:space="preserve">, nicht die gesamte Leitung.</w:t>
      </w:r>
    </w:p>
    <w:p>
      <w:pPr>
        <w:pStyle w:val="BodyText"/>
      </w:pPr>
      <w:r>
        <w:rPr>
          <w:b/>
          <w:bCs/>
        </w:rPr>
        <w:t xml:space="preserve">Funktionsweise:</w:t>
      </w:r>
    </w:p>
    <w:p>
      <w:pPr>
        <w:pStyle w:val="Compact"/>
        <w:numPr>
          <w:ilvl w:val="0"/>
          <w:numId w:val="1008"/>
        </w:numPr>
      </w:pPr>
      <w:r>
        <w:t xml:space="preserve">Switch erkennt: Buffer läuft voll</w:t>
      </w:r>
    </w:p>
    <w:p>
      <w:pPr>
        <w:pStyle w:val="Compact"/>
        <w:numPr>
          <w:ilvl w:val="0"/>
          <w:numId w:val="1008"/>
        </w:numPr>
      </w:pPr>
      <w:r>
        <w:t xml:space="preserve">Switch sendet</w:t>
      </w:r>
      <w:r>
        <w:t xml:space="preserve"> </w:t>
      </w:r>
      <w:r>
        <w:rPr>
          <w:b/>
          <w:bCs/>
        </w:rPr>
        <w:t xml:space="preserve">Pause-Frame</w:t>
      </w:r>
      <w:r>
        <w:t xml:space="preserve"> </w:t>
      </w:r>
      <w:r>
        <w:t xml:space="preserve">an den Sender</w:t>
      </w:r>
    </w:p>
    <w:p>
      <w:pPr>
        <w:pStyle w:val="Compact"/>
        <w:numPr>
          <w:ilvl w:val="0"/>
          <w:numId w:val="1008"/>
        </w:numPr>
      </w:pPr>
      <w:r>
        <w:t xml:space="preserve">Sender</w:t>
      </w:r>
      <w:r>
        <w:t xml:space="preserve"> </w:t>
      </w:r>
      <w:r>
        <w:rPr>
          <w:b/>
          <w:bCs/>
        </w:rPr>
        <w:t xml:space="preserve">stoppt sofort</w:t>
      </w:r>
      <w:r>
        <w:t xml:space="preserve"> </w:t>
      </w:r>
      <w:r>
        <w:t xml:space="preserve">Traffic für diese Priorität</w:t>
      </w:r>
    </w:p>
    <w:p>
      <w:pPr>
        <w:pStyle w:val="FirstParagraph"/>
      </w:pPr>
      <w:r>
        <w:rPr>
          <w:b/>
          <w:bCs/>
        </w:rPr>
        <w:t xml:space="preserve">Ziel:</w:t>
      </w:r>
      <w:r>
        <w:t xml:space="preserve"> </w:t>
      </w:r>
      <w:r>
        <w:t xml:space="preserve">Keine Paketverluste (</w:t>
      </w:r>
      <w:r>
        <w:rPr>
          <w:b/>
          <w:bCs/>
        </w:rPr>
        <w:t xml:space="preserve">Lossless Ethernet</w:t>
      </w:r>
      <w:r>
        <w:t xml:space="preserve">) — extrem wichtig für RDMA/RoCE, da sonst die Session abbricht.</w:t>
      </w:r>
    </w:p>
    <w:p>
      <w:pPr>
        <w:pStyle w:val="BodyText"/>
      </w:pPr>
      <w:r>
        <w:rPr>
          <w:b/>
          <w:bCs/>
        </w:rPr>
        <w:t xml:space="preserve">Mentales Modell:</w:t>
      </w:r>
    </w:p>
    <w:p>
      <w:pPr>
        <w:pStyle w:val="BlockText"/>
      </w:pPr>
      <w:r>
        <w:t xml:space="preserve">PFC = „Stopp! Sende erstmal nichts mehr.” — Die</w:t>
      </w:r>
      <w:r>
        <w:t xml:space="preserve"> </w:t>
      </w:r>
      <w:r>
        <w:rPr>
          <w:b/>
          <w:bCs/>
        </w:rPr>
        <w:t xml:space="preserve">Notbremse</w:t>
      </w:r>
      <w:r>
        <w:t xml:space="preserve">.</w:t>
      </w:r>
    </w:p>
    <w:p>
      <w:pPr>
        <w:pStyle w:val="FirstParagraph"/>
      </w:pPr>
      <w:r>
        <w:rPr>
          <w:b/>
          <w:bCs/>
        </w:rPr>
        <w:t xml:space="preserve">Risiken:</w:t>
      </w:r>
    </w:p>
    <w:p>
      <w:pPr>
        <w:pStyle w:val="Compact"/>
        <w:numPr>
          <w:ilvl w:val="0"/>
          <w:numId w:val="1009"/>
        </w:numPr>
      </w:pPr>
      <w:r>
        <w:rPr>
          <w:b/>
          <w:bCs/>
        </w:rPr>
        <w:t xml:space="preserve">Head-of-Line Blocking</w:t>
      </w:r>
      <w:r>
        <w:t xml:space="preserve">: Andere Flows in derselben Queue werden ebenfalls blockiert</w:t>
      </w:r>
    </w:p>
    <w:p>
      <w:pPr>
        <w:pStyle w:val="Compact"/>
        <w:numPr>
          <w:ilvl w:val="0"/>
          <w:numId w:val="1009"/>
        </w:numPr>
      </w:pPr>
      <w:r>
        <w:rPr>
          <w:b/>
          <w:bCs/>
        </w:rPr>
        <w:t xml:space="preserve">Congestion Spreading / Pause Storm</w:t>
      </w:r>
      <w:r>
        <w:t xml:space="preserve">: Pausen pflanzen sich über mehrere Switches fort</w:t>
      </w:r>
    </w:p>
    <w:p>
      <w:pPr>
        <w:pStyle w:val="Compact"/>
        <w:numPr>
          <w:ilvl w:val="0"/>
          <w:numId w:val="1009"/>
        </w:numPr>
      </w:pPr>
      <w:r>
        <w:rPr>
          <w:b/>
          <w:bCs/>
        </w:rPr>
        <w:t xml:space="preserve">Deadlocks</w:t>
      </w:r>
      <w:r>
        <w:t xml:space="preserve">: Bei falscher ToR-Konfiguration können sich Flows gegenseitig blockieren</w:t>
      </w:r>
    </w:p>
    <w:p>
      <w:pPr>
        <w:pStyle w:val="FirstParagraph"/>
      </w:pPr>
      <w:r>
        <w:rPr>
          <w:b/>
          <w:bCs/>
        </w:rPr>
        <w:t xml:space="preserve">Praxis</w:t>
      </w:r>
      <w:r>
        <w:t xml:space="preserve">: PFC wird</w:t>
      </w:r>
      <w:r>
        <w:t xml:space="preserve"> </w:t>
      </w:r>
      <w:r>
        <w:rPr>
          <w:b/>
          <w:bCs/>
        </w:rPr>
        <w:t xml:space="preserve">nur für RoCE-Traffic</w:t>
      </w:r>
      <w:r>
        <w:t xml:space="preserve"> </w:t>
      </w:r>
      <w:r>
        <w:t xml:space="preserve">aktiviert (typischerweise Priority 3 oder 5), nicht für den gesamten Netzwerkverkehr.</w:t>
      </w:r>
    </w:p>
    <w:p>
      <w:pPr>
        <w:pStyle w:val="BodyText"/>
      </w:pPr>
      <w:r>
        <w:rPr>
          <w:i/>
          <w:iCs/>
        </w:rPr>
        <w:t xml:space="preserve">Quellen:</w:t>
      </w:r>
      <w:r>
        <w:rPr>
          <w:i/>
          <w:iCs/>
        </w:rPr>
        <w:t xml:space="preserve"> </w:t>
      </w:r>
      <w:hyperlink r:id="rId167">
        <w:r>
          <w:rPr>
            <w:rStyle w:val="Hyperlink"/>
            <w:i/>
            <w:iCs/>
          </w:rPr>
          <w:t xml:space="preserve">Microsoft Learn — Priority-based Flow Control</w:t>
        </w:r>
      </w:hyperlink>
      <w:r>
        <w:rPr>
          <w:i/>
          <w:iCs/>
        </w:rPr>
        <w:t xml:space="preserve">,</w:t>
      </w:r>
      <w:r>
        <w:rPr>
          <w:i/>
          <w:iCs/>
        </w:rPr>
        <w:t xml:space="preserve"> </w:t>
      </w:r>
      <w:hyperlink r:id="rId168">
        <w:r>
          <w:rPr>
            <w:rStyle w:val="Hyperlink"/>
            <w:i/>
            <w:iCs/>
          </w:rPr>
          <w:t xml:space="preserve">NVIDIA ONYX Documentation</w:t>
        </w:r>
      </w:hyperlink>
    </w:p>
    <w:bookmarkEnd w:id="169"/>
    <w:bookmarkStart w:id="172" w:name="ecn-explicit-congestion-notification"/>
    <w:p>
      <w:pPr>
        <w:pStyle w:val="Heading3"/>
      </w:pPr>
      <w:r>
        <w:rPr>
          <w:rStyle w:val="SectionNumber"/>
        </w:rPr>
        <w:t xml:space="preserve">22.5.2</w:t>
      </w:r>
      <w:r>
        <w:tab/>
      </w:r>
      <w:r>
        <w:t xml:space="preserve">ECN (Explicit Congestion Notification)</w:t>
      </w:r>
    </w:p>
    <w:p>
      <w:pPr>
        <w:pStyle w:val="FirstParagraph"/>
      </w:pPr>
      <w:r>
        <w:rPr>
          <w:b/>
          <w:bCs/>
        </w:rPr>
        <w:t xml:space="preserve">RFC 3168</w:t>
      </w:r>
      <w:r>
        <w:t xml:space="preserve"> </w:t>
      </w:r>
      <w:r>
        <w:t xml:space="preserve">— Layer-3-Mechanismus zur frühzeitigen Stauanzeige. Markiert Pakete bei drohender Überlast,</w:t>
      </w:r>
      <w:r>
        <w:t xml:space="preserve"> </w:t>
      </w:r>
      <w:r>
        <w:rPr>
          <w:b/>
          <w:bCs/>
        </w:rPr>
        <w:t xml:space="preserve">statt sie zu verwerfen</w:t>
      </w:r>
      <w:r>
        <w:t xml:space="preserve"> </w:t>
      </w:r>
      <w:r>
        <w:t xml:space="preserve">(im Gegensatz zu klassischem Tail Drop).</w:t>
      </w:r>
    </w:p>
    <w:p>
      <w:pPr>
        <w:pStyle w:val="BodyText"/>
      </w:pPr>
      <w:r>
        <w:rPr>
          <w:b/>
          <w:bCs/>
        </w:rPr>
        <w:t xml:space="preserve">Funktionsweise:</w:t>
      </w:r>
    </w:p>
    <w:p>
      <w:pPr>
        <w:pStyle w:val="Compact"/>
        <w:numPr>
          <w:ilvl w:val="0"/>
          <w:numId w:val="1010"/>
        </w:numPr>
      </w:pPr>
      <w:r>
        <w:t xml:space="preserve">Switch erkennt steigende Queue (Congestion)</w:t>
      </w:r>
    </w:p>
    <w:p>
      <w:pPr>
        <w:pStyle w:val="Compact"/>
        <w:numPr>
          <w:ilvl w:val="0"/>
          <w:numId w:val="1010"/>
        </w:numPr>
      </w:pPr>
      <w:r>
        <w:t xml:space="preserve">Switch</w:t>
      </w:r>
      <w:r>
        <w:t xml:space="preserve"> </w:t>
      </w:r>
      <w:r>
        <w:rPr>
          <w:b/>
          <w:bCs/>
        </w:rPr>
        <w:t xml:space="preserve">markiert</w:t>
      </w:r>
      <w:r>
        <w:t xml:space="preserve"> </w:t>
      </w:r>
      <w:r>
        <w:t xml:space="preserve">Pakete mit dem ECN-Flag im IP-Header</w:t>
      </w:r>
    </w:p>
    <w:p>
      <w:pPr>
        <w:pStyle w:val="Compact"/>
        <w:numPr>
          <w:ilvl w:val="0"/>
          <w:numId w:val="1010"/>
        </w:numPr>
      </w:pPr>
      <w:r>
        <w:t xml:space="preserve">Empfänger meldet die Markierung an den Sender zurück</w:t>
      </w:r>
    </w:p>
    <w:p>
      <w:pPr>
        <w:pStyle w:val="Compact"/>
        <w:numPr>
          <w:ilvl w:val="0"/>
          <w:numId w:val="1010"/>
        </w:numPr>
      </w:pPr>
      <w:r>
        <w:t xml:space="preserve">Sender</w:t>
      </w:r>
      <w:r>
        <w:t xml:space="preserve"> </w:t>
      </w:r>
      <w:r>
        <w:rPr>
          <w:b/>
          <w:bCs/>
        </w:rPr>
        <w:t xml:space="preserve">reduziert seine Senderate</w:t>
      </w:r>
      <w:r>
        <w:t xml:space="preserve"> </w:t>
      </w:r>
      <w:r>
        <w:t xml:space="preserve">freiwillig</w:t>
      </w:r>
    </w:p>
    <w:p>
      <w:pPr>
        <w:pStyle w:val="FirstParagraph"/>
      </w:pPr>
      <w:r>
        <w:rPr>
          <w:b/>
          <w:bCs/>
        </w:rPr>
        <w:t xml:space="preserve">Ziel:</w:t>
      </w:r>
      <w:r>
        <w:t xml:space="preserve"> </w:t>
      </w:r>
      <w:r>
        <w:t xml:space="preserve">Frühzeitige Staukontrolle — verhindert Packet Loss</w:t>
      </w:r>
      <w:r>
        <w:t xml:space="preserve"> </w:t>
      </w:r>
      <w:r>
        <w:rPr>
          <w:b/>
          <w:bCs/>
        </w:rPr>
        <w:t xml:space="preserve">und</w:t>
      </w:r>
      <w:r>
        <w:t xml:space="preserve"> </w:t>
      </w:r>
      <w:r>
        <w:t xml:space="preserve">vermeidet harte PFC-Pausen.</w:t>
      </w:r>
    </w:p>
    <w:p>
      <w:pPr>
        <w:pStyle w:val="BodyText"/>
      </w:pPr>
      <w:r>
        <w:rPr>
          <w:b/>
          <w:bCs/>
        </w:rPr>
        <w:t xml:space="preserve">Mentales Modell:</w:t>
      </w:r>
    </w:p>
    <w:p>
      <w:pPr>
        <w:pStyle w:val="BlockText"/>
      </w:pPr>
      <w:r>
        <w:t xml:space="preserve">ECN = „Langsamer senden — hier wird es eng.” — Die</w:t>
      </w:r>
      <w:r>
        <w:t xml:space="preserve"> </w:t>
      </w:r>
      <w:r>
        <w:rPr>
          <w:b/>
          <w:bCs/>
        </w:rPr>
        <w:t xml:space="preserve">intelligente Verkehrsregelung</w:t>
      </w:r>
      <w:r>
        <w:t xml:space="preserve">.</w:t>
      </w:r>
    </w:p>
    <w:p>
      <w:pPr>
        <w:pStyle w:val="FirstParagraph"/>
      </w:pPr>
      <w:r>
        <w:rPr>
          <w:b/>
          <w:bCs/>
        </w:rPr>
        <w:t xml:space="preserve">Vorteile gegenüber reinem PFC:</w:t>
      </w:r>
    </w:p>
    <w:p>
      <w:pPr>
        <w:pStyle w:val="Compact"/>
        <w:numPr>
          <w:ilvl w:val="0"/>
          <w:numId w:val="1011"/>
        </w:numPr>
      </w:pPr>
      <w:r>
        <w:t xml:space="preserve">Vermeidet harte Pausen</w:t>
      </w:r>
    </w:p>
    <w:p>
      <w:pPr>
        <w:pStyle w:val="Compact"/>
        <w:numPr>
          <w:ilvl w:val="0"/>
          <w:numId w:val="1011"/>
        </w:numPr>
      </w:pPr>
      <w:r>
        <w:t xml:space="preserve">Bessere Fairness zwischen Flows</w:t>
      </w:r>
    </w:p>
    <w:p>
      <w:pPr>
        <w:pStyle w:val="Compact"/>
        <w:numPr>
          <w:ilvl w:val="0"/>
          <w:numId w:val="1011"/>
        </w:numPr>
      </w:pPr>
      <w:r>
        <w:t xml:space="preserve">Stabilere Performance bei Clustern mit hohem Traffic</w:t>
      </w:r>
    </w:p>
    <w:p>
      <w:pPr>
        <w:pStyle w:val="FirstParagraph"/>
      </w:pPr>
      <w:r>
        <w:rPr>
          <w:i/>
          <w:iCs/>
        </w:rPr>
        <w:t xml:space="preserve">Quellen:</w:t>
      </w:r>
      <w:r>
        <w:rPr>
          <w:i/>
          <w:iCs/>
        </w:rPr>
        <w:t xml:space="preserve"> </w:t>
      </w:r>
      <w:hyperlink r:id="rId170">
        <w:r>
          <w:rPr>
            <w:rStyle w:val="Hyperlink"/>
            <w:i/>
            <w:iCs/>
          </w:rPr>
          <w:t xml:space="preserve">Juniper — DCQCN Traffic Management</w:t>
        </w:r>
      </w:hyperlink>
      <w:r>
        <w:rPr>
          <w:i/>
          <w:iCs/>
        </w:rPr>
        <w:t xml:space="preserve">,</w:t>
      </w:r>
      <w:r>
        <w:rPr>
          <w:i/>
          <w:iCs/>
        </w:rPr>
        <w:t xml:space="preserve"> </w:t>
      </w:r>
      <w:hyperlink r:id="rId171">
        <w:r>
          <w:rPr>
            <w:rStyle w:val="Hyperlink"/>
            <w:i/>
            <w:iCs/>
          </w:rPr>
          <w:t xml:space="preserve">FS.com — ECN vs. DCQCN</w:t>
        </w:r>
      </w:hyperlink>
    </w:p>
    <w:bookmarkEnd w:id="172"/>
    <w:bookmarkStart w:id="173" w:name="pfc-und-ecn-im-zusammenspiel-bei-roce"/>
    <w:p>
      <w:pPr>
        <w:pStyle w:val="Heading3"/>
      </w:pPr>
      <w:r>
        <w:rPr>
          <w:rStyle w:val="SectionNumber"/>
        </w:rPr>
        <w:t xml:space="preserve">22.5.3</w:t>
      </w:r>
      <w:r>
        <w:tab/>
      </w:r>
      <w:r>
        <w:t xml:space="preserve">PFC und ECN im Zusammenspiel (bei RoCE)</w:t>
      </w:r>
    </w:p>
    <w:p>
      <w:pPr>
        <w:pStyle w:val="FirstParagraph"/>
      </w:pPr>
      <w:r>
        <w:t xml:space="preserve">RoCE hat zwei harte Anforderungen: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Anforderung</w:t>
            </w:r>
          </w:p>
        </w:tc>
        <w:tc>
          <w:tcPr/>
          <w:p>
            <w:pPr>
              <w:pStyle w:val="Compact"/>
            </w:pPr>
            <w:r>
              <w:t xml:space="preserve">Mechanismus</w:t>
            </w:r>
          </w:p>
        </w:tc>
        <w:tc>
          <w:tcPr/>
          <w:p>
            <w:pPr>
              <w:pStyle w:val="Compact"/>
            </w:pPr>
            <w:r>
              <w:t xml:space="preserve">Wirkung</w:t>
            </w:r>
          </w:p>
        </w:tc>
      </w:tr>
      <w:tr>
        <w:tc>
          <w:tcPr/>
          <w:p>
            <w:pPr>
              <w:pStyle w:val="Compact"/>
            </w:pPr>
            <w:r>
              <w:t xml:space="preserve">Kein Packet Loss</w:t>
            </w:r>
          </w:p>
        </w:tc>
        <w:tc>
          <w:tcPr/>
          <w:p>
            <w:pPr>
              <w:pStyle w:val="Compact"/>
            </w:pPr>
            <w:r>
              <w:rPr>
                <w:b/>
                <w:bCs/>
              </w:rPr>
              <w:t xml:space="preserve">PFC</w:t>
            </w:r>
          </w:p>
        </w:tc>
        <w:tc>
          <w:tcPr/>
          <w:p>
            <w:pPr>
              <w:pStyle w:val="Compact"/>
            </w:pPr>
            <w:r>
              <w:t xml:space="preserve">Switch verhindert Drops durch „Pause”</w:t>
            </w:r>
          </w:p>
        </w:tc>
      </w:tr>
      <w:tr>
        <w:tc>
          <w:tcPr/>
          <w:p>
            <w:pPr>
              <w:pStyle w:val="Compact"/>
            </w:pPr>
            <w:r>
              <w:t xml:space="preserve">Kein dauerhafter Stau / Deadlock</w:t>
            </w:r>
          </w:p>
        </w:tc>
        <w:tc>
          <w:tcPr/>
          <w:p>
            <w:pPr>
              <w:pStyle w:val="Compact"/>
            </w:pPr>
            <w:r>
              <w:rPr>
                <w:b/>
                <w:bCs/>
              </w:rPr>
              <w:t xml:space="preserve">ECN</w:t>
            </w:r>
          </w:p>
        </w:tc>
        <w:tc>
          <w:tcPr/>
          <w:p>
            <w:pPr>
              <w:pStyle w:val="Compact"/>
            </w:pPr>
            <w:r>
              <w:t xml:space="preserve">Reduziert Traffic, bevor PFC eskaliert</w:t>
            </w:r>
          </w:p>
        </w:tc>
      </w:tr>
    </w:tbl>
    <w:p>
      <w:pPr>
        <w:pStyle w:val="BodyText"/>
      </w:pPr>
      <w:r>
        <w:t xml:space="preserve">Moderne RoCE-Designs kombinieren beide Mechanismen bewusst:</w:t>
      </w:r>
    </w:p>
    <w:p>
      <w:pPr>
        <w:pStyle w:val="Compact"/>
        <w:numPr>
          <w:ilvl w:val="0"/>
          <w:numId w:val="1012"/>
        </w:numPr>
      </w:pPr>
      <w:r>
        <w:rPr>
          <w:b/>
          <w:bCs/>
        </w:rPr>
        <w:t xml:space="preserve">PFC</w:t>
      </w:r>
      <w:r>
        <w:t xml:space="preserve"> </w:t>
      </w:r>
      <w:r>
        <w:t xml:space="preserve">= Notbremse (reaktiv, link-basiert)</w:t>
      </w:r>
    </w:p>
    <w:p>
      <w:pPr>
        <w:pStyle w:val="Compact"/>
        <w:numPr>
          <w:ilvl w:val="0"/>
          <w:numId w:val="1012"/>
        </w:numPr>
      </w:pPr>
      <w:r>
        <w:rPr>
          <w:b/>
          <w:bCs/>
        </w:rPr>
        <w:t xml:space="preserve">ECN</w:t>
      </w:r>
      <w:r>
        <w:t xml:space="preserve"> </w:t>
      </w:r>
      <w:r>
        <w:t xml:space="preserve">= Intelligente Verkehrsregelung (proaktiv, End-to-End)</w:t>
      </w:r>
    </w:p>
    <w:p>
      <w:pPr>
        <w:pStyle w:val="FirstParagraph"/>
      </w:pPr>
      <w:r>
        <w:rPr>
          <w:b/>
          <w:bCs/>
        </w:rPr>
        <w:t xml:space="preserve">Praxis-Konfiguration</w:t>
      </w:r>
      <w:r>
        <w:t xml:space="preserve"> </w:t>
      </w:r>
      <w:r>
        <w:t xml:space="preserve">(ToR-Switch):</w:t>
      </w:r>
    </w:p>
    <w:p>
      <w:pPr>
        <w:pStyle w:val="Compact"/>
        <w:numPr>
          <w:ilvl w:val="0"/>
          <w:numId w:val="1013"/>
        </w:numPr>
      </w:pPr>
      <w:r>
        <w:t xml:space="preserve">QoS / PCP korrekt mappen</w:t>
      </w:r>
    </w:p>
    <w:p>
      <w:pPr>
        <w:pStyle w:val="Compact"/>
        <w:numPr>
          <w:ilvl w:val="0"/>
          <w:numId w:val="1013"/>
        </w:numPr>
      </w:pPr>
      <w:r>
        <w:t xml:space="preserve">PFC</w:t>
      </w:r>
      <w:r>
        <w:t xml:space="preserve"> </w:t>
      </w:r>
      <w:r>
        <w:rPr>
          <w:b/>
          <w:bCs/>
        </w:rPr>
        <w:t xml:space="preserve">nur für RoCE-Traffic</w:t>
      </w:r>
      <w:r>
        <w:t xml:space="preserve"> </w:t>
      </w:r>
      <w:r>
        <w:t xml:space="preserve">aktivieren (z. B. Priority 3 oder 5)</w:t>
      </w:r>
    </w:p>
    <w:p>
      <w:pPr>
        <w:pStyle w:val="Compact"/>
        <w:numPr>
          <w:ilvl w:val="0"/>
          <w:numId w:val="1013"/>
        </w:numPr>
      </w:pPr>
      <w:r>
        <w:t xml:space="preserve">ECN auf Switch-Queues aktivieren (WRED / Marking Thresholds)</w:t>
      </w:r>
    </w:p>
    <w:p>
      <w:pPr>
        <w:pStyle w:val="Compact"/>
        <w:numPr>
          <w:ilvl w:val="0"/>
          <w:numId w:val="1013"/>
        </w:numPr>
      </w:pPr>
      <w:r>
        <w:t xml:space="preserve">Endpoints müssen ECN verstehen (Windows Server unterstützt ECN)</w:t>
      </w:r>
    </w:p>
    <w:bookmarkEnd w:id="173"/>
    <w:bookmarkStart w:id="174" w:name="Xc7c1422afe08aec80a9e88eba13acf281295c10"/>
    <w:p>
      <w:pPr>
        <w:pStyle w:val="Heading3"/>
      </w:pPr>
      <w:r>
        <w:rPr>
          <w:rStyle w:val="SectionNumber"/>
        </w:rPr>
        <w:t xml:space="preserve">22.5.4</w:t>
      </w:r>
      <w:r>
        <w:tab/>
      </w:r>
      <w:r>
        <w:t xml:space="preserve">DCQCN (Data Center Quantized Congestion Notification)</w:t>
      </w:r>
    </w:p>
    <w:p>
      <w:pPr>
        <w:pStyle w:val="FirstParagraph"/>
      </w:pPr>
      <w:r>
        <w:t xml:space="preserve">Kongestions-Kontrollprotokoll speziell für RoCE v2 in Rechenzentren. Kombiniert ECN-Signale vom Switch mit einer Rate-Limiting-Logik auf dem Sender (NIC-Firmware). Bietet schnelle Reaktion auf Stau bei gleichzeitig hoher Auslastung der verfügbaren Bandbreite.</w:t>
      </w:r>
    </w:p>
    <w:bookmarkEnd w:id="174"/>
    <w:bookmarkStart w:id="175" w:name="dcb-data-center-bridging"/>
    <w:p>
      <w:pPr>
        <w:pStyle w:val="Heading3"/>
      </w:pPr>
      <w:r>
        <w:rPr>
          <w:rStyle w:val="SectionNumber"/>
        </w:rPr>
        <w:t xml:space="preserve">22.5.5</w:t>
      </w:r>
      <w:r>
        <w:tab/>
      </w:r>
      <w:r>
        <w:t xml:space="preserve">DCB (Data Center Bridging)</w:t>
      </w:r>
    </w:p>
    <w:p>
      <w:pPr>
        <w:pStyle w:val="FirstParagraph"/>
      </w:pPr>
      <w:r>
        <w:t xml:space="preserve">Sammelbegriff für eine Gruppe von IEEE-Standards (802.1Qbb, 802.1Qaz, 802.1AB), die Ethernet für den Einsatz im Rechenzentrum optimieren. Umfasst PFC, ETS (Enhanced Transmission Selection) und DCBX (Data Center Bridging Exchange). In Windows Server als Feature</w:t>
      </w:r>
      <w:r>
        <w:t xml:space="preserve"> </w:t>
      </w:r>
      <w:r>
        <w:rPr>
          <w:b/>
          <w:bCs/>
        </w:rPr>
        <w:t xml:space="preserve">Data-Center-Bridging</w:t>
      </w:r>
      <w:r>
        <w:t xml:space="preserve"> </w:t>
      </w:r>
      <w:r>
        <w:t xml:space="preserve">installierbar —</w:t>
      </w:r>
      <w:r>
        <w:t xml:space="preserve"> </w:t>
      </w:r>
      <w:r>
        <w:rPr>
          <w:b/>
          <w:bCs/>
        </w:rPr>
        <w:t xml:space="preserve">nur bei RoCE erforderlich</w:t>
      </w:r>
      <w:r>
        <w:t xml:space="preserve">, nicht bei iWARP.</w:t>
      </w:r>
    </w:p>
    <w:bookmarkEnd w:id="175"/>
    <w:bookmarkStart w:id="176" w:name="qos-quality-of-service"/>
    <w:p>
      <w:pPr>
        <w:pStyle w:val="Heading3"/>
      </w:pPr>
      <w:r>
        <w:rPr>
          <w:rStyle w:val="SectionNumber"/>
        </w:rPr>
        <w:t xml:space="preserve">22.5.6</w:t>
      </w:r>
      <w:r>
        <w:tab/>
      </w:r>
      <w:r>
        <w:t xml:space="preserve">QoS (Quality of Service)</w:t>
      </w:r>
    </w:p>
    <w:p>
      <w:pPr>
        <w:pStyle w:val="FirstParagraph"/>
      </w:pPr>
      <w:r>
        <w:t xml:space="preserve">Sammelbegriff für Mechanismen zur Priorisierung und Steuerung von Netzwerk-Traffic. Im S2D-Kontext wird QoS verwendet, um RDMA-/Storage-Traffic gegenüber anderem Traffic zu bevorzugen und Bandbreiten-Minimum-Werte zu garantieren.</w:t>
      </w:r>
    </w:p>
    <w:bookmarkEnd w:id="176"/>
    <w:bookmarkStart w:id="177" w:name="pcp-priority-code-point"/>
    <w:p>
      <w:pPr>
        <w:pStyle w:val="Heading3"/>
      </w:pPr>
      <w:r>
        <w:rPr>
          <w:rStyle w:val="SectionNumber"/>
        </w:rPr>
        <w:t xml:space="preserve">22.5.7</w:t>
      </w:r>
      <w:r>
        <w:tab/>
      </w:r>
      <w:r>
        <w:t xml:space="preserve">PCP (Priority Code Point)</w:t>
      </w:r>
    </w:p>
    <w:p>
      <w:pPr>
        <w:pStyle w:val="FirstParagraph"/>
      </w:pPr>
      <w:r>
        <w:t xml:space="preserve">3-Bit-Feld im VLAN-Tag (IEEE 802.1Q), das die Priorität eines Ethernet-Frames angibt (Werte 0–7). Wird bei PFC und ETS verwendet, um Traffic in verschiedene Prioritätsklassen einzuordnen. RoCE-Traffic wird typischerweise auf Priority 3 oder 5 gemappt.</w:t>
      </w:r>
    </w:p>
    <w:bookmarkEnd w:id="177"/>
    <w:bookmarkStart w:id="178" w:name="wred-weighted-random-early-detection"/>
    <w:p>
      <w:pPr>
        <w:pStyle w:val="Heading3"/>
      </w:pPr>
      <w:r>
        <w:rPr>
          <w:rStyle w:val="SectionNumber"/>
        </w:rPr>
        <w:t xml:space="preserve">22.5.8</w:t>
      </w:r>
      <w:r>
        <w:tab/>
      </w:r>
      <w:r>
        <w:t xml:space="preserve">WRED (Weighted Random Early Detection)</w:t>
      </w:r>
    </w:p>
    <w:p>
      <w:pPr>
        <w:pStyle w:val="FirstParagraph"/>
      </w:pPr>
      <w:r>
        <w:t xml:space="preserve">Staumanagement-Algorithmus auf Switches. Verwirft oder markiert (bei ECN) Pakete</w:t>
      </w:r>
      <w:r>
        <w:t xml:space="preserve"> </w:t>
      </w:r>
      <w:r>
        <w:rPr>
          <w:b/>
          <w:bCs/>
        </w:rPr>
        <w:t xml:space="preserve">zufällig und gewichtet</w:t>
      </w:r>
      <w:r>
        <w:t xml:space="preserve">, bevor die Queue komplett voll ist. Verhindert globale Synchronisation (alle Sender reduzieren gleichzeitig) und ermöglicht eine fairere Verteilung der verfügbaren Bandbreite.</w:t>
      </w:r>
    </w:p>
    <w:bookmarkEnd w:id="178"/>
    <w:bookmarkStart w:id="179" w:name="lossless-ethernet"/>
    <w:p>
      <w:pPr>
        <w:pStyle w:val="Heading3"/>
      </w:pPr>
      <w:r>
        <w:rPr>
          <w:rStyle w:val="SectionNumber"/>
        </w:rPr>
        <w:t xml:space="preserve">22.5.9</w:t>
      </w:r>
      <w:r>
        <w:tab/>
      </w:r>
      <w:r>
        <w:t xml:space="preserve">Lossless Ethernet</w:t>
      </w:r>
    </w:p>
    <w:p>
      <w:pPr>
        <w:pStyle w:val="FirstParagraph"/>
      </w:pPr>
      <w:r>
        <w:t xml:space="preserve">Ethernet-Netzwerk, in dem</w:t>
      </w:r>
      <w:r>
        <w:t xml:space="preserve"> </w:t>
      </w:r>
      <w:r>
        <w:rPr>
          <w:b/>
          <w:bCs/>
        </w:rPr>
        <w:t xml:space="preserve">keine Pakete durch Überlast verworfen</w:t>
      </w:r>
      <w:r>
        <w:t xml:space="preserve"> </w:t>
      </w:r>
      <w:r>
        <w:t xml:space="preserve">werden. Wird durch PFC realisiert. Voraussetzung für RDMA/RoCE, da RDMA-Protokolle keinen eingebauten Retransmit-Mechanismus haben und bei Paketverlust die Verbindung abbrechen.</w:t>
      </w:r>
    </w:p>
    <w:bookmarkEnd w:id="179"/>
    <w:bookmarkStart w:id="180" w:name="head-of-line-blocking"/>
    <w:p>
      <w:pPr>
        <w:pStyle w:val="Heading3"/>
      </w:pPr>
      <w:r>
        <w:rPr>
          <w:rStyle w:val="SectionNumber"/>
        </w:rPr>
        <w:t xml:space="preserve">22.5.10</w:t>
      </w:r>
      <w:r>
        <w:tab/>
      </w:r>
      <w:r>
        <w:t xml:space="preserve">Head-of-Line Blocking</w:t>
      </w:r>
    </w:p>
    <w:p>
      <w:pPr>
        <w:pStyle w:val="FirstParagraph"/>
      </w:pPr>
      <w:r>
        <w:t xml:space="preserve">Problem bei PFC: Wenn ein Flow pausiert wird, werden alle anderen Flows, die dieselbe Queue oder denselben Ausgangsport teilen, ebenfalls blockiert — auch wenn sie nicht am Stau beteiligt sind.</w:t>
      </w:r>
    </w:p>
    <w:bookmarkEnd w:id="180"/>
    <w:bookmarkStart w:id="181" w:name="pause-storm-congestion-spreading"/>
    <w:p>
      <w:pPr>
        <w:pStyle w:val="Heading3"/>
      </w:pPr>
      <w:r>
        <w:rPr>
          <w:rStyle w:val="SectionNumber"/>
        </w:rPr>
        <w:t xml:space="preserve">22.5.11</w:t>
      </w:r>
      <w:r>
        <w:tab/>
      </w:r>
      <w:r>
        <w:t xml:space="preserve">Pause Storm (Congestion Spreading)</w:t>
      </w:r>
    </w:p>
    <w:p>
      <w:pPr>
        <w:pStyle w:val="FirstParagraph"/>
      </w:pPr>
      <w:r>
        <w:t xml:space="preserve">Kettenreaktion bei PFC: Ein überlasteter Switch sendet Pause-Frames an seine Upstream-Switches, die wiederum Pause-Frames an ihre Upstream-Switches senden. Der Stau breitet sich rückwärts über mehrere Switches aus und kann große Teile des Netzwerks lahmlegen.</w:t>
      </w:r>
    </w:p>
    <w:p>
      <w:r>
        <w:pict>
          <v:rect style="width:0;height:1.5pt" o:hralign="center" o:hrstd="t" o:hr="t"/>
        </w:pict>
      </w:r>
    </w:p>
    <w:bookmarkEnd w:id="181"/>
    <w:bookmarkEnd w:id="182"/>
    <w:bookmarkStart w:id="188" w:name="netzwerk-teaming-und-verkabelung"/>
    <w:p>
      <w:pPr>
        <w:pStyle w:val="Heading2"/>
      </w:pPr>
      <w:r>
        <w:rPr>
          <w:rStyle w:val="SectionNumber"/>
        </w:rPr>
        <w:t xml:space="preserve">22.6</w:t>
      </w:r>
      <w:r>
        <w:tab/>
      </w:r>
      <w:r>
        <w:t xml:space="preserve">Netzwerk — Teaming und Verkabelung</w:t>
      </w:r>
    </w:p>
    <w:bookmarkStart w:id="183" w:name="set-switch-embedded-teaming"/>
    <w:p>
      <w:pPr>
        <w:pStyle w:val="Heading3"/>
      </w:pPr>
      <w:r>
        <w:rPr>
          <w:rStyle w:val="SectionNumber"/>
        </w:rPr>
        <w:t xml:space="preserve">22.6.1</w:t>
      </w:r>
      <w:r>
        <w:tab/>
      </w:r>
      <w:r>
        <w:t xml:space="preserve">SET (Switch Embedded Teaming)</w:t>
      </w:r>
    </w:p>
    <w:p>
      <w:pPr>
        <w:pStyle w:val="FirstParagraph"/>
      </w:pPr>
      <w:r>
        <w:t xml:space="preserve">NIC-Teaming-Lösung, die direkt in den Hyper-V Virtual Switch integriert ist. Ab Windows Server 2016 die</w:t>
      </w:r>
      <w:r>
        <w:t xml:space="preserve"> </w:t>
      </w:r>
      <w:r>
        <w:rPr>
          <w:b/>
          <w:bCs/>
        </w:rPr>
        <w:t xml:space="preserve">empfohlene</w:t>
      </w:r>
      <w:r>
        <w:t xml:space="preserve"> </w:t>
      </w:r>
      <w:r>
        <w:t xml:space="preserve">Methode für S2D, da SET im Gegensatz zu LBFO</w:t>
      </w:r>
      <w:r>
        <w:t xml:space="preserve"> </w:t>
      </w:r>
      <w:r>
        <w:rPr>
          <w:b/>
          <w:bCs/>
        </w:rPr>
        <w:t xml:space="preserve">RDMA auf virtuellen NICs (vNICs) unterstützt</w:t>
      </w:r>
      <w:r>
        <w:t xml:space="preserve">. Ermöglicht Bandbreitenaggregation und Failover.</w:t>
      </w:r>
    </w:p>
    <w:bookmarkEnd w:id="183"/>
    <w:bookmarkStart w:id="184" w:name="lbfo-load-balancing-and-failover"/>
    <w:p>
      <w:pPr>
        <w:pStyle w:val="Heading3"/>
      </w:pPr>
      <w:r>
        <w:rPr>
          <w:rStyle w:val="SectionNumber"/>
        </w:rPr>
        <w:t xml:space="preserve">22.6.2</w:t>
      </w:r>
      <w:r>
        <w:tab/>
      </w:r>
      <w:r>
        <w:t xml:space="preserve">LBFO (Load Balancing and Failover)</w:t>
      </w:r>
    </w:p>
    <w:p>
      <w:pPr>
        <w:pStyle w:val="FirstParagraph"/>
      </w:pPr>
      <w:r>
        <w:t xml:space="preserve">Traditionelles NIC-Teaming in Windows Server. Fasst mehrere physische NICs zu einem logischen Team zusammen.</w:t>
      </w:r>
      <w:r>
        <w:t xml:space="preserve"> </w:t>
      </w:r>
      <w:r>
        <w:rPr>
          <w:b/>
          <w:bCs/>
        </w:rPr>
        <w:t xml:space="preserve">Nicht kompatibel mit RDMA</w:t>
      </w:r>
      <w:r>
        <w:t xml:space="preserve"> </w:t>
      </w:r>
      <w:r>
        <w:t xml:space="preserve">und daher für S2D</w:t>
      </w:r>
      <w:r>
        <w:t xml:space="preserve"> </w:t>
      </w:r>
      <w:r>
        <w:rPr>
          <w:b/>
          <w:bCs/>
        </w:rPr>
        <w:t xml:space="preserve">nicht empfohlen</w:t>
      </w:r>
      <w:r>
        <w:t xml:space="preserve">. Wird durch SET ersetzt.</w:t>
      </w:r>
    </w:p>
    <w:bookmarkEnd w:id="184"/>
    <w:bookmarkStart w:id="185" w:name="dac-direct-attach-copper"/>
    <w:p>
      <w:pPr>
        <w:pStyle w:val="Heading3"/>
      </w:pPr>
      <w:r>
        <w:rPr>
          <w:rStyle w:val="SectionNumber"/>
        </w:rPr>
        <w:t xml:space="preserve">22.6.3</w:t>
      </w:r>
      <w:r>
        <w:tab/>
      </w:r>
      <w:r>
        <w:t xml:space="preserve">DAC (Direct Attach Copper)</w:t>
      </w:r>
    </w:p>
    <w:p>
      <w:pPr>
        <w:pStyle w:val="FirstParagraph"/>
      </w:pPr>
      <w:r>
        <w:t xml:space="preserve">Kupferkabel mit fest montierten Transceivern (SFP+/SFP28/QSFP28) an beiden Enden. Kostengünstige Verbindungsoption für kurze Distanzen (bis ca. 5 m). Typisch für Verbindungen innerhalb eines Racks oder zwischen benachbarten Racks.</w:t>
      </w:r>
    </w:p>
    <w:bookmarkEnd w:id="185"/>
    <w:bookmarkStart w:id="186" w:name="lwl-lichtwellenleiter"/>
    <w:p>
      <w:pPr>
        <w:pStyle w:val="Heading3"/>
      </w:pPr>
      <w:r>
        <w:rPr>
          <w:rStyle w:val="SectionNumber"/>
        </w:rPr>
        <w:t xml:space="preserve">22.6.4</w:t>
      </w:r>
      <w:r>
        <w:tab/>
      </w:r>
      <w:r>
        <w:t xml:space="preserve">LWL (Lichtwellenleiter)</w:t>
      </w:r>
    </w:p>
    <w:p>
      <w:pPr>
        <w:pStyle w:val="FirstParagraph"/>
      </w:pPr>
      <w:r>
        <w:t xml:space="preserve">Glasfaserkabel für die optische Datenübertragung. Bietet größere Reichweiten als Kupferkabel (bis mehrere Kilometer) und ist unempfindlich gegen elektromagnetische Störungen. Für brandabschnittübergreifende Verbindungen besonders geeignet, da LWL durch zertifizierte Brandschottdurchführungen verlegt werden können.</w:t>
      </w:r>
    </w:p>
    <w:bookmarkEnd w:id="186"/>
    <w:bookmarkStart w:id="187" w:name="switchless-switched-topologie"/>
    <w:p>
      <w:pPr>
        <w:pStyle w:val="Heading3"/>
      </w:pPr>
      <w:r>
        <w:rPr>
          <w:rStyle w:val="SectionNumber"/>
        </w:rPr>
        <w:t xml:space="preserve">22.6.5</w:t>
      </w:r>
      <w:r>
        <w:tab/>
      </w:r>
      <w:r>
        <w:t xml:space="preserve">Switchless / Switched Topologie</w:t>
      </w:r>
    </w:p>
    <w:p>
      <w:pPr>
        <w:pStyle w:val="FirstParagraph"/>
      </w:pPr>
      <w:r>
        <w:t xml:space="preserve">Zwei Netzwerk-Topologie-Optionen für S2D:</w:t>
      </w:r>
    </w:p>
    <w:p>
      <w:pPr>
        <w:pStyle w:val="Compact"/>
        <w:numPr>
          <w:ilvl w:val="0"/>
          <w:numId w:val="1014"/>
        </w:numPr>
      </w:pPr>
      <w:r>
        <w:rPr>
          <w:b/>
          <w:bCs/>
        </w:rPr>
        <w:t xml:space="preserve">Switchless</w:t>
      </w:r>
      <w:r>
        <w:t xml:space="preserve">: Direkte Kabelverbindungen zwischen allen Knoten (jeder mit jedem). Geeignet für 2–3 Knoten.</w:t>
      </w:r>
    </w:p>
    <w:p>
      <w:pPr>
        <w:pStyle w:val="Compact"/>
        <w:numPr>
          <w:ilvl w:val="0"/>
          <w:numId w:val="1014"/>
        </w:numPr>
      </w:pPr>
      <w:r>
        <w:rPr>
          <w:b/>
          <w:bCs/>
        </w:rPr>
        <w:t xml:space="preserve">Switched</w:t>
      </w:r>
      <w:r>
        <w:t xml:space="preserve">: Verbindung über Netzwerk-Switches. Empfohlen ab 4 Knoten und erforderlich für größere Cluster.</w:t>
      </w:r>
    </w:p>
    <w:p>
      <w:r>
        <w:pict>
          <v:rect style="width:0;height:1.5pt" o:hralign="center" o:hrstd="t" o:hr="t"/>
        </w:pict>
      </w:r>
    </w:p>
    <w:bookmarkEnd w:id="187"/>
    <w:bookmarkEnd w:id="188"/>
    <w:bookmarkStart w:id="205" w:name="cluster-und-resilienz"/>
    <w:p>
      <w:pPr>
        <w:pStyle w:val="Heading2"/>
      </w:pPr>
      <w:r>
        <w:rPr>
          <w:rStyle w:val="SectionNumber"/>
        </w:rPr>
        <w:t xml:space="preserve">22.7</w:t>
      </w:r>
      <w:r>
        <w:tab/>
      </w:r>
      <w:r>
        <w:t xml:space="preserve">Cluster und Resilienz</w:t>
      </w:r>
    </w:p>
    <w:bookmarkStart w:id="189" w:name="fault-domain--fault-domain-awareness"/>
    <w:p>
      <w:pPr>
        <w:pStyle w:val="Heading3"/>
      </w:pPr>
      <w:r>
        <w:rPr>
          <w:rStyle w:val="SectionNumber"/>
        </w:rPr>
        <w:t xml:space="preserve">22.7.1</w:t>
      </w:r>
      <w:r>
        <w:tab/>
      </w:r>
      <w:r>
        <w:t xml:space="preserve">Fault Domain / Fault Domain Awareness</w:t>
      </w:r>
    </w:p>
    <w:p>
      <w:pPr>
        <w:pStyle w:val="FirstParagraph"/>
      </w:pPr>
      <w:r>
        <w:t xml:space="preserve">Logische Gruppierung von Hardware-Komponenten, die von einem gemeinsamen Fehler betroffen sein können. Windows Server kennt vier hierarchische Ebenen:</w:t>
      </w:r>
      <w:r>
        <w:t xml:space="preserve"> </w:t>
      </w:r>
      <w:r>
        <w:rPr>
          <w:b/>
          <w:bCs/>
        </w:rPr>
        <w:t xml:space="preserve">Node</w:t>
      </w:r>
      <w:r>
        <w:t xml:space="preserve"> </w:t>
      </w:r>
      <w:r>
        <w:t xml:space="preserve">→</w:t>
      </w:r>
      <w:r>
        <w:t xml:space="preserve"> </w:t>
      </w:r>
      <w:r>
        <w:rPr>
          <w:b/>
          <w:bCs/>
        </w:rPr>
        <w:t xml:space="preserve">Chassis</w:t>
      </w:r>
      <w:r>
        <w:t xml:space="preserve"> </w:t>
      </w:r>
      <w:r>
        <w:t xml:space="preserve">→</w:t>
      </w:r>
      <w:r>
        <w:t xml:space="preserve"> </w:t>
      </w:r>
      <w:r>
        <w:rPr>
          <w:b/>
          <w:bCs/>
        </w:rPr>
        <w:t xml:space="preserve">Rack</w:t>
      </w:r>
      <w:r>
        <w:t xml:space="preserve"> </w:t>
      </w:r>
      <w:r>
        <w:t xml:space="preserve">→</w:t>
      </w:r>
      <w:r>
        <w:t xml:space="preserve"> </w:t>
      </w:r>
      <w:r>
        <w:rPr>
          <w:b/>
          <w:bCs/>
        </w:rPr>
        <w:t xml:space="preserve">Site</w:t>
      </w:r>
      <w:r>
        <w:t xml:space="preserve">. S2D nutzt Fault Domains, um Datenkopien auf verschiedene Ausfallzonen zu verteilen und so die Resilienz zu maximieren.</w:t>
      </w:r>
    </w:p>
    <w:bookmarkEnd w:id="189"/>
    <w:bookmarkStart w:id="190" w:name="three-way-mirror"/>
    <w:p>
      <w:pPr>
        <w:pStyle w:val="Heading3"/>
      </w:pPr>
      <w:r>
        <w:rPr>
          <w:rStyle w:val="SectionNumber"/>
        </w:rPr>
        <w:t xml:space="preserve">22.7.2</w:t>
      </w:r>
      <w:r>
        <w:tab/>
      </w:r>
      <w:r>
        <w:t xml:space="preserve">Three-way Mirror</w:t>
      </w:r>
    </w:p>
    <w:p>
      <w:pPr>
        <w:pStyle w:val="FirstParagraph"/>
      </w:pPr>
      <w:r>
        <w:t xml:space="preserve">Resilienz-Typ, bei dem</w:t>
      </w:r>
      <w:r>
        <w:t xml:space="preserve"> </w:t>
      </w:r>
      <w:r>
        <w:rPr>
          <w:b/>
          <w:bCs/>
        </w:rPr>
        <w:t xml:space="preserve">drei Kopien</w:t>
      </w:r>
      <w:r>
        <w:t xml:space="preserve"> </w:t>
      </w:r>
      <w:r>
        <w:t xml:space="preserve">jedes Datenblocks auf verschiedene Fault Domains verteilt werden. Toleriert den gleichzeitigen Ausfall von</w:t>
      </w:r>
      <w:r>
        <w:t xml:space="preserve"> </w:t>
      </w:r>
      <w:r>
        <w:rPr>
          <w:b/>
          <w:bCs/>
        </w:rPr>
        <w:t xml:space="preserve">2 Komponenten</w:t>
      </w:r>
      <w:r>
        <w:t xml:space="preserve"> </w:t>
      </w:r>
      <w:r>
        <w:t xml:space="preserve">(Laufwerke oder Server). Speichereffizienz: 33,3 %. Empfohlen für S2D-Cluster über Brandabschnitte.</w:t>
      </w:r>
    </w:p>
    <w:bookmarkEnd w:id="190"/>
    <w:bookmarkStart w:id="191" w:name="dual-parity"/>
    <w:p>
      <w:pPr>
        <w:pStyle w:val="Heading3"/>
      </w:pPr>
      <w:r>
        <w:rPr>
          <w:rStyle w:val="SectionNumber"/>
        </w:rPr>
        <w:t xml:space="preserve">22.7.3</w:t>
      </w:r>
      <w:r>
        <w:tab/>
      </w:r>
      <w:r>
        <w:t xml:space="preserve">Dual Parity</w:t>
      </w:r>
    </w:p>
    <w:p>
      <w:pPr>
        <w:pStyle w:val="FirstParagraph"/>
      </w:pPr>
      <w:r>
        <w:t xml:space="preserve">Resilienz-Typ, ähnlich wie RAID 6. Verteilt Daten und</w:t>
      </w:r>
      <w:r>
        <w:t xml:space="preserve"> </w:t>
      </w:r>
      <w:r>
        <w:rPr>
          <w:b/>
          <w:bCs/>
        </w:rPr>
        <w:t xml:space="preserve">zwei Paritätsblöcke</w:t>
      </w:r>
      <w:r>
        <w:t xml:space="preserve"> </w:t>
      </w:r>
      <w:r>
        <w:t xml:space="preserve">über mindestens 4 Fault Domains. Toleriert 2 gleichzeitige Ausfälle bei höherer Speichereffizienz (50–80 %) als Three-way Mirror. Geeignet für kapazitätsoptimierte Workloads (Archiv, Backup).</w:t>
      </w:r>
    </w:p>
    <w:bookmarkEnd w:id="191"/>
    <w:bookmarkStart w:id="192" w:name="mirror-accelerated-parity"/>
    <w:p>
      <w:pPr>
        <w:pStyle w:val="Heading3"/>
      </w:pPr>
      <w:r>
        <w:rPr>
          <w:rStyle w:val="SectionNumber"/>
        </w:rPr>
        <w:t xml:space="preserve">22.7.4</w:t>
      </w:r>
      <w:r>
        <w:tab/>
      </w:r>
      <w:r>
        <w:t xml:space="preserve">Mirror-Accelerated Parity</w:t>
      </w:r>
    </w:p>
    <w:p>
      <w:pPr>
        <w:pStyle w:val="FirstParagraph"/>
      </w:pPr>
      <w:r>
        <w:t xml:space="preserve">Hybrid-Resilienz-Typ, der Mirror für häufig geschriebene („heiße”) Daten und Parity für selten geänderte („kalte”) Daten kombiniert. Bietet einen Kompromiss zwischen Performance (Mirror) und Speichereffizienz (Parity).</w:t>
      </w:r>
    </w:p>
    <w:bookmarkEnd w:id="192"/>
    <w:bookmarkStart w:id="193" w:name="quorum--cluster-quorum"/>
    <w:p>
      <w:pPr>
        <w:pStyle w:val="Heading3"/>
      </w:pPr>
      <w:r>
        <w:rPr>
          <w:rStyle w:val="SectionNumber"/>
        </w:rPr>
        <w:t xml:space="preserve">22.7.5</w:t>
      </w:r>
      <w:r>
        <w:tab/>
      </w:r>
      <w:r>
        <w:t xml:space="preserve">Quorum / Cluster Quorum</w:t>
      </w:r>
    </w:p>
    <w:p>
      <w:pPr>
        <w:pStyle w:val="FirstParagraph"/>
      </w:pPr>
      <w:r>
        <w:t xml:space="preserve">Abstimmungsmechanismus im Failover Cluster, der sicherstellt, dass der Cluster nur dann weiterarbeitet, wenn eine</w:t>
      </w:r>
      <w:r>
        <w:t xml:space="preserve"> </w:t>
      </w:r>
      <w:r>
        <w:rPr>
          <w:b/>
          <w:bCs/>
        </w:rPr>
        <w:t xml:space="preserve">Mehrheit der Stimmen</w:t>
      </w:r>
      <w:r>
        <w:t xml:space="preserve"> </w:t>
      </w:r>
      <w:r>
        <w:t xml:space="preserve">(Knoten + Witness) verfügbar ist. Verhindert Split-Brain-Szenarien, bei denen zwei Teile des Clusters unabhängig voneinander arbeiten und Daten beschädigen könnten.</w:t>
      </w:r>
    </w:p>
    <w:bookmarkEnd w:id="193"/>
    <w:bookmarkStart w:id="194" w:name="pool-quorum"/>
    <w:p>
      <w:pPr>
        <w:pStyle w:val="Heading3"/>
      </w:pPr>
      <w:r>
        <w:rPr>
          <w:rStyle w:val="SectionNumber"/>
        </w:rPr>
        <w:t xml:space="preserve">22.7.6</w:t>
      </w:r>
      <w:r>
        <w:tab/>
      </w:r>
      <w:r>
        <w:t xml:space="preserve">Pool Quorum</w:t>
      </w:r>
    </w:p>
    <w:p>
      <w:pPr>
        <w:pStyle w:val="FirstParagraph"/>
      </w:pPr>
      <w:r>
        <w:t xml:space="preserve">Separate Quorum-Berechnung für den Storage Pool. Die verbleibenden Laufwerke müssen zusammen mit dem Pool Resource Owner</w:t>
      </w:r>
      <w:r>
        <w:t xml:space="preserve"> </w:t>
      </w:r>
      <w:r>
        <w:rPr>
          <w:b/>
          <w:bCs/>
        </w:rPr>
        <w:t xml:space="preserve">mehr als 50 % der Stimmen</w:t>
      </w:r>
      <w:r>
        <w:t xml:space="preserve"> </w:t>
      </w:r>
      <w:r>
        <w:t xml:space="preserve">haben, damit der Pool und seine Volumes online bleiben.</w:t>
      </w:r>
    </w:p>
    <w:bookmarkEnd w:id="194"/>
    <w:bookmarkStart w:id="195" w:name="dynamic-quorum"/>
    <w:p>
      <w:pPr>
        <w:pStyle w:val="Heading3"/>
      </w:pPr>
      <w:r>
        <w:rPr>
          <w:rStyle w:val="SectionNumber"/>
        </w:rPr>
        <w:t xml:space="preserve">22.7.7</w:t>
      </w:r>
      <w:r>
        <w:tab/>
      </w:r>
      <w:r>
        <w:t xml:space="preserve">Dynamic Quorum</w:t>
      </w:r>
    </w:p>
    <w:p>
      <w:pPr>
        <w:pStyle w:val="FirstParagraph"/>
      </w:pPr>
      <w:r>
        <w:t xml:space="preserve">Automatische Anpassung der Quorum-Stimmen im laufenden Betrieb. Windows Server kann die Stimmenzahl einzelner Knoten dynamisch ändern, um nach Ausfällen die Überlebensfähigkeit des Clusters zu maximieren, ohne dass eine manuelle Neukonfiguration erforderlich ist.</w:t>
      </w:r>
    </w:p>
    <w:bookmarkEnd w:id="195"/>
    <w:bookmarkStart w:id="196" w:name="file-share-witness"/>
    <w:p>
      <w:pPr>
        <w:pStyle w:val="Heading3"/>
      </w:pPr>
      <w:r>
        <w:rPr>
          <w:rStyle w:val="SectionNumber"/>
        </w:rPr>
        <w:t xml:space="preserve">22.7.8</w:t>
      </w:r>
      <w:r>
        <w:tab/>
      </w:r>
      <w:r>
        <w:t xml:space="preserve">File Share Witness</w:t>
      </w:r>
    </w:p>
    <w:p>
      <w:pPr>
        <w:pStyle w:val="FirstParagraph"/>
      </w:pPr>
      <w:r>
        <w:t xml:space="preserve">SMB-Dateifreigabe auf einem separaten Server, die als Quorum-Witness dient. Bei S2D über Brandabschnitte sollte der File Share Witness an einem</w:t>
      </w:r>
      <w:r>
        <w:t xml:space="preserve"> </w:t>
      </w:r>
      <w:r>
        <w:rPr>
          <w:b/>
          <w:bCs/>
        </w:rPr>
        <w:t xml:space="preserve">dritten Standort</w:t>
      </w:r>
      <w:r>
        <w:t xml:space="preserve"> </w:t>
      </w:r>
      <w:r>
        <w:t xml:space="preserve">platziert werden — weder in Brandabschnitt A noch in B.</w:t>
      </w:r>
    </w:p>
    <w:bookmarkEnd w:id="196"/>
    <w:bookmarkStart w:id="197" w:name="cloud-witness"/>
    <w:p>
      <w:pPr>
        <w:pStyle w:val="Heading3"/>
      </w:pPr>
      <w:r>
        <w:rPr>
          <w:rStyle w:val="SectionNumber"/>
        </w:rPr>
        <w:t xml:space="preserve">22.7.9</w:t>
      </w:r>
      <w:r>
        <w:tab/>
      </w:r>
      <w:r>
        <w:t xml:space="preserve">Cloud Witness</w:t>
      </w:r>
    </w:p>
    <w:p>
      <w:pPr>
        <w:pStyle w:val="FirstParagraph"/>
      </w:pPr>
      <w:r>
        <w:t xml:space="preserve">Quorum-Witness in Azure Blob Storage. Alternative zum File Share Witness, wenn eine Internetverbindung zu Azure vorhanden ist. Einfach einzurichten und hochverfügbar durch Azure.</w:t>
      </w:r>
    </w:p>
    <w:bookmarkEnd w:id="197"/>
    <w:bookmarkStart w:id="198" w:name="disk-witness"/>
    <w:p>
      <w:pPr>
        <w:pStyle w:val="Heading3"/>
      </w:pPr>
      <w:r>
        <w:rPr>
          <w:rStyle w:val="SectionNumber"/>
        </w:rPr>
        <w:t xml:space="preserve">22.7.10</w:t>
      </w:r>
      <w:r>
        <w:tab/>
      </w:r>
      <w:r>
        <w:t xml:space="preserve">Disk Witness</w:t>
      </w:r>
    </w:p>
    <w:p>
      <w:pPr>
        <w:pStyle w:val="FirstParagraph"/>
      </w:pPr>
      <w:r>
        <w:t xml:space="preserve">Quorum-Witness auf einer Cluster-Disk. Bei S2D</w:t>
      </w:r>
      <w:r>
        <w:t xml:space="preserve"> </w:t>
      </w:r>
      <w:r>
        <w:rPr>
          <w:b/>
          <w:bCs/>
        </w:rPr>
        <w:t xml:space="preserve">nicht unterstützt</w:t>
      </w:r>
      <w:r>
        <w:t xml:space="preserve">, da kein gemeinsam genutzter (Shared) Speicher vorhanden ist.</w:t>
      </w:r>
    </w:p>
    <w:bookmarkEnd w:id="198"/>
    <w:bookmarkStart w:id="199" w:name="split-brain"/>
    <w:p>
      <w:pPr>
        <w:pStyle w:val="Heading3"/>
      </w:pPr>
      <w:r>
        <w:rPr>
          <w:rStyle w:val="SectionNumber"/>
        </w:rPr>
        <w:t xml:space="preserve">22.7.11</w:t>
      </w:r>
      <w:r>
        <w:tab/>
      </w:r>
      <w:r>
        <w:t xml:space="preserve">Split-Brain</w:t>
      </w:r>
    </w:p>
    <w:p>
      <w:pPr>
        <w:pStyle w:val="FirstParagraph"/>
      </w:pPr>
      <w:r>
        <w:t xml:space="preserve">Fehlerzustand, bei dem ein Cluster in zwei oder mehr Teile zerfällt, die jeweils glauben, der aktive Cluster zu sein. Beide Teile schreiben unabhängig Daten, was zu Datenkorruption führt. Wird durch Quorum-Mechanismen verhindert.</w:t>
      </w:r>
    </w:p>
    <w:bookmarkEnd w:id="199"/>
    <w:bookmarkStart w:id="200" w:name="storage-affinity"/>
    <w:p>
      <w:pPr>
        <w:pStyle w:val="Heading3"/>
      </w:pPr>
      <w:r>
        <w:rPr>
          <w:rStyle w:val="SectionNumber"/>
        </w:rPr>
        <w:t xml:space="preserve">22.7.12</w:t>
      </w:r>
      <w:r>
        <w:tab/>
      </w:r>
      <w:r>
        <w:t xml:space="preserve">Storage Affinity</w:t>
      </w:r>
    </w:p>
    <w:p>
      <w:pPr>
        <w:pStyle w:val="FirstParagraph"/>
      </w:pPr>
      <w:r>
        <w:t xml:space="preserve">Feature bei Stretch-Clustern, das VMs bevorzugt auf Servern platziert, die physisch nahe an ihrem Speicher liegen. Minimiert den Netzwerk-Traffic zwischen Standorten und reduziert die Latenz für I/O-Operationen.</w:t>
      </w:r>
    </w:p>
    <w:bookmarkEnd w:id="200"/>
    <w:bookmarkStart w:id="201" w:name="stretch-clustering"/>
    <w:p>
      <w:pPr>
        <w:pStyle w:val="Heading3"/>
      </w:pPr>
      <w:r>
        <w:rPr>
          <w:rStyle w:val="SectionNumber"/>
        </w:rPr>
        <w:t xml:space="preserve">22.7.13</w:t>
      </w:r>
      <w:r>
        <w:tab/>
      </w:r>
      <w:r>
        <w:t xml:space="preserve">Stretch Clustering</w:t>
      </w:r>
    </w:p>
    <w:p>
      <w:pPr>
        <w:pStyle w:val="FirstParagraph"/>
      </w:pPr>
      <w:r>
        <w:t xml:space="preserve">Cluster-Konfiguration, bei der die Knoten über mehrere physische Standorte verteilt sind. S2D nutzt Fault Domains vom Typ</w:t>
      </w:r>
      <w:r>
        <w:t xml:space="preserve"> </w:t>
      </w:r>
      <w:r>
        <w:rPr>
          <w:b/>
          <w:bCs/>
        </w:rPr>
        <w:t xml:space="preserve">Site</w:t>
      </w:r>
      <w:r>
        <w:t xml:space="preserve">, um die Standorte abzubilden und Daten standortübergreifend zu replizieren.</w:t>
      </w:r>
    </w:p>
    <w:bookmarkEnd w:id="201"/>
    <w:bookmarkStart w:id="202" w:name="live-migration"/>
    <w:p>
      <w:pPr>
        <w:pStyle w:val="Heading3"/>
      </w:pPr>
      <w:r>
        <w:rPr>
          <w:rStyle w:val="SectionNumber"/>
        </w:rPr>
        <w:t xml:space="preserve">22.7.14</w:t>
      </w:r>
      <w:r>
        <w:tab/>
      </w:r>
      <w:r>
        <w:t xml:space="preserve">Live Migration</w:t>
      </w:r>
    </w:p>
    <w:p>
      <w:pPr>
        <w:pStyle w:val="FirstParagraph"/>
      </w:pPr>
      <w:r>
        <w:t xml:space="preserve">Verschiebung einer laufenden VM von einem Cluster-Knoten auf einen anderen, ohne Ausfallzeit. Erfordert ausreichend Netzwerkbandbreite und identische CPU-Familien auf allen Knoten.</w:t>
      </w:r>
    </w:p>
    <w:bookmarkEnd w:id="202"/>
    <w:bookmarkStart w:id="203" w:name="hyperconverged"/>
    <w:p>
      <w:pPr>
        <w:pStyle w:val="Heading3"/>
      </w:pPr>
      <w:r>
        <w:rPr>
          <w:rStyle w:val="SectionNumber"/>
        </w:rPr>
        <w:t xml:space="preserve">22.7.15</w:t>
      </w:r>
      <w:r>
        <w:tab/>
      </w:r>
      <w:r>
        <w:t xml:space="preserve">Hyperconverged</w:t>
      </w:r>
    </w:p>
    <w:p>
      <w:pPr>
        <w:pStyle w:val="FirstParagraph"/>
      </w:pPr>
      <w:r>
        <w:t xml:space="preserve">Deployment-Modell, bei dem Compute (VMs) und Storage auf denselben physischen Servern laufen. Im Gegensatz dazu trennt das</w:t>
      </w:r>
      <w:r>
        <w:t xml:space="preserve"> </w:t>
      </w:r>
      <w:r>
        <w:rPr>
          <w:b/>
          <w:bCs/>
        </w:rPr>
        <w:t xml:space="preserve">Converged</w:t>
      </w:r>
      <w:r>
        <w:t xml:space="preserve">-Modell Compute und Storage auf separate Server (Scale-Out File Server).</w:t>
      </w:r>
    </w:p>
    <w:bookmarkEnd w:id="203"/>
    <w:bookmarkStart w:id="204" w:name="storage-bus"/>
    <w:p>
      <w:pPr>
        <w:pStyle w:val="Heading3"/>
      </w:pPr>
      <w:r>
        <w:rPr>
          <w:rStyle w:val="SectionNumber"/>
        </w:rPr>
        <w:t xml:space="preserve">22.7.16</w:t>
      </w:r>
      <w:r>
        <w:tab/>
      </w:r>
      <w:r>
        <w:t xml:space="preserve">Storage Bus</w:t>
      </w:r>
    </w:p>
    <w:p>
      <w:pPr>
        <w:pStyle w:val="FirstParagraph"/>
      </w:pPr>
      <w:r>
        <w:t xml:space="preserve">Interner Kommunikationskanal von S2D, über den die Cluster-Knoten auf die Laufwerke anderer Knoten zugreifen. Nutzt SMB 3.x über das Storage-Netzwerk. Schreibvorgänge erfolgen</w:t>
      </w:r>
      <w:r>
        <w:t xml:space="preserve"> </w:t>
      </w:r>
      <w:r>
        <w:rPr>
          <w:b/>
          <w:bCs/>
        </w:rPr>
        <w:t xml:space="preserve">synchron</w:t>
      </w:r>
      <w:r>
        <w:t xml:space="preserve">, weshalb die Netzwerklatenz die I/O-Performance direkt beeinflusst.</w:t>
      </w:r>
    </w:p>
    <w:p>
      <w:r>
        <w:pict>
          <v:rect style="width:0;height:1.5pt" o:hralign="center" o:hrstd="t" o:hr="t"/>
        </w:pict>
      </w:r>
    </w:p>
    <w:bookmarkEnd w:id="204"/>
    <w:bookmarkEnd w:id="205"/>
    <w:bookmarkStart w:id="211" w:name="sicherheit-und-datenschutz"/>
    <w:p>
      <w:pPr>
        <w:pStyle w:val="Heading2"/>
      </w:pPr>
      <w:r>
        <w:rPr>
          <w:rStyle w:val="SectionNumber"/>
        </w:rPr>
        <w:t xml:space="preserve">22.8</w:t>
      </w:r>
      <w:r>
        <w:tab/>
      </w:r>
      <w:r>
        <w:t xml:space="preserve">Sicherheit und Datenschutz</w:t>
      </w:r>
    </w:p>
    <w:bookmarkStart w:id="206" w:name="smb-verschlüsselung"/>
    <w:p>
      <w:pPr>
        <w:pStyle w:val="Heading3"/>
      </w:pPr>
      <w:r>
        <w:rPr>
          <w:rStyle w:val="SectionNumber"/>
        </w:rPr>
        <w:t xml:space="preserve">22.8.1</w:t>
      </w:r>
      <w:r>
        <w:tab/>
      </w:r>
      <w:r>
        <w:t xml:space="preserve">SMB-Verschlüsselung</w:t>
      </w:r>
    </w:p>
    <w:p>
      <w:pPr>
        <w:pStyle w:val="FirstParagraph"/>
      </w:pPr>
      <w:r>
        <w:t xml:space="preserve">End-to-End-Verschlüsselung des SMB-Traffics (Data-in-Transit). Ab Windows Server 2022 unterstützt SMB 3.1.1 die Verschlüsselung des gesamten Cluster-internen Storage-Traffics — einschließlich CSV-I/O und Storage Bus Layer (SBL). Schützt East-West-Kommunikation zwischen Cluster-Knoten. Ab WS2022 ist SMB Encryption</w:t>
      </w:r>
      <w:r>
        <w:t xml:space="preserve"> </w:t>
      </w:r>
      <w:r>
        <w:rPr>
          <w:b/>
          <w:bCs/>
        </w:rPr>
        <w:t xml:space="preserve">kompatibel mit RDMA/SMB Direct</w:t>
      </w:r>
      <w:r>
        <w:t xml:space="preserve"> </w:t>
      </w:r>
      <w:r>
        <w:t xml:space="preserve">(Daten werden vor dem RDMA-Placement verschlüsselt). Unterstützte Cipher: AES-128-GCM, AES-128-CCM (SMB 3.0), AES-256-GCM, AES-256-CCM (SMB 3.1.1, ab WS2022).</w:t>
      </w:r>
    </w:p>
    <w:bookmarkEnd w:id="206"/>
    <w:bookmarkStart w:id="207" w:name="smb-signing"/>
    <w:p>
      <w:pPr>
        <w:pStyle w:val="Heading3"/>
      </w:pPr>
      <w:r>
        <w:rPr>
          <w:rStyle w:val="SectionNumber"/>
        </w:rPr>
        <w:t xml:space="preserve">22.8.2</w:t>
      </w:r>
      <w:r>
        <w:tab/>
      </w:r>
      <w:r>
        <w:t xml:space="preserve">SMB Signing</w:t>
      </w:r>
    </w:p>
    <w:p>
      <w:pPr>
        <w:pStyle w:val="FirstParagraph"/>
      </w:pPr>
      <w:r>
        <w:t xml:space="preserve">Integritätsschutz für SMB-Pakete. Stellt sicher, dass Daten während der Übertragung nicht manipuliert wurden. Ab Windows Server 2022 wird</w:t>
      </w:r>
      <w:r>
        <w:t xml:space="preserve"> </w:t>
      </w:r>
      <w:r>
        <w:rPr>
          <w:b/>
          <w:bCs/>
        </w:rPr>
        <w:t xml:space="preserve">AES-128-GMAC</w:t>
      </w:r>
      <w:r>
        <w:t xml:space="preserve"> </w:t>
      </w:r>
      <w:r>
        <w:t xml:space="preserve">für performantes Signing verwendet. Bei aktivierter SMB-Verschlüsselung wird Signing automatisch mit abgedeckt.</w:t>
      </w:r>
    </w:p>
    <w:bookmarkEnd w:id="207"/>
    <w:bookmarkStart w:id="208" w:name="bitlocker-encryption-at-rest"/>
    <w:p>
      <w:pPr>
        <w:pStyle w:val="Heading3"/>
      </w:pPr>
      <w:r>
        <w:rPr>
          <w:rStyle w:val="SectionNumber"/>
        </w:rPr>
        <w:t xml:space="preserve">22.8.3</w:t>
      </w:r>
      <w:r>
        <w:tab/>
      </w:r>
      <w:r>
        <w:t xml:space="preserve">BitLocker (Encryption at Rest)</w:t>
      </w:r>
    </w:p>
    <w:p>
      <w:pPr>
        <w:pStyle w:val="FirstParagraph"/>
      </w:pPr>
      <w:r>
        <w:t xml:space="preserve">Verschlüsselung ruhender Daten auf physischen Laufwerken. SMB-Verschlüsselung schützt nur Data-in-Transit — für Schutz der Daten auf den Laufwerken (Data-at-Rest) wird BitLocker Drive Encryption eingesetzt. Unterstützt CSV-Volumes in S2D-Clustern und nutzt Hardware-AES-Beschleunigung moderner Server-CPUs.</w:t>
      </w:r>
    </w:p>
    <w:bookmarkEnd w:id="208"/>
    <w:bookmarkStart w:id="209" w:name="csv-redirected-io"/>
    <w:p>
      <w:pPr>
        <w:pStyle w:val="Heading3"/>
      </w:pPr>
      <w:r>
        <w:rPr>
          <w:rStyle w:val="SectionNumber"/>
        </w:rPr>
        <w:t xml:space="preserve">22.8.4</w:t>
      </w:r>
      <w:r>
        <w:tab/>
      </w:r>
      <w:r>
        <w:t xml:space="preserve">CSV Redirected IO</w:t>
      </w:r>
    </w:p>
    <w:p>
      <w:pPr>
        <w:pStyle w:val="FirstParagraph"/>
      </w:pPr>
      <w:r>
        <w:t xml:space="preserve">I/O-Modus, bei dem ein Cluster-Knoten auf ein CSV-Volume zugreift, dessen Ownership bei einem anderen Knoten liegt. Der I/O wird über das Storage-Netzwerk an den Owner-Knoten umgeleitet (redirected). Dieser Traffic konkurriert mit der S2D-Replikation und kann bei hoher Last die Storage-Latenz erhöhen.</w:t>
      </w:r>
    </w:p>
    <w:bookmarkEnd w:id="209"/>
    <w:bookmarkStart w:id="210" w:name="csv-in-memory-read-cache-1"/>
    <w:p>
      <w:pPr>
        <w:pStyle w:val="Heading3"/>
      </w:pPr>
      <w:r>
        <w:rPr>
          <w:rStyle w:val="SectionNumber"/>
        </w:rPr>
        <w:t xml:space="preserve">22.8.5</w:t>
      </w:r>
      <w:r>
        <w:tab/>
      </w:r>
      <w:r>
        <w:t xml:space="preserve">CSV In-Memory Read Cache</w:t>
      </w:r>
    </w:p>
    <w:p>
      <w:pPr>
        <w:pStyle w:val="FirstParagraph"/>
      </w:pPr>
      <w:r>
        <w:t xml:space="preserve">Block-Level-Lese-Cache im Systemspeicher (RAM) für ungepufferte Leseoperationen auf CSV-Volumes. Ergänzt den S2D Storage Bus Cache (NVMe/SSD) auf Dateisystem-Ebene. Besonders effektiv für read-intensive Workloads (VDI, File Server). Konfigurierbar über</w:t>
      </w:r>
      <w:r>
        <w:t xml:space="preserve"> </w:t>
      </w:r>
      <w:r>
        <w:rPr>
          <w:rStyle w:val="VerbatimChar"/>
        </w:rPr>
        <w:t xml:space="preserve">BlockCacheSize</w:t>
      </w:r>
      <w:r>
        <w:t xml:space="preserve"> </w:t>
      </w:r>
      <w:r>
        <w:t xml:space="preserve">(Cluster-Eigenschaft).</w:t>
      </w:r>
    </w:p>
    <w:p>
      <w:r>
        <w:pict>
          <v:rect style="width:0;height:1.5pt" o:hralign="center" o:hrstd="t" o:hr="t"/>
        </w:pict>
      </w:r>
    </w:p>
    <w:bookmarkEnd w:id="210"/>
    <w:bookmarkEnd w:id="211"/>
    <w:bookmarkStart w:id="213" w:name="performance-und-io-management"/>
    <w:p>
      <w:pPr>
        <w:pStyle w:val="Heading2"/>
      </w:pPr>
      <w:r>
        <w:rPr>
          <w:rStyle w:val="SectionNumber"/>
        </w:rPr>
        <w:t xml:space="preserve">22.9</w:t>
      </w:r>
      <w:r>
        <w:tab/>
      </w:r>
      <w:r>
        <w:t xml:space="preserve">Performance und IO-Management</w:t>
      </w:r>
    </w:p>
    <w:bookmarkStart w:id="212" w:name="storage-qos-quality-of-service-1"/>
    <w:p>
      <w:pPr>
        <w:pStyle w:val="Heading3"/>
      </w:pPr>
      <w:r>
        <w:rPr>
          <w:rStyle w:val="SectionNumber"/>
        </w:rPr>
        <w:t xml:space="preserve">22.9.1</w:t>
      </w:r>
      <w:r>
        <w:tab/>
      </w:r>
      <w:r>
        <w:t xml:space="preserve">Storage QoS (Quality of Service)</w:t>
      </w:r>
    </w:p>
    <w:p>
      <w:pPr>
        <w:pStyle w:val="FirstParagraph"/>
      </w:pPr>
      <w:r>
        <w:t xml:space="preserve">Zentrale Überwachung und Steuerung der Storage-Performance auf VM-/VHD-Ebene. Ermöglicht IOPS-Reservierung (</w:t>
      </w:r>
      <w:r>
        <w:rPr>
          <w:b/>
          <w:bCs/>
        </w:rPr>
        <w:t xml:space="preserve">MinimumIops</w:t>
      </w:r>
      <w:r>
        <w:t xml:space="preserve">) und -Limitierung (</w:t>
      </w:r>
      <w:r>
        <w:rPr>
          <w:b/>
          <w:bCs/>
        </w:rPr>
        <w:t xml:space="preserve">MaximumIops</w:t>
      </w:r>
      <w:r>
        <w:t xml:space="preserve">) pro VM oder VHD. Verhindert „Noisy Neighbor”-Probleme, bei denen eine einzelne VM die gesamte Storage-Bandbreite monopolisiert. Zwei Policy-Typen:</w:t>
      </w:r>
    </w:p>
    <w:p>
      <w:pPr>
        <w:pStyle w:val="Compact"/>
        <w:numPr>
          <w:ilvl w:val="0"/>
          <w:numId w:val="1015"/>
        </w:numPr>
      </w:pPr>
      <w:r>
        <w:rPr>
          <w:b/>
          <w:bCs/>
        </w:rPr>
        <w:t xml:space="preserve">Dedicated</w:t>
      </w:r>
      <w:r>
        <w:t xml:space="preserve">: Jede VM/VHD bekommt eigene Min/Max-IOPS-Werte</w:t>
      </w:r>
    </w:p>
    <w:p>
      <w:pPr>
        <w:pStyle w:val="Compact"/>
        <w:numPr>
          <w:ilvl w:val="0"/>
          <w:numId w:val="1015"/>
        </w:numPr>
      </w:pPr>
      <w:r>
        <w:rPr>
          <w:b/>
          <w:bCs/>
        </w:rPr>
        <w:t xml:space="preserve">Aggregated</w:t>
      </w:r>
      <w:r>
        <w:t xml:space="preserve">: Alle zugewiesenen VMs teilen sich das IOPS-Budget</w:t>
      </w:r>
    </w:p>
    <w:p>
      <w:pPr>
        <w:pStyle w:val="FirstParagraph"/>
      </w:pPr>
      <w:r>
        <w:t xml:space="preserve">Wird bei S2D mit Cluster Shared Volumes automatisch aktiviert. Besonders wichtig für IO-intensive Workloads (SQL Server, OLTP, VDI).</w:t>
      </w:r>
    </w:p>
    <w:p>
      <w:r>
        <w:pict>
          <v:rect style="width:0;height:1.5pt" o:hralign="center" o:hrstd="t" o:hr="t"/>
        </w:pict>
      </w:r>
    </w:p>
    <w:bookmarkEnd w:id="212"/>
    <w:bookmarkEnd w:id="213"/>
    <w:bookmarkStart w:id="217" w:name="infrastruktur-und-brandschutz"/>
    <w:p>
      <w:pPr>
        <w:pStyle w:val="Heading2"/>
      </w:pPr>
      <w:r>
        <w:rPr>
          <w:rStyle w:val="SectionNumber"/>
        </w:rPr>
        <w:t xml:space="preserve">22.10</w:t>
      </w:r>
      <w:r>
        <w:tab/>
      </w:r>
      <w:r>
        <w:t xml:space="preserve">Infrastruktur und Brandschutz</w:t>
      </w:r>
    </w:p>
    <w:bookmarkStart w:id="214" w:name="brandabschnitt"/>
    <w:p>
      <w:pPr>
        <w:pStyle w:val="Heading3"/>
      </w:pPr>
      <w:r>
        <w:rPr>
          <w:rStyle w:val="SectionNumber"/>
        </w:rPr>
        <w:t xml:space="preserve">22.10.1</w:t>
      </w:r>
      <w:r>
        <w:tab/>
      </w:r>
      <w:r>
        <w:t xml:space="preserve">Brandabschnitt</w:t>
      </w:r>
    </w:p>
    <w:p>
      <w:pPr>
        <w:pStyle w:val="FirstParagraph"/>
      </w:pPr>
      <w:r>
        <w:t xml:space="preserve">Baulich abgeschlossener Bereich innerhalb eines Gebäudes, der durch Brandwände und Brandschottungen vom Rest des Gebäudes getrennt ist. Soll die Ausbreitung von Feuer und Rauch verhindern. In Rechenzentren werden Server und Infrastruktur oft auf mehrere Brandabschnitte verteilt, um bei einem Brand nicht die gesamte IT zu verlieren.</w:t>
      </w:r>
    </w:p>
    <w:bookmarkEnd w:id="214"/>
    <w:bookmarkStart w:id="215" w:name="brandschott--brandschottdurchführung"/>
    <w:p>
      <w:pPr>
        <w:pStyle w:val="Heading3"/>
      </w:pPr>
      <w:r>
        <w:rPr>
          <w:rStyle w:val="SectionNumber"/>
        </w:rPr>
        <w:t xml:space="preserve">22.10.2</w:t>
      </w:r>
      <w:r>
        <w:tab/>
      </w:r>
      <w:r>
        <w:t xml:space="preserve">Brandschott / Brandschottdurchführung</w:t>
      </w:r>
    </w:p>
    <w:p>
      <w:pPr>
        <w:pStyle w:val="FirstParagraph"/>
      </w:pPr>
      <w:r>
        <w:t xml:space="preserve">Abgedichtete Durchführung in einer Brandwand für Kabel (LWL, Kupfer, Strom). Muss den gleichen Feuerwiderstand wie die umgebende Wand bieten und nach geltenden Vorschriften zertifiziert sein. Kabel, die durch Brandschotts geführt werden, müssen dokumentiert werden.</w:t>
      </w:r>
    </w:p>
    <w:bookmarkEnd w:id="215"/>
    <w:bookmarkStart w:id="216" w:name="sddc-software-defined-data-center"/>
    <w:p>
      <w:pPr>
        <w:pStyle w:val="Heading3"/>
      </w:pPr>
      <w:r>
        <w:rPr>
          <w:rStyle w:val="SectionNumber"/>
        </w:rPr>
        <w:t xml:space="preserve">22.10.3</w:t>
      </w:r>
      <w:r>
        <w:tab/>
      </w:r>
      <w:r>
        <w:t xml:space="preserve">SDDC (Software-Defined Data Center)</w:t>
      </w:r>
    </w:p>
    <w:p>
      <w:pPr>
        <w:pStyle w:val="FirstParagraph"/>
      </w:pPr>
      <w:r>
        <w:t xml:space="preserve">Rechenzentrumsarchitektur, bei der Compute, Storage und Netzwerk vollständig softwaregesteuert sind. Microsoft bietet im Windows Server Catalog die Qualifikationen</w:t>
      </w:r>
      <w:r>
        <w:t xml:space="preserve"> </w:t>
      </w:r>
      <w:r>
        <w:rPr>
          <w:b/>
          <w:bCs/>
        </w:rPr>
        <w:t xml:space="preserve">SDDC Standard</w:t>
      </w:r>
      <w:r>
        <w:t xml:space="preserve"> </w:t>
      </w:r>
      <w:r>
        <w:t xml:space="preserve">und</w:t>
      </w:r>
      <w:r>
        <w:t xml:space="preserve"> </w:t>
      </w:r>
      <w:r>
        <w:rPr>
          <w:b/>
          <w:bCs/>
        </w:rPr>
        <w:t xml:space="preserve">SDDC Premium</w:t>
      </w:r>
      <w:r>
        <w:t xml:space="preserve"> </w:t>
      </w:r>
      <w:r>
        <w:t xml:space="preserve">für Hardware an, die für S2D und Hyper-V validiert ist.</w:t>
      </w:r>
    </w:p>
    <w:p>
      <w:r>
        <w:pict>
          <v:rect style="width:0;height:1.5pt" o:hralign="center" o:hrstd="t" o:hr="t"/>
        </w:pict>
      </w:r>
    </w:p>
    <w:bookmarkEnd w:id="216"/>
    <w:bookmarkEnd w:id="217"/>
    <w:bookmarkStart w:id="222" w:name="weitere-abkürzungen"/>
    <w:p>
      <w:pPr>
        <w:pStyle w:val="Heading2"/>
      </w:pPr>
      <w:r>
        <w:rPr>
          <w:rStyle w:val="SectionNumber"/>
        </w:rPr>
        <w:t xml:space="preserve">22.11</w:t>
      </w:r>
      <w:r>
        <w:tab/>
      </w:r>
      <w:r>
        <w:t xml:space="preserve">Weitere Abkürzungen</w:t>
      </w:r>
    </w:p>
    <w:bookmarkStart w:id="218" w:name="ecc-error-correcting-code"/>
    <w:p>
      <w:pPr>
        <w:pStyle w:val="Heading3"/>
      </w:pPr>
      <w:r>
        <w:rPr>
          <w:rStyle w:val="SectionNumber"/>
        </w:rPr>
        <w:t xml:space="preserve">22.11.1</w:t>
      </w:r>
      <w:r>
        <w:tab/>
      </w:r>
      <w:r>
        <w:t xml:space="preserve">ECC (Error-Correcting Code)</w:t>
      </w:r>
    </w:p>
    <w:p>
      <w:pPr>
        <w:pStyle w:val="FirstParagraph"/>
      </w:pPr>
      <w:r>
        <w:t xml:space="preserve">Speichertechnologie (RAM), die einzelne Bit-Fehler automatisch erkennen und korrigieren kann. Standard in Server-Hardware und für S2D erforderlich.</w:t>
      </w:r>
    </w:p>
    <w:bookmarkEnd w:id="218"/>
    <w:bookmarkStart w:id="219" w:name="fcoe-fibre-channel-over-ethernet"/>
    <w:p>
      <w:pPr>
        <w:pStyle w:val="Heading3"/>
      </w:pPr>
      <w:r>
        <w:rPr>
          <w:rStyle w:val="SectionNumber"/>
        </w:rPr>
        <w:t xml:space="preserve">22.11.2</w:t>
      </w:r>
      <w:r>
        <w:tab/>
      </w:r>
      <w:r>
        <w:t xml:space="preserve">FCoE (Fibre Channel over Ethernet)</w:t>
      </w:r>
    </w:p>
    <w:p>
      <w:pPr>
        <w:pStyle w:val="FirstParagraph"/>
      </w:pPr>
      <w:r>
        <w:t xml:space="preserve">Protokoll, das Fibre-Channel-Frames über Ethernet transportiert. Wird von S2D</w:t>
      </w:r>
      <w:r>
        <w:t xml:space="preserve"> </w:t>
      </w:r>
      <w:r>
        <w:rPr>
          <w:b/>
          <w:bCs/>
        </w:rPr>
        <w:t xml:space="preserve">nicht unterstützt</w:t>
      </w:r>
      <w:r>
        <w:t xml:space="preserve"> </w:t>
      </w:r>
      <w:r>
        <w:t xml:space="preserve">— S2D verwendet ausschließlich direkt angeschlossene Laufwerke.</w:t>
      </w:r>
    </w:p>
    <w:bookmarkEnd w:id="219"/>
    <w:bookmarkStart w:id="220" w:name="X0723a9c564830f1d6f9dd621cde400393ed5da3"/>
    <w:p>
      <w:pPr>
        <w:pStyle w:val="Heading3"/>
      </w:pPr>
      <w:r>
        <w:rPr>
          <w:rStyle w:val="SectionNumber"/>
        </w:rPr>
        <w:t xml:space="preserve">22.11.3</w:t>
      </w:r>
      <w:r>
        <w:tab/>
      </w:r>
      <w:r>
        <w:t xml:space="preserve">iSCSI (Internet Small Computer Systems Interface)</w:t>
      </w:r>
    </w:p>
    <w:p>
      <w:pPr>
        <w:pStyle w:val="FirstParagraph"/>
      </w:pPr>
      <w:r>
        <w:t xml:space="preserve">Block-Level-Storage-Protokoll über TCP/IP-Netzwerke. Wird von S2D ebenfalls</w:t>
      </w:r>
      <w:r>
        <w:t xml:space="preserve"> </w:t>
      </w:r>
      <w:r>
        <w:rPr>
          <w:b/>
          <w:bCs/>
        </w:rPr>
        <w:t xml:space="preserve">nicht unterstützt</w:t>
      </w:r>
      <w:r>
        <w:t xml:space="preserve"> </w:t>
      </w:r>
      <w:r>
        <w:t xml:space="preserve">für die Datenlaufwerke.</w:t>
      </w:r>
    </w:p>
    <w:bookmarkEnd w:id="220"/>
    <w:bookmarkStart w:id="221" w:name="X89233fff48174d436e8a31f57d2bc600f50e5df"/>
    <w:p>
      <w:pPr>
        <w:pStyle w:val="Heading3"/>
      </w:pPr>
      <w:r>
        <w:rPr>
          <w:rStyle w:val="SectionNumber"/>
        </w:rPr>
        <w:t xml:space="preserve">22.11.4</w:t>
      </w:r>
      <w:r>
        <w:tab/>
      </w:r>
      <w:r>
        <w:t xml:space="preserve">RAID (Redundant Array of Independent Disks)</w:t>
      </w:r>
    </w:p>
    <w:p>
      <w:pPr>
        <w:pStyle w:val="FirstParagraph"/>
      </w:pPr>
      <w:r>
        <w:t xml:space="preserve">Hardware-basierte Datenredundanz auf Controller-Ebene. Bei S2D</w:t>
      </w:r>
      <w:r>
        <w:t xml:space="preserve"> </w:t>
      </w:r>
      <w:r>
        <w:rPr>
          <w:b/>
          <w:bCs/>
        </w:rPr>
        <w:t xml:space="preserve">nicht unterstützt</w:t>
      </w:r>
      <w:r>
        <w:t xml:space="preserve"> </w:t>
      </w:r>
      <w:r>
        <w:t xml:space="preserve">und kontraproduktiv, da S2D die Datenresilienz selbst in Software verwaltet. HBAs müssen im Pass-Through-Modus betrieben werden.</w:t>
      </w:r>
    </w:p>
    <w:p>
      <w:r>
        <w:pict>
          <v:rect style="width:0;height:1.5pt" o:hralign="center" o:hrstd="t" o:hr="t"/>
        </w:pict>
      </w:r>
    </w:p>
    <w:bookmarkEnd w:id="221"/>
    <w:bookmarkEnd w:id="222"/>
    <w:bookmarkStart w:id="223" w:name="quellenverzeichnis-2"/>
    <w:p>
      <w:pPr>
        <w:pStyle w:val="Heading2"/>
      </w:pPr>
      <w:r>
        <w:rPr>
          <w:rStyle w:val="SectionNumber"/>
        </w:rPr>
        <w:t xml:space="preserve">22.12</w:t>
      </w:r>
      <w:r>
        <w:tab/>
      </w:r>
      <w:r>
        <w:t xml:space="preserve">Quellenverzeichnis</w:t>
      </w:r>
    </w:p>
    <w:p>
      <w:pPr>
        <w:numPr>
          <w:ilvl w:val="0"/>
          <w:numId w:val="1016"/>
        </w:numPr>
      </w:pPr>
      <w:r>
        <w:rPr>
          <w:b/>
          <w:bCs/>
        </w:rPr>
        <w:t xml:space="preserve">Microsoft Learn</w:t>
      </w:r>
      <w:r>
        <w:t xml:space="preserve"> </w:t>
      </w:r>
      <w:r>
        <w:t xml:space="preserve">— „Priority-based Flow Control (PFC)“</w:t>
      </w:r>
      <w:r>
        <w:br/>
      </w:r>
      <w:hyperlink r:id="rId167">
        <w:r>
          <w:rPr>
            <w:rStyle w:val="Hyperlink"/>
          </w:rPr>
          <w:t xml:space="preserve">https://learn.microsoft.com/de-de/windows-hardware/drivers/network/priority-based-flow-control--pfc</w:t>
        </w:r>
      </w:hyperlink>
      <w:r>
        <w:br/>
      </w:r>
      <w:r>
        <w:t xml:space="preserve">Abgerufen: 21. April 2026</w:t>
      </w:r>
    </w:p>
    <w:p>
      <w:pPr>
        <w:numPr>
          <w:ilvl w:val="0"/>
          <w:numId w:val="1016"/>
        </w:numPr>
      </w:pPr>
      <w:r>
        <w:rPr>
          <w:b/>
          <w:bCs/>
        </w:rPr>
        <w:t xml:space="preserve">NVIDIA</w:t>
      </w:r>
      <w:r>
        <w:t xml:space="preserve"> </w:t>
      </w:r>
      <w:r>
        <w:t xml:space="preserve">— „Priority Flow Control (PFC) — ONYX Documentation”</w:t>
      </w:r>
      <w:r>
        <w:br/>
      </w:r>
      <w:hyperlink r:id="rId168">
        <w:r>
          <w:rPr>
            <w:rStyle w:val="Hyperlink"/>
          </w:rPr>
          <w:t xml:space="preserve">https://docs.nvidia.com/networking/display/onyxv3103004/priority+flow+control+%28pfc%29</w:t>
        </w:r>
      </w:hyperlink>
      <w:r>
        <w:br/>
      </w:r>
      <w:r>
        <w:t xml:space="preserve">Abgerufen: 21. April 2026</w:t>
      </w:r>
    </w:p>
    <w:p>
      <w:pPr>
        <w:numPr>
          <w:ilvl w:val="0"/>
          <w:numId w:val="1016"/>
        </w:numPr>
      </w:pPr>
      <w:r>
        <w:rPr>
          <w:b/>
          <w:bCs/>
        </w:rPr>
        <w:t xml:space="preserve">Juniper Networks</w:t>
      </w:r>
      <w:r>
        <w:t xml:space="preserve"> </w:t>
      </w:r>
      <w:r>
        <w:t xml:space="preserve">— „DCQCN Traffic Management”</w:t>
      </w:r>
      <w:r>
        <w:br/>
      </w:r>
      <w:hyperlink r:id="rId170">
        <w:r>
          <w:rPr>
            <w:rStyle w:val="Hyperlink"/>
          </w:rPr>
          <w:t xml:space="preserve">https://www.juniper.net/documentation/us/en/software/junos/traffic-mgmt-qfx/topics/topic-map/cos-qfx-series-DCQCN.html</w:t>
        </w:r>
      </w:hyperlink>
      <w:r>
        <w:br/>
      </w:r>
      <w:r>
        <w:t xml:space="preserve">Abgerufen: 21. April 2026</w:t>
      </w:r>
    </w:p>
    <w:p>
      <w:pPr>
        <w:numPr>
          <w:ilvl w:val="0"/>
          <w:numId w:val="1016"/>
        </w:numPr>
      </w:pPr>
      <w:r>
        <w:rPr>
          <w:b/>
          <w:bCs/>
        </w:rPr>
        <w:t xml:space="preserve">FS.com</w:t>
      </w:r>
      <w:r>
        <w:t xml:space="preserve"> </w:t>
      </w:r>
      <w:r>
        <w:t xml:space="preserve">— „ECN vs. DCQCN: Which Congestion Control Mechanism Is More Efficient?“</w:t>
      </w:r>
      <w:r>
        <w:br/>
      </w:r>
      <w:hyperlink r:id="rId171">
        <w:r>
          <w:rPr>
            <w:rStyle w:val="Hyperlink"/>
          </w:rPr>
          <w:t xml:space="preserve">https://www.fs.com/blog/ecn-vs-dcqcn-which-congestion-control-mechanism-is-more-efficient-17725.html</w:t>
        </w:r>
      </w:hyperlink>
      <w:r>
        <w:br/>
      </w:r>
      <w:r>
        <w:t xml:space="preserve">Abgerufen: 21. April 2026</w:t>
      </w:r>
    </w:p>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8" Target="https://docs.nvidia.com/networking/display/onyxv3103004/priority+flow+control+%28pfc%29" TargetMode="External" /><Relationship Type="http://schemas.openxmlformats.org/officeDocument/2006/relationships/hyperlink" Id="rId167" Target="https://learn.microsoft.com/de-de/windows-hardware/drivers/network/priority-based-flow-control--pfc" TargetMode="External" /><Relationship Type="http://schemas.openxmlformats.org/officeDocument/2006/relationships/hyperlink" Id="rId126" Target="https://learn.microsoft.com/en-us/azure/azure-local/concepts/cache" TargetMode="External" /><Relationship Type="http://schemas.openxmlformats.org/officeDocument/2006/relationships/hyperlink" Id="rId128" Target="https://learn.microsoft.com/en-us/azure/azure-local/concepts/plan-volumes" TargetMode="External" /><Relationship Type="http://schemas.openxmlformats.org/officeDocument/2006/relationships/hyperlink" Id="rId47" Target="https://learn.microsoft.com/en-us/windows-server/failover-clustering/deploy-quorum-witness" TargetMode="External" /><Relationship Type="http://schemas.openxmlformats.org/officeDocument/2006/relationships/hyperlink" Id="rId44" Target="https://learn.microsoft.com/en-us/windows-server/failover-clustering/fault-domains" TargetMode="External" /><Relationship Type="http://schemas.openxmlformats.org/officeDocument/2006/relationships/hyperlink" Id="rId48" Target="https://learn.microsoft.com/en-us/windows-server/storage/file-server/smb-security" TargetMode="External" /><Relationship Type="http://schemas.openxmlformats.org/officeDocument/2006/relationships/hyperlink" Id="rId49" Target="https://learn.microsoft.com/en-us/windows-server/storage/storage-qos/storage-qos-overview" TargetMode="External" /><Relationship Type="http://schemas.openxmlformats.org/officeDocument/2006/relationships/hyperlink" Id="rId127" Target="https://learn.microsoft.com/en-us/windows-server/storage/storage-spaces/deploy-storage-spaces-direct" TargetMode="External" /><Relationship Type="http://schemas.openxmlformats.org/officeDocument/2006/relationships/hyperlink" Id="rId45" Target="https://learn.microsoft.com/en-us/windows-server/storage/storage-spaces/fault-tolerance" TargetMode="External" /><Relationship Type="http://schemas.openxmlformats.org/officeDocument/2006/relationships/hyperlink" Id="rId46" Target="https://learn.microsoft.com/en-us/windows-server/storage/storage-spaces/quorum" TargetMode="External" /><Relationship Type="http://schemas.openxmlformats.org/officeDocument/2006/relationships/hyperlink" Id="rId43" Target="https://learn.microsoft.com/en-us/windows-server/storage/storage-spaces/storage-spaces-direct-hardware-requirements" TargetMode="External" /><Relationship Type="http://schemas.openxmlformats.org/officeDocument/2006/relationships/hyperlink" Id="rId42" Target="https://learn.microsoft.com/en-us/windows-server/storage/storage-spaces/storage-spaces-direct-overview" TargetMode="External" /><Relationship Type="http://schemas.openxmlformats.org/officeDocument/2006/relationships/hyperlink" Id="rId171" Target="https://www.fs.com/blog/ecn-vs-dcqcn-which-congestion-control-mechanism-is-more-efficient-17725.html" TargetMode="External" /><Relationship Type="http://schemas.openxmlformats.org/officeDocument/2006/relationships/hyperlink" Id="rId170" Target="https://www.juniper.net/documentation/us/en/software/junos/traffic-mgmt-qfx/topics/topic-map/cos-qfx-series-DCQCN.html" TargetMode="External" /><Relationship Type="http://schemas.openxmlformats.org/officeDocument/2006/relationships/hyperlink" Id="rId52" Target="https://www.windowsservercatalog.com/" TargetMode="External" /></Relationships>
</file>

<file path=word/_rels/footnotes.xml.rels><?xml version="1.0" encoding="UTF-8"?><Relationships xmlns="http://schemas.openxmlformats.org/package/2006/relationships"><Relationship Type="http://schemas.openxmlformats.org/officeDocument/2006/relationships/hyperlink" Id="rId168" Target="https://docs.nvidia.com/networking/display/onyxv3103004/priority+flow+control+%28pfc%29" TargetMode="External" /><Relationship Type="http://schemas.openxmlformats.org/officeDocument/2006/relationships/hyperlink" Id="rId167" Target="https://learn.microsoft.com/de-de/windows-hardware/drivers/network/priority-based-flow-control--pfc" TargetMode="External" /><Relationship Type="http://schemas.openxmlformats.org/officeDocument/2006/relationships/hyperlink" Id="rId126" Target="https://learn.microsoft.com/en-us/azure/azure-local/concepts/cache" TargetMode="External" /><Relationship Type="http://schemas.openxmlformats.org/officeDocument/2006/relationships/hyperlink" Id="rId128" Target="https://learn.microsoft.com/en-us/azure/azure-local/concepts/plan-volumes" TargetMode="External" /><Relationship Type="http://schemas.openxmlformats.org/officeDocument/2006/relationships/hyperlink" Id="rId47" Target="https://learn.microsoft.com/en-us/windows-server/failover-clustering/deploy-quorum-witness" TargetMode="External" /><Relationship Type="http://schemas.openxmlformats.org/officeDocument/2006/relationships/hyperlink" Id="rId44" Target="https://learn.microsoft.com/en-us/windows-server/failover-clustering/fault-domains" TargetMode="External" /><Relationship Type="http://schemas.openxmlformats.org/officeDocument/2006/relationships/hyperlink" Id="rId48" Target="https://learn.microsoft.com/en-us/windows-server/storage/file-server/smb-security" TargetMode="External" /><Relationship Type="http://schemas.openxmlformats.org/officeDocument/2006/relationships/hyperlink" Id="rId49" Target="https://learn.microsoft.com/en-us/windows-server/storage/storage-qos/storage-qos-overview" TargetMode="External" /><Relationship Type="http://schemas.openxmlformats.org/officeDocument/2006/relationships/hyperlink" Id="rId127" Target="https://learn.microsoft.com/en-us/windows-server/storage/storage-spaces/deploy-storage-spaces-direct" TargetMode="External" /><Relationship Type="http://schemas.openxmlformats.org/officeDocument/2006/relationships/hyperlink" Id="rId45" Target="https://learn.microsoft.com/en-us/windows-server/storage/storage-spaces/fault-tolerance" TargetMode="External" /><Relationship Type="http://schemas.openxmlformats.org/officeDocument/2006/relationships/hyperlink" Id="rId46" Target="https://learn.microsoft.com/en-us/windows-server/storage/storage-spaces/quorum" TargetMode="External" /><Relationship Type="http://schemas.openxmlformats.org/officeDocument/2006/relationships/hyperlink" Id="rId43" Target="https://learn.microsoft.com/en-us/windows-server/storage/storage-spaces/storage-spaces-direct-hardware-requirements" TargetMode="External" /><Relationship Type="http://schemas.openxmlformats.org/officeDocument/2006/relationships/hyperlink" Id="rId42" Target="https://learn.microsoft.com/en-us/windows-server/storage/storage-spaces/storage-spaces-direct-overview" TargetMode="External" /><Relationship Type="http://schemas.openxmlformats.org/officeDocument/2006/relationships/hyperlink" Id="rId171" Target="https://www.fs.com/blog/ecn-vs-dcqcn-which-congestion-control-mechanism-is-more-efficient-17725.html" TargetMode="External" /><Relationship Type="http://schemas.openxmlformats.org/officeDocument/2006/relationships/hyperlink" Id="rId170" Target="https://www.juniper.net/documentation/us/en/software/junos/traffic-mgmt-qfx/topics/topic-map/cos-qfx-series-DCQCN.html" TargetMode="External" /><Relationship Type="http://schemas.openxmlformats.org/officeDocument/2006/relationships/hyperlink" Id="rId52" Target="https://www.windowsservercatalo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Spaces Direct über Brandabschnitte</dc:title>
  <dc:creator>Jan Tiedemann</dc:creator>
  <dc:language>de</dc:language>
  <cp:keywords/>
  <dcterms:created xsi:type="dcterms:W3CDTF">2026-04-21T11:51:41Z</dcterms:created>
  <dcterms:modified xsi:type="dcterms:W3CDTF">2026-04-21T11:51:41Z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April 2026</vt:lpwstr>
  </property>
  <property fmtid="{D5CDD505-2E9C-101B-9397-08002B2CF9AE}" pid="3" name="subtitle">
    <vt:lpwstr>Technische Bewertung, Setup-Leitfaden und Glossar</vt:lpwstr>
  </property>
  <property fmtid="{D5CDD505-2E9C-101B-9397-08002B2CF9AE}" pid="4" name="toc">
    <vt:lpwstr>True</vt:lpwstr>
  </property>
  <property fmtid="{D5CDD505-2E9C-101B-9397-08002B2CF9AE}" pid="5" name="toc-depth">
    <vt:lpwstr>3</vt:lpwstr>
  </property>
</Properties>
</file>