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32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5.png" ContentType="image/png"/>
  <Override PartName="/word/media/image23.png" ContentType="image/png"/>
  <Override PartName="/word/media/image31.png" ContentType="image/png"/>
  <Override PartName="/word/media/image24.png" ContentType="image/png"/>
  <Override PartName="/word/media/image22.png" ContentType="image/png"/>
  <Override PartName="/word/media/image21.png" ContentType="image/png"/>
  <Override PartName="/word/media/image27.png" ContentType="image/png"/>
  <Override PartName="/word/media/image26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Spacing"/>
        <w:rPr>
          <w:lang w:val="sk-SK"/>
        </w:rPr>
      </w:pPr>
      <w:r>
        <w:rPr>
          <w:lang w:val="sk-SK"/>
        </w:rPr>
        <w:tab/>
        <w:t>(8. PaVC)</w:t>
      </w:r>
    </w:p>
    <w:p>
      <w:pPr>
        <w:pStyle w:val="NoSpacing"/>
        <w:rPr>
          <w:lang w:val="sk-SK"/>
        </w:rPr>
      </w:pPr>
      <w:r>
        <w:rPr>
          <w:lang w:val="sk-SK"/>
        </w:rPr>
        <w:t>Odhad kapacity prieplavu Cerna Voda - Constanta – 100 mil. t / rok</w:t>
      </w:r>
    </w:p>
    <w:p>
      <w:pPr>
        <w:pStyle w:val="NoSpacing"/>
        <w:rPr>
          <w:lang w:val="sk-SK"/>
        </w:rPr>
      </w:pPr>
      <w:r>
        <w:rPr>
          <w:lang w:val="sk-SK"/>
        </w:rPr>
        <w:tab/>
        <w:t>Odpovedá tiež realisticky odhadovanej minimálnej kapacite Dunaja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(10. PaVC)</w:t>
      </w:r>
    </w:p>
    <w:p>
      <w:pPr>
        <w:pStyle w:val="NoSpacing"/>
        <w:rPr>
          <w:lang w:val="sk-SK"/>
        </w:rPr>
      </w:pPr>
      <w:r>
        <w:rPr>
          <w:lang w:val="sk-SK"/>
        </w:rPr>
        <w:t>Priemerná prepravná vzdialenosť v starých štátoch EU – 140 km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(15. PaVC)</w:t>
      </w:r>
    </w:p>
    <w:p>
      <w:pPr>
        <w:pStyle w:val="NoSpacing"/>
        <w:rPr>
          <w:lang w:val="sk-SK"/>
        </w:rPr>
      </w:pPr>
      <w:r>
        <w:rPr>
          <w:lang w:val="sk-SK"/>
        </w:rPr>
        <w:t>Zdroj alebo cieľ prepravy sú väčšinou námorné prístavy, v obmedzenom množstve však existuje a postupne vzniká preprava aj medzi dvoma vnútrozemskými prístavmi.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/>
        <w:t>(</w:t>
      </w:r>
      <w:r>
        <w:rPr>
          <w:lang w:val="sk-SK"/>
        </w:rPr>
        <w:t>16. PaVC)</w:t>
      </w:r>
    </w:p>
    <w:p>
      <w:pPr>
        <w:pStyle w:val="NoSpacing"/>
        <w:rPr>
          <w:lang w:val="sk-SK"/>
        </w:rPr>
      </w:pPr>
      <w:r>
        <w:rPr>
          <w:lang w:val="sk-SK"/>
        </w:rPr>
        <w:t>Teoretický výpočet plavebnej doby, použité parametere: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Rýchlosť riečnej kontajnerovej lode na kanále = 10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Rýchlosť riečnej kontajnerovej lode v protiprúde Labe = 6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Rýchlosť riečnej kontajnerovej lode v prúde </w:t>
      </w:r>
      <w:del w:id="0" w:author="theirs" w:date="2014-12-03T19:37:00Z">
        <w:r>
          <w:rPr>
            <w:lang w:val="sk-SK"/>
          </w:rPr>
          <w:delText>Lave</w:delText>
        </w:r>
      </w:del>
      <w:ins w:id="1" w:author="theirs" w:date="2014-12-03T19:37:00Z">
        <w:r>
          <w:rPr>
            <w:lang w:val="sk-SK"/>
          </w:rPr>
          <w:t>Labe</w:t>
        </w:r>
      </w:ins>
      <w:r>
        <w:rPr>
          <w:lang w:val="sk-SK"/>
        </w:rPr>
        <w:t xml:space="preserve"> = 14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Rýchlosť riečnej kontajnerovej lode na veľkých voľne tečúcich riekach (stredný a dolný Dunaj) = Labe + 3 km/h 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Čakanie na každom stupni = 30 minút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Preklad kontajnerov riečne plavidlo -</w:t>
      </w:r>
      <w:r>
        <w:rPr/>
        <w:t>&gt;</w:t>
      </w:r>
      <w:r>
        <w:rPr>
          <w:lang w:val="sk-SK"/>
        </w:rPr>
        <w:t xml:space="preserve"> námorné = 2 dni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Denná doba prevádzky = 23 hodín</w:t>
      </w:r>
    </w:p>
    <w:p>
      <w:pPr>
        <w:pStyle w:val="NoSpacing"/>
        <w:rPr/>
      </w:pPr>
      <w:r>
        <w:rPr/>
        <w:drawing>
          <wp:inline distT="0" distB="0" distL="0" distR="0">
            <wp:extent cx="5939790" cy="389636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drawing>
          <wp:inline distT="0" distB="0" distL="0" distR="0">
            <wp:extent cx="5939790" cy="389636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(17. PaVC)</w:t>
      </w:r>
    </w:p>
    <w:p>
      <w:pPr>
        <w:pStyle w:val="NoSpacing"/>
        <w:rPr>
          <w:lang w:val="sk-SK"/>
        </w:rPr>
      </w:pPr>
      <w:r>
        <w:rPr>
          <w:lang w:val="sk-SK"/>
        </w:rPr>
        <w:t>Veľký vplyv na cenu prepravy 1 TEU má počet kontajnerov, ktoré je možné na plavidlo či súpravu možno naložiť.</w:t>
      </w:r>
    </w:p>
    <w:p>
      <w:pPr>
        <w:pStyle w:val="NoSpacing"/>
        <w:rPr>
          <w:lang w:val="sk-SK"/>
        </w:rPr>
      </w:pPr>
      <w:r>
        <w:rPr>
          <w:lang w:val="sk-SK"/>
        </w:rPr>
        <w:t xml:space="preserve">Stredná hmotnosť kontajneru = 11t / TEU </w:t>
      </w:r>
      <w:r>
        <w:rPr/>
        <w:t xml:space="preserve">(TEU = 20 </w:t>
      </w:r>
      <w:r>
        <w:rPr>
          <w:lang w:val="sk-SK"/>
        </w:rPr>
        <w:t>stôp veľký kontajner)</w:t>
      </w:r>
    </w:p>
    <w:p>
      <w:pPr>
        <w:pStyle w:val="NoSpacing"/>
        <w:rPr>
          <w:lang w:val="sk-SK"/>
        </w:rPr>
      </w:pPr>
      <w:r>
        <w:rPr/>
        <w:drawing>
          <wp:inline distT="0" distB="0" distL="0" distR="0">
            <wp:extent cx="3967480" cy="436562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436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967480" cy="436562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436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</w:t>
      </w:r>
    </w:p>
    <w:p>
      <w:pPr>
        <w:pStyle w:val="Normal"/>
        <w:spacing w:lineRule="auto" w:line="240" w:before="0" w:after="0"/>
        <w:rPr>
          <w:rFonts w:cs="Arial+2+1" w:ascii="Arial+2+1" w:hAnsi="Arial+2+1"/>
        </w:rPr>
      </w:pPr>
      <w:r>
        <w:rPr>
          <w:lang w:val="sk-SK"/>
        </w:rPr>
        <w:t>„</w:t>
      </w:r>
      <w:r>
        <w:rPr>
          <w:rFonts w:cs="Arial" w:ascii="Arial" w:hAnsi="Arial"/>
        </w:rPr>
        <w:t>Z tabulky vyplývá, že relace z oblasti jižní Moravy do p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ístavu Constan</w:t>
      </w:r>
      <w:r>
        <w:rPr>
          <w:rFonts w:cs="Arial+2+1" w:ascii="Arial+2+1" w:hAnsi="Arial+2+1"/>
        </w:rPr>
        <w:t>ţ</w:t>
      </w:r>
      <w:r>
        <w:rPr>
          <w:rFonts w:cs="Arial" w:ascii="Arial" w:hAnsi="Arial"/>
        </w:rPr>
        <w:t>a je provozn</w:t>
      </w:r>
      <w:r>
        <w:rPr>
          <w:rFonts w:cs="Arial+2+1" w:ascii="Arial+2+1" w:hAnsi="Arial+2+1"/>
        </w:rPr>
        <w:t>ě</w:t>
      </w:r>
    </w:p>
    <w:p>
      <w:pPr>
        <w:pStyle w:val="Normal"/>
        <w:spacing w:lineRule="auto" w:line="240" w:before="0" w:after="0"/>
        <w:rPr>
          <w:rFonts w:cs="Arial" w:ascii="Arial" w:hAnsi="Arial"/>
        </w:rPr>
      </w:pPr>
      <w:r>
        <w:rPr>
          <w:rFonts w:cs="Arial" w:ascii="Arial" w:hAnsi="Arial"/>
        </w:rPr>
        <w:t>zdaleka nejvýhodn</w:t>
      </w:r>
      <w:r>
        <w:rPr>
          <w:rFonts w:cs="Arial+2+1" w:ascii="Arial+2+1" w:hAnsi="Arial+2+1"/>
        </w:rPr>
        <w:t>ě</w:t>
      </w:r>
      <w:r>
        <w:rPr>
          <w:rFonts w:cs="Arial" w:ascii="Arial" w:hAnsi="Arial"/>
        </w:rPr>
        <w:t>jší Umož</w:t>
      </w:r>
      <w:r>
        <w:rPr>
          <w:rFonts w:cs="Arial+2+1" w:ascii="Arial+2+1" w:hAnsi="Arial+2+1"/>
        </w:rPr>
        <w:t>ň</w:t>
      </w:r>
      <w:r>
        <w:rPr>
          <w:rFonts w:cs="Arial" w:ascii="Arial" w:hAnsi="Arial"/>
        </w:rPr>
        <w:t>uje prakticky vždy ložení t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í vrstev kontejner</w:t>
      </w:r>
      <w:r>
        <w:rPr>
          <w:rFonts w:cs="Arial+2+1" w:ascii="Arial+2+1" w:hAnsi="Arial+2+1"/>
        </w:rPr>
        <w:t xml:space="preserve">ů </w:t>
      </w:r>
      <w:r>
        <w:rPr>
          <w:rFonts w:cs="Arial" w:ascii="Arial" w:hAnsi="Arial"/>
        </w:rPr>
        <w:t>(288 TEU)</w:t>
      </w:r>
    </w:p>
    <w:p>
      <w:pPr>
        <w:pStyle w:val="Normal"/>
        <w:spacing w:lineRule="auto" w:line="240" w:before="0" w:after="0"/>
        <w:rPr>
          <w:rFonts w:cs="Arial" w:ascii="Arial" w:hAnsi="Arial"/>
        </w:rPr>
      </w:pPr>
      <w:r>
        <w:rPr>
          <w:rFonts w:cs="Arial" w:ascii="Arial" w:hAnsi="Arial"/>
        </w:rPr>
        <w:t xml:space="preserve">v soupravách o dvou </w:t>
      </w:r>
      <w:r>
        <w:rPr>
          <w:rFonts w:cs="Arial+2+1" w:ascii="Arial+2+1" w:hAnsi="Arial+2+1"/>
        </w:rPr>
        <w:t>č</w:t>
      </w:r>
      <w:r>
        <w:rPr>
          <w:rFonts w:cs="Arial" w:ascii="Arial" w:hAnsi="Arial"/>
        </w:rPr>
        <w:t>lunech</w:t>
      </w:r>
      <w:r>
        <w:rPr>
          <w:rFonts w:cs="Arial" w:ascii="Arial" w:hAnsi="Arial"/>
          <w:sz w:val="14"/>
          <w:szCs w:val="14"/>
        </w:rPr>
        <w:t>25</w:t>
      </w:r>
      <w:r>
        <w:rPr>
          <w:rFonts w:cs="Arial" w:ascii="Arial" w:hAnsi="Arial"/>
        </w:rPr>
        <w:t>. Již po proplutí krátkého úseku k Dunaji je možno tyto</w:t>
      </w:r>
    </w:p>
    <w:p>
      <w:pPr>
        <w:pStyle w:val="NoSpacing"/>
        <w:rPr>
          <w:rFonts w:cs="Arial" w:ascii="Arial" w:hAnsi="Arial"/>
        </w:rPr>
      </w:pPr>
      <w:r>
        <w:rPr>
          <w:rFonts w:cs="Arial" w:ascii="Arial" w:hAnsi="Arial"/>
        </w:rPr>
        <w:t xml:space="preserve">soupravy spojit a dopravovat ve </w:t>
      </w:r>
      <w:r>
        <w:rPr>
          <w:rFonts w:cs="Arial+2+1" w:ascii="Arial+2+1" w:hAnsi="Arial+2+1"/>
        </w:rPr>
        <w:t>č</w:t>
      </w:r>
      <w:r>
        <w:rPr>
          <w:rFonts w:cs="Arial" w:ascii="Arial" w:hAnsi="Arial"/>
        </w:rPr>
        <w:t>ty</w:t>
      </w:r>
      <w:r>
        <w:rPr>
          <w:rFonts w:cs="Arial+2+1" w:ascii="Arial+2+1" w:hAnsi="Arial+2+1"/>
        </w:rPr>
        <w:t>řč</w:t>
      </w:r>
      <w:r>
        <w:rPr>
          <w:rFonts w:cs="Arial" w:ascii="Arial" w:hAnsi="Arial"/>
        </w:rPr>
        <w:t>lunové souprav</w:t>
      </w:r>
      <w:r>
        <w:rPr>
          <w:rFonts w:cs="Arial+2+1" w:ascii="Arial+2+1" w:hAnsi="Arial+2+1"/>
        </w:rPr>
        <w:t xml:space="preserve">ě </w:t>
      </w:r>
      <w:r>
        <w:rPr>
          <w:rFonts w:cs="Arial" w:ascii="Arial" w:hAnsi="Arial"/>
        </w:rPr>
        <w:t>až k námo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nímu p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ístavu 576 TEU”</w:t>
      </w:r>
    </w:p>
    <w:p>
      <w:pPr>
        <w:pStyle w:val="NoSpacing"/>
        <w:rPr>
          <w:rFonts w:cs="Arial" w:ascii="Arial" w:hAnsi="Arial"/>
        </w:rPr>
      </w:pPr>
      <w:r>
        <w:rPr>
          <w:rFonts w:cs="Arial" w:ascii="Arial" w:hAnsi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(21. PaVC)</w:t>
      </w:r>
    </w:p>
    <w:p>
      <w:pPr>
        <w:pStyle w:val="NoSpacing"/>
        <w:rPr>
          <w:rFonts w:cs="Arial"/>
        </w:rPr>
      </w:pPr>
      <w:r>
        <w:rPr>
          <w:rFonts w:cs="Arial"/>
        </w:rPr>
        <w:t>Ostravsko a Přerov sú významnými výrobcami mimoriadne veľkých a ťažkých výrobkov.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(28. PaVC)</w:t>
      </w:r>
    </w:p>
    <w:p>
      <w:pPr>
        <w:pStyle w:val="NoSpacing"/>
        <w:rPr>
          <w:rFonts w:cs="Arial"/>
        </w:rPr>
      </w:pPr>
      <w:r>
        <w:rPr>
          <w:rFonts w:cs="Arial"/>
        </w:rPr>
        <w:t xml:space="preserve">Podľa dohody AGN má byť D-O-L cesta triedy </w:t>
      </w:r>
      <w:r>
        <w:rPr>
          <w:rFonts w:cs="Arial"/>
          <w:b/>
        </w:rPr>
        <w:t>Vb</w:t>
      </w:r>
      <w:r>
        <w:rPr>
          <w:rFonts w:cs="Arial"/>
        </w:rPr>
        <w:t>.</w:t>
      </w:r>
    </w:p>
    <w:p>
      <w:pPr>
        <w:pStyle w:val="NoSpacing"/>
        <w:rPr>
          <w:rFonts w:cs="Arial"/>
        </w:rPr>
      </w:pPr>
      <w:r>
        <w:rPr>
          <w:rFonts w:cs="Arial"/>
        </w:rPr>
        <w:t>Veľké motorové lode – 110x11,4 metra – pri dodržaní ponoru 2,8 metra – 2500t nosnosť</w:t>
      </w:r>
    </w:p>
    <w:p>
      <w:pPr>
        <w:pStyle w:val="NoSpacing"/>
        <w:rPr>
          <w:rFonts w:cs="Arial"/>
        </w:rPr>
      </w:pPr>
      <w:r>
        <w:rPr>
          <w:rFonts w:cs="Arial"/>
        </w:rPr>
        <w:t>Tlačné súpravy – 180 metrov dĺžka – pri dodržaní ponoru – 4000t nosnosť</w:t>
      </w:r>
    </w:p>
    <w:p>
      <w:pPr>
        <w:pStyle w:val="NoSpacing"/>
        <w:rPr>
          <w:rFonts w:cs="Arial"/>
        </w:rPr>
      </w:pPr>
      <w:r>
        <w:rPr>
          <w:rFonts w:cs="Arial"/>
        </w:rPr>
        <w:t>Preprava kontajnerov v troch vertikálnych vrstvách – dané výškou mostou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(29. PaVC)</w:t>
      </w:r>
    </w:p>
    <w:p>
      <w:pPr>
        <w:pStyle w:val="NoSpacing"/>
        <w:rPr>
          <w:lang w:val="sk-SK"/>
        </w:rPr>
      </w:pPr>
      <w:r>
        <w:rPr>
          <w:lang w:val="sk-SK"/>
        </w:rPr>
        <w:t>Ďalšie parametre vodnej cesty</w:t>
      </w:r>
    </w:p>
    <w:p>
      <w:pPr>
        <w:pStyle w:val="NoSpacing"/>
        <w:rPr/>
      </w:pPr>
      <w:r>
        <w:rPr/>
        <w:drawing>
          <wp:inline distT="0" distB="0" distL="0" distR="0">
            <wp:extent cx="5085080" cy="610616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610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drawing>
          <wp:inline distT="0" distB="0" distL="0" distR="0">
            <wp:extent cx="5085080" cy="610616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610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(31. PaVC)</w:t>
      </w:r>
    </w:p>
    <w:p>
      <w:pPr>
        <w:pStyle w:val="NoSpacing"/>
        <w:rPr>
          <w:lang w:val="sk-SK"/>
        </w:rPr>
      </w:pPr>
      <w:r>
        <w:rPr>
          <w:lang w:val="sk-SK"/>
        </w:rPr>
        <w:t>Základná trasa zdokumentovaná v generelu (mapky).</w:t>
      </w:r>
    </w:p>
    <w:p>
      <w:pPr>
        <w:pStyle w:val="NoSpacing"/>
        <w:rPr>
          <w:lang w:val="sk-SK"/>
        </w:rPr>
      </w:pPr>
      <w:r>
        <w:rPr>
          <w:lang w:val="sk-SK"/>
        </w:rPr>
        <w:t>Optimálne riešenie sa hľadá pre úseky: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Dunaj – Hodonín – väčší počet variantných trás, podmienené politikou, nie technikou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Krátky úsek pri Kroměříži – priechod mestom či obchvat?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Výstupná vetva Oderskej vetvy od lokality Buk k vrcholovej zdrži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Vrcholová zdrž Labskej vetvy medzi stupňami Střelice a Dvořisko: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Buď vysoká vrcholová zdrž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Alebo nižšia zdrž vyžadujúca dlhý tunel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(32. PaVC)</w:t>
      </w:r>
    </w:p>
    <w:p>
      <w:pPr>
        <w:pStyle w:val="NoSpacing"/>
        <w:rPr>
          <w:lang w:val="sk-SK"/>
        </w:rPr>
      </w:pPr>
      <w:r>
        <w:rPr>
          <w:lang w:val="sk-SK"/>
        </w:rPr>
        <w:t>Preferujú sa vysoké plavebné komory, lodné zdvíhadlá sú raritou.</w:t>
      </w:r>
    </w:p>
    <w:p>
      <w:pPr>
        <w:pStyle w:val="NoSpacing"/>
        <w:rPr>
          <w:lang w:val="sk-SK"/>
        </w:rPr>
      </w:pPr>
      <w:r>
        <w:rPr>
          <w:lang w:val="sk-SK"/>
        </w:rPr>
        <w:t>Spád 25 metrov je kvôli rôznym dôvodom hornou hranicou pre vysokú plavebnú komoru na D-O-L.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(34. PaVC)</w:t>
      </w:r>
    </w:p>
    <w:p>
      <w:pPr>
        <w:pStyle w:val="NoSpacing"/>
        <w:rPr>
          <w:lang w:val="sk-SK"/>
        </w:rPr>
      </w:pPr>
      <w:r>
        <w:rPr>
          <w:lang w:val="sk-SK"/>
        </w:rPr>
        <w:t>Pri použití parametrov a profilu vodnej cesty sú dopravné rýchlosti: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Prípustná maximálna rýchlosť plavidiel pri hĺbke 5 metrov  = 13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Prípustná maximálna rýchlosť plavidiel pri hĺbke 4 metre  = 12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Testy na R-M-D (4 až 4,25 metra):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Plne naložená loď – max rýchlosť = 11 km/h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Prázdna loď – max rýchlosť = 14-15 km/h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(35. PaVC)</w:t>
      </w:r>
    </w:p>
    <w:p>
      <w:pPr>
        <w:pStyle w:val="NoSpacing"/>
        <w:rPr>
          <w:lang w:val="sk-SK"/>
        </w:rPr>
      </w:pPr>
      <w:r>
        <w:rPr>
          <w:lang w:val="sk-SK"/>
        </w:rPr>
        <w:t>Prieplavný most – šírka 20 metrov, hĺbka 5 metrov, jednolodný (teda aj jednosmerný), prípustná rýchlosť 10,19 km/h</w:t>
      </w:r>
    </w:p>
    <w:p>
      <w:pPr>
        <w:pStyle w:val="NoSpacing"/>
        <w:rPr>
          <w:lang w:val="sk-SK"/>
        </w:rPr>
      </w:pPr>
      <w:r>
        <w:rPr>
          <w:lang w:val="sk-SK"/>
        </w:rPr>
        <w:t>Prieplavný tunel – u D-O-L šírka minimálne 12,5 metra, skôr však 14 metrov, hĺbka 5,7 metra, jednolodný, prípustná rýchlosť 9,28 km/h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(38. PaVC)</w:t>
      </w:r>
    </w:p>
    <w:p>
      <w:pPr>
        <w:pStyle w:val="NoSpacing"/>
        <w:rPr>
          <w:lang w:val="sk-SK"/>
        </w:rPr>
      </w:pPr>
      <w:r>
        <w:rPr/>
        <w:t>Za rozumne dlhé plnenie a pr</w:t>
      </w:r>
      <w:r>
        <w:rPr>
          <w:lang w:val="sk-SK"/>
        </w:rPr>
        <w:t>ázdnenie plavebných komôr, jak vysokých tak nízkych, sa považuje 10-12 minút.</w:t>
      </w:r>
    </w:p>
    <w:p>
      <w:pPr>
        <w:pStyle w:val="NoSpacing"/>
        <w:rPr>
          <w:lang w:val="sk-SK"/>
        </w:rPr>
      </w:pPr>
      <w:r>
        <w:rPr>
          <w:lang w:val="sk-SK"/>
        </w:rPr>
        <w:t>Nízke plavebné komory sú do výšky 10-12,5 metra.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(43. PaVC)</w:t>
      </w:r>
    </w:p>
    <w:p>
      <w:pPr>
        <w:pStyle w:val="NoSpacing"/>
        <w:rPr>
          <w:lang w:val="sk-SK"/>
        </w:rPr>
      </w:pPr>
      <w:r>
        <w:rPr>
          <w:lang w:val="sk-SK"/>
        </w:rPr>
        <w:t>Z hladiska kapacity sú podstatné plavebné komory a jednolodné / jednosmerné úseky.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(44. PaVC)</w:t>
      </w:r>
    </w:p>
    <w:p>
      <w:pPr>
        <w:pStyle w:val="NoSpacing"/>
        <w:rPr>
          <w:lang w:val="sk-SK"/>
        </w:rPr>
      </w:pPr>
      <w:r>
        <w:rPr>
          <w:lang w:val="sk-SK"/>
        </w:rPr>
        <w:t>Plavebná komora, jeden stupeň, 10 potrebných operácií, spolu dávajú teoretický čas na preplavenie: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Priplávanie do komory zdola – t1 = 516s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Uzatváranie dolných vrát – t2 = 60s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Doba plnenia komory: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Vysoké (27,5 metra) – t3 = 700s (2,36 m/min)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 xml:space="preserve">Nízke (12,5 metra) – t3 = 500s (1,5 m/min) 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Otvorenie horných vrát – t4 = </w:t>
      </w:r>
      <w:del w:id="2" w:author="theirs" w:date="2014-12-03T19:37:00Z">
        <w:r>
          <w:rPr>
            <w:lang w:val="sk-SK"/>
          </w:rPr>
          <w:delText>30s</w:delText>
        </w:r>
      </w:del>
      <w:ins w:id="3" w:author="theirs" w:date="2014-12-03T19:37:00Z">
        <w:r>
          <w:rPr>
            <w:lang w:val="sk-SK"/>
          </w:rPr>
          <w:t>0s</w:t>
        </w:r>
      </w:ins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Vyplávanie z komory – t5 = 355s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Priplávanie do komory zhora – t6 = t1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Uzatváranie horných vrát – t7 = t2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Doba vyprázdnenia komory – t8 = t3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Otváranie spodných vrát – t9 = </w:t>
      </w:r>
      <w:del w:id="4" w:author="theirs" w:date="2014-12-03T19:37:00Z">
        <w:r>
          <w:rPr>
            <w:lang w:val="sk-SK"/>
          </w:rPr>
          <w:delText>t4</w:delText>
        </w:r>
      </w:del>
      <w:ins w:id="5" w:author="theirs" w:date="2014-12-03T19:37:00Z">
        <w:r>
          <w:rPr>
            <w:lang w:val="sk-SK"/>
          </w:rPr>
          <w:t>30s</w:t>
        </w:r>
      </w:ins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Vyplávanie z komory – t10 = t5</w:t>
      </w:r>
    </w:p>
    <w:p>
      <w:pPr>
        <w:pStyle w:val="NoSpacing"/>
        <w:rPr>
          <w:lang w:val="sk-SK"/>
        </w:rPr>
      </w:pPr>
      <w:r>
        <w:rPr>
          <w:lang w:val="sk-SK"/>
        </w:rPr>
        <w:t>Viackomorové plavebné komory / paralelné – každá môže byť využívaná samostatne.</w:t>
      </w:r>
    </w:p>
    <w:p>
      <w:pPr>
        <w:pStyle w:val="NoSpacing"/>
        <w:rPr>
          <w:lang w:val="sk-SK"/>
        </w:rPr>
      </w:pPr>
      <w:r>
        <w:rPr>
          <w:lang w:val="sk-SK"/>
        </w:rPr>
        <w:t>Pri plavbe nutné uvažovať pravdepodobnostné rozloženie plavby – lode sa neplavia celý deň 24 hodín, niektoré preferujú deň.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(46. PaVC)</w:t>
      </w:r>
    </w:p>
    <w:p>
      <w:pPr>
        <w:pStyle w:val="NoSpacing"/>
        <w:rPr>
          <w:lang w:val="sk-SK"/>
        </w:rPr>
      </w:pPr>
      <w:r>
        <w:rPr/>
        <w:t>V p</w:t>
      </w:r>
      <w:r>
        <w:rPr>
          <w:lang w:val="sk-SK"/>
        </w:rPr>
        <w:t>rípade D-O-L je pravdepodobné, že plavidlá sa budú vracať po rovnakých trasách.</w:t>
      </w:r>
    </w:p>
    <w:p>
      <w:pPr>
        <w:pStyle w:val="NoSpacing"/>
        <w:rPr>
          <w:lang w:val="sk-SK"/>
        </w:rPr>
      </w:pPr>
      <w:r>
        <w:rPr>
          <w:lang w:val="sk-SK"/>
        </w:rPr>
        <w:t>Nízke plavebné komory – každoročná údržba, trvá 6 – 10 dní.</w:t>
      </w:r>
    </w:p>
    <w:p>
      <w:pPr>
        <w:pStyle w:val="NoSpacing"/>
        <w:rPr>
          <w:lang w:val="sk-SK"/>
        </w:rPr>
      </w:pPr>
      <w:r>
        <w:rPr>
          <w:lang w:val="sk-SK"/>
        </w:rPr>
        <w:t>Zamedzenie plavby pri extrémne vysokých mrazoch, približne 7 – 11 dní v roku.</w:t>
      </w:r>
    </w:p>
    <w:p>
      <w:pPr>
        <w:pStyle w:val="NoSpacing"/>
        <w:rPr>
          <w:lang w:val="sk-SK"/>
        </w:rPr>
      </w:pPr>
      <w:r>
        <w:rPr>
          <w:lang w:val="sk-SK"/>
        </w:rPr>
        <w:t>Plavidlá sú vybavované v poradí ich príjazdu.</w:t>
      </w:r>
    </w:p>
    <w:p>
      <w:pPr>
        <w:pStyle w:val="NoSpacing"/>
        <w:rPr>
          <w:lang w:val="sk-SK"/>
        </w:rPr>
      </w:pPr>
      <w:r>
        <w:rPr>
          <w:lang w:val="sk-SK"/>
        </w:rPr>
        <w:t>(48. PaVC)</w:t>
      </w:r>
    </w:p>
    <w:p>
      <w:pPr>
        <w:pStyle w:val="NoSpacing"/>
        <w:rPr>
          <w:lang w:val="sk-SK"/>
        </w:rPr>
      </w:pPr>
      <w:r>
        <w:rPr>
          <w:lang w:val="sk-SK"/>
        </w:rPr>
        <w:t xml:space="preserve">Pri plavbe dlhými tunelmi sa súpravy spájajú za seba. Priepustnosť tunelov tým výrazne rastie, pri spojení 3 súprav sa aj 10km tunel vyrovná priepustnosťou jednoduchej plavebnej komore. </w:t>
      </w:r>
    </w:p>
    <w:p>
      <w:pPr>
        <w:pStyle w:val="NoSpacing"/>
        <w:rPr>
          <w:lang w:val="sk-SK"/>
        </w:rPr>
      </w:pPr>
      <w:r>
        <w:rPr>
          <w:lang w:val="sk-SK"/>
        </w:rPr>
        <w:t>V prípade D-O-L je dlhší tunel len na Labskej vetve.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ins w:id="6" w:author="Ivan Sevcik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r>
        <w:rPr>
          <w:lang w:val="sk-SK"/>
        </w:rPr>
        <w:t>(52. PaVC)</w:t>
      </w:r>
    </w:p>
    <w:p>
      <w:pPr>
        <w:pStyle w:val="NoSpacing"/>
        <w:rPr>
          <w:lang w:val="sk-SK"/>
        </w:rPr>
      </w:pPr>
      <w:r>
        <w:rPr>
          <w:lang w:val="sk-SK"/>
        </w:rPr>
        <w:t>Tunel sa nachádza v 3. etape (3km - krátky) a 4. etape (8km - dlhý), most v 1. etape (1km) a v 4. etape (1km).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(54. PaVC)</w:t>
      </w:r>
    </w:p>
    <w:p>
      <w:pPr>
        <w:pStyle w:val="NoSpacing"/>
        <w:rPr>
          <w:lang w:val="sk-SK"/>
        </w:rPr>
      </w:pPr>
      <w:r>
        <w:rPr>
          <w:lang w:val="sk-SK"/>
        </w:rPr>
        <w:t>Detailná analýza nákladov pre jednotlivé položky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(60. PaVC)</w:t>
      </w:r>
    </w:p>
    <w:p>
      <w:pPr>
        <w:pStyle w:val="NoSpacing"/>
        <w:rPr>
          <w:lang w:val="sk-SK"/>
        </w:rPr>
      </w:pPr>
      <w:r>
        <w:rPr>
          <w:lang w:val="sk-SK"/>
        </w:rPr>
        <w:t>Popis a celková cena nákladov pre jednotlivé etapy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(76. PaVC)</w:t>
      </w:r>
    </w:p>
    <w:p>
      <w:pPr>
        <w:pStyle w:val="NoSpacing"/>
        <w:rPr>
          <w:lang w:val="sk-SK"/>
        </w:rPr>
      </w:pPr>
      <w:r>
        <w:rPr>
          <w:lang w:val="sk-SK"/>
        </w:rPr>
        <w:t>Dlhý tunel začína na 89,63 km trasy, končí na 97,23 km teda dĺžka 7600 metrov. Pre dosiahnutie priepustnosti plavebných komôr nutné zoskupovať 2-3 (radšej 3) plavidlá, po zdvojení plavebných komôr dokonca 4-5. Predpokladaná časová stráta činí 1,39h až 1,85h 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(80. PaVC)</w:t>
      </w:r>
    </w:p>
    <w:p>
      <w:pPr>
        <w:pStyle w:val="Normal"/>
        <w:spacing w:lineRule="auto" w:line="240" w:before="0" w:after="0"/>
        <w:rPr>
          <w:rFonts w:cs="Arial"/>
        </w:rPr>
      </w:pPr>
      <w:r>
        <w:rPr>
          <w:rFonts w:cs="Arial"/>
        </w:rPr>
        <w:t>“</w:t>
      </w:r>
      <w:r>
        <w:rPr>
          <w:rFonts w:cs="Arial"/>
        </w:rPr>
        <w:t>S v</w:t>
      </w:r>
      <w:r>
        <w:rPr>
          <w:rFonts w:cs="Arial+2+1"/>
        </w:rPr>
        <w:t>ě</w:t>
      </w:r>
      <w:r>
        <w:rPr>
          <w:rFonts w:cs="Arial"/>
        </w:rPr>
        <w:t>tšími p</w:t>
      </w:r>
      <w:r>
        <w:rPr>
          <w:rFonts w:cs="Arial+2+1"/>
        </w:rPr>
        <w:t>ř</w:t>
      </w:r>
      <w:r>
        <w:rPr>
          <w:rFonts w:cs="Arial"/>
        </w:rPr>
        <w:t>ístavy není možno v rámci etapy 4 po</w:t>
      </w:r>
      <w:r>
        <w:rPr>
          <w:rFonts w:cs="Arial+2+1"/>
        </w:rPr>
        <w:t>č</w:t>
      </w:r>
      <w:r>
        <w:rPr>
          <w:rFonts w:cs="Arial"/>
        </w:rPr>
        <w:t>ítat, menší p</w:t>
      </w:r>
      <w:r>
        <w:rPr>
          <w:rFonts w:cs="Arial+2+1"/>
        </w:rPr>
        <w:t>ř</w:t>
      </w:r>
      <w:r>
        <w:rPr>
          <w:rFonts w:cs="Arial"/>
        </w:rPr>
        <w:t>ekladišt</w:t>
      </w:r>
      <w:r>
        <w:rPr>
          <w:rFonts w:cs="Arial+2+1"/>
        </w:rPr>
        <w:t xml:space="preserve">ě </w:t>
      </w:r>
      <w:r>
        <w:rPr>
          <w:rFonts w:cs="Arial"/>
        </w:rPr>
        <w:t>by byla v Záb</w:t>
      </w:r>
      <w:r>
        <w:rPr>
          <w:rFonts w:cs="Arial+2+1"/>
        </w:rPr>
        <w:t>ř</w:t>
      </w:r>
      <w:r>
        <w:rPr>
          <w:rFonts w:cs="Arial"/>
        </w:rPr>
        <w:t>ehu, Rudolticích, Ústí nad Orlicí a Chocni.”</w:t>
      </w:r>
    </w:p>
    <w:p>
      <w:pPr>
        <w:pStyle w:val="NoSpacing"/>
        <w:rPr>
          <w:rFonts w:cs="Arial" w:ascii="Arial" w:hAnsi="Arial"/>
        </w:rPr>
      </w:pPr>
      <w:r>
        <w:rPr>
          <w:rFonts w:cs="Arial" w:ascii="Arial" w:hAnsi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(84. PaVC)</w:t>
      </w:r>
    </w:p>
    <w:p>
      <w:pPr>
        <w:pStyle w:val="NoSpacing"/>
        <w:rPr>
          <w:rFonts w:cs="Arial"/>
        </w:rPr>
      </w:pPr>
      <w:r>
        <w:rPr>
          <w:rFonts w:cs="Arial"/>
        </w:rPr>
        <w:t>Rýchlosť stavby, vid. tiez priloha 9h.</w:t>
      </w:r>
    </w:p>
    <w:p>
      <w:pPr>
        <w:pStyle w:val="NoSpacing"/>
        <w:rPr>
          <w:rFonts w:cs="Arial"/>
        </w:rPr>
      </w:pPr>
      <w:r>
        <w:rPr>
          <w:rFonts w:cs="Arial"/>
        </w:rPr>
        <w:t>Vytiahnuť neskôr.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(90. PaVC)</w:t>
      </w:r>
    </w:p>
    <w:p>
      <w:pPr>
        <w:pStyle w:val="NoSpacing"/>
        <w:rPr>
          <w:rFonts w:cs="Arial"/>
        </w:rPr>
      </w:pPr>
      <w:r>
        <w:rPr>
          <w:rFonts w:cs="Arial"/>
        </w:rPr>
        <w:t>Podrobné náklady na údržbu a zabezpečenie funkcií vodného diela.</w:t>
      </w:r>
    </w:p>
    <w:p>
      <w:pPr>
        <w:pStyle w:val="NoSpacing"/>
        <w:rPr>
          <w:rFonts w:cs="Arial"/>
        </w:rPr>
      </w:pPr>
      <w:r>
        <w:rPr>
          <w:rFonts w:cs="Arial"/>
        </w:rPr>
        <w:t>Vytiahnuť nesôr.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(93. PaVC)</w:t>
      </w:r>
    </w:p>
    <w:p>
      <w:pPr>
        <w:pStyle w:val="NoSpacing"/>
        <w:rPr/>
      </w:pPr>
      <w:r>
        <w:rPr/>
        <w:drawing>
          <wp:inline distT="0" distB="0" distL="0" distR="0">
            <wp:extent cx="5908040" cy="174117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drawing>
          <wp:inline distT="0" distB="0" distL="0" distR="0">
            <wp:extent cx="5908040" cy="1741170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(99. PaVC)</w:t>
      </w:r>
    </w:p>
    <w:p>
      <w:pPr>
        <w:pStyle w:val="NoSpacing"/>
        <w:rPr>
          <w:rFonts w:cs="Arial"/>
          <w:lang w:val="sk-SK"/>
        </w:rPr>
      </w:pPr>
      <w:r>
        <w:rPr>
          <w:rStyle w:val="IntenseEmphasis"/>
        </w:rPr>
        <w:t>Lorenz</w:t>
      </w:r>
      <w:r>
        <w:rPr>
          <w:rFonts w:cs="Arial"/>
          <w:lang w:val="sk-SK"/>
        </w:rPr>
        <w:t xml:space="preserve"> – úhrná preprava 18,823 mil. t/rok</w:t>
      </w:r>
    </w:p>
    <w:p>
      <w:pPr>
        <w:pStyle w:val="NoSpacing"/>
        <w:rPr>
          <w:rFonts w:cs="Arial"/>
          <w:lang w:val="sk-SK"/>
        </w:rPr>
      </w:pPr>
      <w:r>
        <w:rPr>
          <w:rStyle w:val="IntenseEmphasis"/>
        </w:rPr>
        <w:t>Štúdia EHK / OSN</w:t>
      </w:r>
      <w:r>
        <w:rPr>
          <w:rFonts w:cs="Arial"/>
          <w:lang w:val="sk-SK"/>
        </w:rPr>
        <w:t xml:space="preserve"> – 79,589 mil. t/rok:</w:t>
      </w:r>
    </w:p>
    <w:p>
      <w:pPr>
        <w:pStyle w:val="NoSpacing"/>
        <w:numPr>
          <w:ilvl w:val="0"/>
          <w:numId w:val="1"/>
        </w:numPr>
        <w:rPr>
          <w:rFonts w:cs="Arial"/>
          <w:lang w:val="sk-SK"/>
        </w:rPr>
      </w:pPr>
      <w:r>
        <w:rPr>
          <w:rFonts w:cs="Arial"/>
          <w:lang w:val="sk-SK"/>
        </w:rPr>
        <w:t>Dunajská vetva 49,481 mil. t/rok</w:t>
      </w:r>
    </w:p>
    <w:p>
      <w:pPr>
        <w:pStyle w:val="NoSpacing"/>
        <w:numPr>
          <w:ilvl w:val="0"/>
          <w:numId w:val="1"/>
        </w:numPr>
        <w:rPr>
          <w:rFonts w:cs="Arial"/>
          <w:lang w:val="sk-SK"/>
        </w:rPr>
      </w:pPr>
      <w:r>
        <w:rPr>
          <w:rFonts w:cs="Arial"/>
          <w:lang w:val="sk-SK"/>
        </w:rPr>
        <w:t>Oderská vetva až po Ostravu 44,681 mil. t/rok</w:t>
      </w:r>
    </w:p>
    <w:p>
      <w:pPr>
        <w:pStyle w:val="NoSpacing"/>
        <w:numPr>
          <w:ilvl w:val="0"/>
          <w:numId w:val="1"/>
        </w:numPr>
        <w:rPr>
          <w:rFonts w:cs="Arial"/>
          <w:lang w:val="sk-SK"/>
        </w:rPr>
      </w:pPr>
      <w:r>
        <w:rPr>
          <w:rFonts w:cs="Arial"/>
          <w:lang w:val="sk-SK"/>
        </w:rPr>
        <w:t>Labská vetva 34,205 mil. t/rok</w:t>
      </w:r>
    </w:p>
    <w:p>
      <w:pPr>
        <w:pStyle w:val="NoSpacing"/>
        <w:rPr/>
      </w:pPr>
      <w:r>
        <w:rPr/>
        <w:drawing>
          <wp:inline distT="0" distB="0" distL="0" distR="0">
            <wp:extent cx="5908040" cy="2774950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drawing>
          <wp:inline distT="0" distB="0" distL="0" distR="0">
            <wp:extent cx="5908040" cy="277495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</w:r>
    </w:p>
    <w:p>
      <w:pPr>
        <w:pStyle w:val="NoSpacing"/>
        <w:rPr>
          <w:rStyle w:val="IntenseEmphasis"/>
        </w:rPr>
      </w:pPr>
      <w:r>
        <w:rPr>
          <w:rStyle w:val="IntenseEmphasis"/>
        </w:rPr>
        <w:t>Nová podrobná štúdia, ciele a zdroje prepravných nákladov – príloha 14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br/>
        <w:t>(107. PaVC)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Vnútroštátne prepravy sa moc neuvažujú, ak by boli, tak by sa jednalo maximálne o desiatky km, a budú mať priamy charakter, maximálne prekládka na veľmi krátku vzdialenosť. Potenciálne suroviny ktoré sa tohto týkajú sú uvedené v tabuľke.</w:t>
      </w:r>
    </w:p>
    <w:p>
      <w:pPr>
        <w:pStyle w:val="NoSpacing"/>
        <w:rPr/>
      </w:pPr>
      <w:r>
        <w:rPr/>
        <w:drawing>
          <wp:inline distT="0" distB="0" distL="0" distR="0">
            <wp:extent cx="5936615" cy="389572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drawing>
          <wp:inline distT="0" distB="0" distL="0" distR="0">
            <wp:extent cx="5936615" cy="389572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 xml:space="preserve">Ďalej je v dokumente ku každej komodite podrobný popis. 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Podľa novej štúdie je čistý prepravný potenciál 37,827 mil. t/rok.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(111. a 112. PaVC)</w:t>
      </w:r>
    </w:p>
    <w:p>
      <w:pPr>
        <w:pStyle w:val="NoSpacing"/>
        <w:rPr>
          <w:rStyle w:val="Strong"/>
        </w:rPr>
      </w:pPr>
      <w:r>
        <w:rPr>
          <w:rFonts w:cs="Arial"/>
          <w:lang w:val="sk-SK"/>
        </w:rPr>
        <w:t xml:space="preserve">Podrobná tabuľka prepravných prúdov v mil. t/rok na jednotlivých tokoch so zdrojmi, cieľmi,.. + závery vyplývajúce z nej. </w:t>
      </w:r>
      <w:r>
        <w:rPr>
          <w:rStyle w:val="Strong"/>
        </w:rPr>
        <w:t>Užitočné pre vytváranie priorít.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(113. PaVC)</w:t>
      </w:r>
    </w:p>
    <w:p>
      <w:pPr>
        <w:pStyle w:val="NoSpacing"/>
        <w:rPr>
          <w:lang w:val="sk-SK"/>
        </w:rPr>
      </w:pPr>
      <w:r>
        <w:rPr>
          <w:lang w:val="sk-SK"/>
        </w:rPr>
        <w:t>Trvalý rast prepravy tovarov v európskych podmienkach.</w:t>
      </w:r>
    </w:p>
    <w:p>
      <w:pPr>
        <w:pStyle w:val="NoSpacing"/>
        <w:rPr>
          <w:lang w:val="sk-SK"/>
        </w:rPr>
      </w:pPr>
      <w:r>
        <w:rPr>
          <w:lang w:val="sk-SK"/>
        </w:rPr>
        <w:t>Prepravy na Dunaji rastú veľmi dynamicky, trend potrvá aj niekoľko nasledujúcich rokov, nárast prepravných hustôt:</w:t>
      </w:r>
    </w:p>
    <w:p>
      <w:pPr>
        <w:pStyle w:val="NoSpacing"/>
        <w:numPr>
          <w:ilvl w:val="0"/>
          <w:numId w:val="1"/>
        </w:numPr>
        <w:rPr/>
      </w:pPr>
      <w:r>
        <w:rPr>
          <w:lang w:val="sk-SK"/>
        </w:rPr>
        <w:t>Gabčíkovo – o 5,28</w:t>
      </w:r>
      <w:r>
        <w:rPr/>
        <w:t>% ročne</w:t>
      </w:r>
    </w:p>
    <w:p>
      <w:pPr>
        <w:pStyle w:val="NoSpacing"/>
        <w:numPr>
          <w:ilvl w:val="0"/>
          <w:numId w:val="1"/>
        </w:numPr>
        <w:rPr/>
      </w:pPr>
      <w:r>
        <w:rPr>
          <w:lang w:val="sk-SK"/>
        </w:rPr>
        <w:t>Jochenstein – o 4,03</w:t>
      </w:r>
      <w:r>
        <w:rPr/>
        <w:t>% ročne</w:t>
      </w:r>
    </w:p>
    <w:p>
      <w:pPr>
        <w:pStyle w:val="NoSpacing"/>
        <w:numPr>
          <w:ilvl w:val="0"/>
          <w:numId w:val="1"/>
        </w:numPr>
        <w:rPr/>
      </w:pPr>
      <w:r>
        <w:rPr>
          <w:lang w:val="sk-SK"/>
        </w:rPr>
        <w:t>Prieplav Mohan – Dunaj – o 8,4</w:t>
      </w:r>
      <w:r>
        <w:rPr/>
        <w:t>% ročne</w:t>
      </w:r>
    </w:p>
    <w:p>
      <w:pPr>
        <w:pStyle w:val="NoSpacing"/>
        <w:rPr>
          <w:lang w:val="sk-SK"/>
        </w:rPr>
      </w:pPr>
      <w:r>
        <w:rPr>
          <w:lang w:val="sk-SK"/>
        </w:rPr>
        <w:t>Na sieti nemeckých vodných ciest porastú nároky na prepravu o 2,06</w:t>
      </w:r>
      <w:r>
        <w:rPr/>
        <w:t>% r</w:t>
      </w:r>
      <w:r>
        <w:rPr>
          <w:lang w:val="sk-SK"/>
        </w:rPr>
        <w:t>očne.</w:t>
      </w:r>
    </w:p>
    <w:p>
      <w:pPr>
        <w:pStyle w:val="NoSpacing"/>
        <w:rPr/>
      </w:pPr>
      <w:r>
        <w:rPr>
          <w:lang w:val="sk-SK"/>
        </w:rPr>
        <w:t>Striezlivý odhad nárastu prepravy na D-O-L – o 1</w:t>
      </w:r>
      <w:r>
        <w:rPr/>
        <w:t>% ročne</w:t>
      </w:r>
    </w:p>
    <w:p>
      <w:pPr>
        <w:pStyle w:val="NoSpacing"/>
        <w:rPr/>
      </w:pPr>
      <w:r>
        <w:rPr/>
      </w:r>
    </w:p>
    <w:p>
      <w:pPr>
        <w:pStyle w:val="NoSpacing"/>
        <w:rPr>
          <w:lang w:val="sk-SK"/>
        </w:rPr>
      </w:pPr>
      <w:r>
        <w:rPr/>
        <w:t>(115. PaVC</w:t>
      </w:r>
      <w:r>
        <w:rPr>
          <w:lang w:val="sk-SK"/>
        </w:rPr>
        <w:t>)</w:t>
      </w:r>
    </w:p>
    <w:p>
      <w:pPr>
        <w:pStyle w:val="NoSpacing"/>
        <w:rPr>
          <w:lang w:val="sk-SK"/>
        </w:rPr>
      </w:pPr>
      <w:r>
        <w:rPr>
          <w:lang w:val="sk-SK"/>
        </w:rPr>
        <w:t>Odhadovaný rok prekročenia kapacity D-O-L:</w:t>
      </w:r>
    </w:p>
    <w:p>
      <w:pPr>
        <w:pStyle w:val="Normal"/>
        <w:spacing w:lineRule="auto" w:line="240" w:before="0" w:after="0"/>
        <w:ind w:left="0" w:right="0" w:firstLine="720"/>
        <w:rPr>
          <w:rFonts w:cs="Arial"/>
          <w:lang w:val="sk-SK"/>
        </w:rPr>
      </w:pPr>
      <w:r>
        <w:rPr>
          <w:rFonts w:cs="Times New Roman"/>
          <w:lang w:val="sk-SK"/>
        </w:rPr>
        <w:t xml:space="preserve">- </w:t>
      </w:r>
      <w:r>
        <w:rPr>
          <w:rFonts w:cs="Arial"/>
          <w:lang w:val="sk-SK"/>
        </w:rPr>
        <w:t>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1 v roce 2031, tj. 13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>
      <w:pPr>
        <w:pStyle w:val="Normal"/>
        <w:spacing w:lineRule="auto" w:line="240" w:before="0" w:after="0"/>
        <w:ind w:left="0" w:right="0" w:firstLine="720"/>
        <w:rPr>
          <w:rFonts w:cs="Arial"/>
          <w:lang w:val="sk-SK"/>
        </w:rPr>
      </w:pPr>
      <w:r>
        <w:rPr>
          <w:rFonts w:cs="Arial"/>
          <w:lang w:val="sk-SK"/>
        </w:rPr>
        <w:t>- 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2 v roce 2034, tj. 16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>
      <w:pPr>
        <w:pStyle w:val="NoSpacing"/>
        <w:ind w:left="0" w:right="0" w:firstLine="720"/>
        <w:rPr>
          <w:rFonts w:cs="Arial"/>
          <w:lang w:val="sk-SK"/>
        </w:rPr>
      </w:pPr>
      <w:r>
        <w:rPr>
          <w:rFonts w:cs="Times New Roman"/>
          <w:lang w:val="sk-SK"/>
        </w:rPr>
        <w:t xml:space="preserve">- </w:t>
      </w:r>
      <w:r>
        <w:rPr>
          <w:rFonts w:cs="Arial"/>
          <w:lang w:val="sk-SK"/>
        </w:rPr>
        <w:t>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3 v roce 2042, tj. 24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Verejné logistické centrá (VLC) – miesta, kde sa sústreďuje tovar a uskutočňujú sa logistické služby. Preprava medzi VLC väčšinou železnične, medzi VLC a domácnosťami cestne.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Verejné logistické a prístavné centru (VLPC) – VLC s prístavom.</w:t>
      </w:r>
    </w:p>
    <w:p>
      <w:pPr>
        <w:pStyle w:val="NoSpacing"/>
        <w:rPr>
          <w:lang w:val="sk-SK"/>
        </w:rPr>
      </w:pPr>
      <w:r>
        <w:rPr>
          <w:lang w:val="sk-SK"/>
        </w:rPr>
        <w:t>Vzdialenosť VLC / VLPC by nemala presahovať 100 km.</w:t>
      </w:r>
    </w:p>
    <w:p>
      <w:pPr>
        <w:pStyle w:val="NoSpacing"/>
        <w:rPr>
          <w:lang w:val="sk-SK"/>
        </w:rPr>
      </w:pPr>
      <w:r>
        <w:rPr>
          <w:lang w:val="sk-SK"/>
        </w:rPr>
        <w:t>VLC / VLPC musia byť umiestnené v bezprostrednej blízkosti priemyselných centier.</w:t>
      </w:r>
    </w:p>
    <w:p>
      <w:pPr>
        <w:pStyle w:val="NoSpacing"/>
        <w:rPr>
          <w:b/>
          <w:lang w:val="sk-SK"/>
          <w:rPrChange w:id="0" w:author="" w:date="0-00-00T00:00:00Z">
            <w:rPr>
              <w:lang w:val="sk-SK"/>
            </w:rPr>
          </w:rPrChange>
        </w:rPr>
      </w:pPr>
      <w:r>
        <w:rPr>
          <w:lang w:val="sk-SK"/>
        </w:rPr>
        <w:t>Možné rozmiestnenie VLC / VLPC na území ČR – (</w:t>
      </w:r>
      <w:r>
        <w:rPr>
          <w:b/>
          <w:lang w:val="sk-SK"/>
          <w:rPrChange w:id="0" w:author="" w:date="0-00-00T00:00:00Z">
            <w:rPr>
              <w:lang w:val="sk-SK"/>
            </w:rPr>
          </w:rPrChange>
        </w:rPr>
        <w:t>117. PaVC tab. 38)</w:t>
      </w:r>
    </w:p>
    <w:p>
      <w:pPr>
        <w:pStyle w:val="NoSpacing"/>
        <w:rPr>
          <w:lang w:val="sk-SK"/>
        </w:rPr>
      </w:pPr>
      <w:r>
        <w:rPr>
          <w:lang w:val="sk-SK"/>
        </w:rPr>
        <w:t>Potrebné umiestnenie hospodárskych aktivít a podnikov v okolí VLPC – tab. 39.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(120. PaVC)</w:t>
      </w:r>
    </w:p>
    <w:p>
      <w:pPr>
        <w:pStyle w:val="NoSpacing"/>
        <w:rPr>
          <w:lang w:val="sk-SK"/>
        </w:rPr>
      </w:pPr>
      <w:r>
        <w:rPr>
          <w:lang w:val="sk-SK"/>
        </w:rPr>
        <w:t>Výhodnosť vodnej cesty sa prejavuje hlavne pri veľkých prepravných vzdialenostiach.</w:t>
      </w:r>
    </w:p>
    <w:p>
      <w:pPr>
        <w:pStyle w:val="NoSpacing"/>
        <w:rPr>
          <w:lang w:val="sk-SK"/>
        </w:rPr>
      </w:pPr>
      <w:r>
        <w:rPr>
          <w:lang w:val="sk-SK"/>
        </w:rPr>
        <w:t>Sadzba jednotlivých prepráv:</w:t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5"/>
        <w:gridCol w:w="3119"/>
      </w:tblGrid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Typ</w:t>
            </w:r>
          </w:p>
        </w:tc>
        <w:tc>
          <w:tcPr>
            <w:tcW w:w="31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Počiatočné náklady (€/t)</w:t>
            </w:r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Prepravné náklady (€/tkm)</w:t>
            </w:r>
          </w:p>
        </w:tc>
      </w:tr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Cestná</w:t>
            </w:r>
          </w:p>
        </w:tc>
        <w:tc>
          <w:tcPr>
            <w:tcW w:w="31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</w:t>
            </w:r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0,07</w:t>
            </w:r>
          </w:p>
        </w:tc>
      </w:tr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Železničná</w:t>
            </w:r>
          </w:p>
        </w:tc>
        <w:tc>
          <w:tcPr>
            <w:tcW w:w="31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2</w:t>
            </w:r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0,0482</w:t>
            </w:r>
          </w:p>
        </w:tc>
      </w:tr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Vodná</w:t>
            </w:r>
          </w:p>
        </w:tc>
        <w:tc>
          <w:tcPr>
            <w:tcW w:w="31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0,0165</w:t>
            </w:r>
          </w:p>
        </w:tc>
      </w:tr>
    </w:tbl>
    <w:p>
      <w:pPr>
        <w:pStyle w:val="NoSpacing"/>
        <w:rPr>
          <w:lang w:val="sk-SK"/>
        </w:rPr>
      </w:pPr>
      <w:r>
        <w:rPr>
          <w:lang w:val="sk-SK"/>
        </w:rPr>
        <w:t>Náklady na prekládku na / z lode = 7 €/t.</w:t>
      </w:r>
    </w:p>
    <w:p>
      <w:pPr>
        <w:pStyle w:val="NoSpacing"/>
        <w:rPr>
          <w:lang w:val="sk-SK"/>
        </w:rPr>
      </w:pPr>
      <w:r>
        <w:rPr>
          <w:lang w:val="sk-SK"/>
        </w:rPr>
        <w:t>Výber mýta = 0,01 €/tkm. Celkový zisk na mýte pri teoretickom čistom množstve prepravy = 144,8 mil. €/rok. Táto suma je určená pre investorov – na splatenie nákladov na stavbu atď. Možnosť porovnať túto sumu s experimentom.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</w:t>
      </w:r>
      <w:hyperlink r:id="rId14">
        <w:r>
          <w:rPr>
            <w:rStyle w:val="Internetovodkaz"/>
            <w:lang w:val="sk-SK"/>
          </w:rPr>
          <w:t>http://ekonomika.idnes.cz/studie-proveditelnosti-k-analu-dunaj-odra-labe-fqx-/eko-doprava.aspx?c=A130915_234940_eko-doprava_top</w:t>
        </w:r>
      </w:hyperlink>
      <w:r>
        <w:rPr>
          <w:lang w:val="sk-SK"/>
        </w:rPr>
        <w:t>)</w:t>
      </w:r>
    </w:p>
    <w:p>
      <w:pPr>
        <w:pStyle w:val="Normal"/>
        <w:spacing w:before="0" w:after="0"/>
        <w:rPr/>
      </w:pPr>
      <w:bookmarkStart w:id="0" w:name="_GoBack"/>
      <w:bookmarkEnd w:id="0"/>
      <w:r>
        <w:rPr/>
        <w:t>Pro to, aby začal plnit státní kasu, však musí být kanál dobudován celý.</w:t>
      </w:r>
    </w:p>
    <w:p>
      <w:pPr>
        <w:pStyle w:val="NoSpacing"/>
        <w:rPr>
          <w:lang w:val="sk-SK"/>
        </w:rPr>
      </w:pPr>
      <w:r>
        <w:rPr>
          <w:lang w:val="sk-SK"/>
        </w:rPr>
        <w:br/>
        <w:t>(144. PaVC)</w:t>
      </w:r>
    </w:p>
    <w:p>
      <w:pPr>
        <w:pStyle w:val="NoSpacing"/>
        <w:rPr>
          <w:lang w:val="sk-SK"/>
        </w:rPr>
      </w:pPr>
      <w:r>
        <w:rPr>
          <w:lang w:val="sk-SK"/>
        </w:rPr>
        <w:t>Tabuľka – spád na jednotlivých plavebných komorách – možnosť výpočtu zdržania pri prečerpávaní.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(151. PaVC)</w:t>
      </w:r>
    </w:p>
    <w:p>
      <w:pPr>
        <w:pStyle w:val="NoSpacing"/>
        <w:rPr>
          <w:lang w:val="sk-SK"/>
        </w:rPr>
      </w:pPr>
      <w:r>
        <w:rPr>
          <w:lang w:val="sk-SK"/>
        </w:rPr>
        <w:t>Hodnoty IIR pri troch scenároch, návratnosť,...</w:t>
      </w:r>
    </w:p>
    <w:p>
      <w:pPr>
        <w:pStyle w:val="Nadpis1"/>
        <w:rPr>
          <w:lang w:val="sk-SK"/>
        </w:rPr>
      </w:pPr>
      <w:r>
        <w:rPr>
          <w:lang w:val="sk-SK"/>
        </w:rPr>
        <w:t>(ZpravaFinal)</w:t>
      </w:r>
    </w:p>
    <w:p>
      <w:pPr>
        <w:pStyle w:val="Nadpis6"/>
        <w:pBdr>
          <w:top w:val="nil"/>
          <w:left w:val="nil"/>
          <w:bottom w:val="single" w:sz="4" w:space="1" w:color="00000A"/>
          <w:right w:val="nil"/>
        </w:pBdr>
        <w:rPr/>
      </w:pPr>
      <w:r>
        <w:rPr/>
        <w:t>Základní technické parametry a pojmy</w:t>
      </w:r>
    </w:p>
    <w:p>
      <w:pPr>
        <w:pStyle w:val="Nadpis6"/>
        <w:rPr>
          <w:b w:val="false"/>
        </w:rPr>
      </w:pPr>
      <w:r>
        <w:rPr>
          <w:b w:val="false"/>
        </w:rPr>
        <w:t>V souladu s evropskou dohodou AGN a Vyhláškou MD č. 222/1995 Sb., ve znění pozdějších předpisů návrh respektuje:</w:t>
      </w:r>
    </w:p>
    <w:p>
      <w:pPr>
        <w:pStyle w:val="Nadpis6"/>
        <w:spacing w:before="120" w:after="160"/>
        <w:rPr>
          <w:bCs w:val="false"/>
          <w:iCs/>
        </w:rPr>
      </w:pPr>
      <w:r>
        <w:rPr>
          <w:bCs w:val="false"/>
          <w:iCs/>
        </w:rPr>
        <w:t>Požadavky stanovené pro třídu Vb, tj.: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jc w:val="both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>Rozměry tlačných sestav:</w:t>
        <w:tab/>
        <w:t xml:space="preserve">172 – 185 x 11,4 m 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jc w:val="both"/>
        <w:rPr>
          <w:rFonts w:cs="Arial" w:ascii="Arial" w:hAnsi="Arial"/>
        </w:rPr>
      </w:pPr>
      <w:r>
        <w:rPr>
          <w:rFonts w:cs="Arial" w:ascii="Arial" w:hAnsi="Arial"/>
        </w:rPr>
        <w:t>Ponor:</w:t>
        <w:tab/>
        <w:tab/>
        <w:tab/>
        <w:t xml:space="preserve">2,50 – 2,80 m </w:t>
      </w:r>
    </w:p>
    <w:p>
      <w:pPr>
        <w:pStyle w:val="Normal"/>
        <w:tabs>
          <w:tab w:val="left" w:pos="454" w:leader="none"/>
        </w:tabs>
        <w:spacing w:lineRule="auto" w:line="288"/>
        <w:jc w:val="both"/>
        <w:rPr>
          <w:rFonts w:cs="Arial" w:ascii="Arial" w:hAnsi="Arial"/>
          <w:i/>
        </w:rPr>
      </w:pPr>
      <w:r>
        <w:rPr>
          <w:rFonts w:cs="Arial" w:ascii="Arial" w:hAnsi="Arial"/>
          <w:i/>
        </w:rPr>
      </w:r>
    </w:p>
    <w:p>
      <w:pPr>
        <w:pStyle w:val="Normal"/>
        <w:tabs>
          <w:tab w:val="left" w:pos="454" w:leader="none"/>
        </w:tabs>
        <w:spacing w:lineRule="auto" w:line="288"/>
        <w:jc w:val="both"/>
        <w:rPr>
          <w:rFonts w:cs="Arial" w:ascii="Arial" w:hAnsi="Arial"/>
          <w:b/>
          <w:bCs/>
          <w:iCs/>
        </w:rPr>
      </w:pPr>
      <w:r>
        <w:rPr>
          <w:rFonts w:cs="Arial" w:ascii="Arial" w:hAnsi="Arial"/>
          <w:b/>
          <w:bCs/>
          <w:iCs/>
        </w:rPr>
        <w:t>Navrhované parametry plavební dráhy D-O-L:</w:t>
      </w:r>
    </w:p>
    <w:p>
      <w:pPr>
        <w:pStyle w:val="Normal"/>
        <w:tabs>
          <w:tab w:val="left" w:pos="454" w:leader="none"/>
        </w:tabs>
        <w:spacing w:lineRule="auto" w:line="288"/>
        <w:rPr>
          <w:rFonts w:cs="Arial" w:ascii="Arial" w:hAnsi="Arial"/>
          <w:iCs/>
        </w:rPr>
      </w:pPr>
      <w:r>
        <w:rPr>
          <w:rFonts w:cs="Arial" w:ascii="Arial" w:hAnsi="Arial"/>
          <w:i/>
          <w:iCs/>
        </w:rPr>
        <w:tab/>
      </w:r>
      <w:r>
        <w:rPr>
          <w:rFonts w:cs="Arial" w:ascii="Arial" w:hAnsi="Arial"/>
        </w:rPr>
        <w:t xml:space="preserve">Šířka dráhy na hladině / hloubka: </w:t>
        <w:br/>
      </w:r>
      <w:r>
        <w:rPr>
          <w:rFonts w:cs="Arial" w:ascii="Arial" w:hAnsi="Arial"/>
          <w:iCs/>
        </w:rPr>
        <w:t xml:space="preserve"> </w:t>
        <w:tab/>
        <w:tab/>
        <w:tab/>
        <w:t xml:space="preserve">- lichoběžníkový profil </w:t>
        <w:tab/>
        <w:t>54 / 4 m (nejbližší přirozenému profilu)</w:t>
      </w:r>
    </w:p>
    <w:p>
      <w:pPr>
        <w:pStyle w:val="Normal"/>
        <w:tabs>
          <w:tab w:val="left" w:pos="454" w:leader="none"/>
        </w:tabs>
        <w:spacing w:lineRule="auto" w:line="288"/>
        <w:ind w:left="851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ab/>
        <w:t xml:space="preserve">- obdélníkový profil </w:t>
        <w:tab/>
        <w:t>40 / 4 m</w:t>
      </w:r>
    </w:p>
    <w:p>
      <w:pPr>
        <w:pStyle w:val="Normal"/>
        <w:tabs>
          <w:tab w:val="left" w:pos="454" w:leader="none"/>
        </w:tabs>
        <w:spacing w:lineRule="auto" w:line="288"/>
        <w:ind w:left="851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ab/>
        <w:t xml:space="preserve">- složený profil </w:t>
        <w:tab/>
        <w:tab/>
        <w:t>42,5 / 4 m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Minimální směrový oblouk: </w:t>
        <w:tab/>
        <w:tab/>
        <w:t>R = 800 m (rozšíření v oblouku: + 21,25 m)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Ponor : </w:t>
        <w:tab/>
        <w:tab/>
        <w:tab/>
        <w:tab/>
        <w:t>2,80 m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Rozměry plavební komory </w:t>
        <w:tab/>
        <w:tab/>
        <w:t xml:space="preserve">max. 190 x 12,5 m, hloubka 4,0 m 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Výška hrany navrhovaných mostů </w:t>
        <w:br/>
        <w:t xml:space="preserve">nad nejvyšší plavební hladinou: </w:t>
        <w:tab/>
        <w:t>7,0 m (3 vrstvy kontejnerů)</w:t>
        <w:tab/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iCs/>
        </w:rPr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</w:rPr>
      </w:pPr>
      <w:r>
        <w:rPr>
          <w:rFonts w:cs="Arial" w:ascii="Arial" w:hAnsi="Arial"/>
        </w:rPr>
        <w:t xml:space="preserve">Pro účely této studie zpracovatel vymezuje následující </w:t>
      </w:r>
      <w:r>
        <w:rPr>
          <w:rFonts w:cs="Arial" w:ascii="Arial" w:hAnsi="Arial"/>
          <w:bCs/>
        </w:rPr>
        <w:t>pojmy:</w:t>
        <w:tab/>
      </w:r>
      <w:r>
        <w:rPr>
          <w:rFonts w:cs="Arial" w:ascii="Arial" w:hAnsi="Arial"/>
        </w:rPr>
        <w:tab/>
        <w:tab/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b/>
          <w:bCs/>
          <w:iCs/>
        </w:rPr>
        <w:t xml:space="preserve">Průplav </w:t>
      </w:r>
      <w:r>
        <w:rPr>
          <w:rFonts w:cs="Arial" w:ascii="Arial" w:hAnsi="Arial"/>
          <w:iCs/>
        </w:rPr>
        <w:t>(průplavní úsek):</w:t>
      </w:r>
      <w:r>
        <w:rPr>
          <w:rFonts w:cs="Arial" w:ascii="Arial" w:hAnsi="Arial"/>
          <w:bCs/>
          <w:i/>
        </w:rPr>
        <w:t xml:space="preserve"> </w:t>
      </w:r>
      <w:r>
        <w:rPr>
          <w:rFonts w:cs="Arial" w:ascii="Arial" w:hAnsi="Arial"/>
          <w:i/>
        </w:rPr>
        <w:tab/>
      </w:r>
      <w:r>
        <w:rPr>
          <w:rFonts w:cs="Arial" w:ascii="Arial" w:hAnsi="Arial"/>
          <w:iCs/>
        </w:rPr>
        <w:t xml:space="preserve">umělá vodní cesta, která překonává rozvodí dvou vodních toků, </w:t>
        <w:br/>
        <w:t xml:space="preserve"> </w:t>
        <w:tab/>
        <w:tab/>
        <w:tab/>
        <w:tab/>
        <w:tab/>
        <w:t>příp. moří a</w:t>
      </w:r>
      <w:r>
        <w:rPr>
          <w:rFonts w:cs="Arial" w:ascii="Arial" w:hAnsi="Arial"/>
          <w:b/>
          <w:bCs/>
          <w:iCs/>
        </w:rPr>
        <w:t xml:space="preserve"> </w:t>
      </w:r>
      <w:r>
        <w:rPr>
          <w:rFonts w:cs="Arial" w:ascii="Arial" w:hAnsi="Arial"/>
          <w:iCs/>
        </w:rPr>
        <w:t>vyznačuje se plavebními komorami o spádu cca 25 m.</w:t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b/>
          <w:bCs/>
          <w:iCs/>
        </w:rPr>
        <w:t xml:space="preserve">Plavební kanál </w:t>
      </w:r>
      <w:r>
        <w:rPr>
          <w:rFonts w:cs="Arial" w:ascii="Arial" w:hAnsi="Arial"/>
          <w:iCs/>
        </w:rPr>
        <w:t>(kanálový úsek):</w:t>
      </w:r>
      <w:r>
        <w:rPr>
          <w:rFonts w:cs="Arial" w:ascii="Arial" w:hAnsi="Arial"/>
          <w:i/>
        </w:rPr>
        <w:t xml:space="preserve"> </w:t>
      </w:r>
      <w:r>
        <w:rPr>
          <w:rFonts w:cs="Arial" w:ascii="Arial" w:hAnsi="Arial"/>
          <w:iCs/>
        </w:rPr>
        <w:t xml:space="preserve">vodní cesta mimo koryto vodního toku, která obchází pro </w:t>
        <w:br/>
        <w:t xml:space="preserve"> </w:t>
        <w:tab/>
        <w:tab/>
        <w:tab/>
        <w:tab/>
        <w:tab/>
        <w:t xml:space="preserve">plavbu nepříznivé místo a vyznačuje se plavebními komorami </w:t>
        <w:br/>
        <w:t xml:space="preserve"> </w:t>
        <w:tab/>
        <w:tab/>
        <w:tab/>
        <w:tab/>
        <w:tab/>
        <w:t>o maximálním spádu do cca 10 m.</w:t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b/>
          <w:bCs/>
          <w:iCs/>
        </w:rPr>
        <w:t>Říční úsek:</w:t>
      </w:r>
      <w:r>
        <w:rPr>
          <w:rFonts w:cs="Arial" w:ascii="Arial" w:hAnsi="Arial"/>
          <w:bCs/>
          <w:i/>
        </w:rPr>
        <w:t xml:space="preserve"> </w:t>
      </w:r>
      <w:r>
        <w:rPr>
          <w:rFonts w:cs="Arial" w:ascii="Arial" w:hAnsi="Arial"/>
          <w:i/>
          <w:iCs/>
        </w:rPr>
        <w:tab/>
        <w:tab/>
        <w:tab/>
      </w:r>
      <w:r>
        <w:rPr>
          <w:rFonts w:cs="Arial" w:ascii="Arial" w:hAnsi="Arial"/>
          <w:iCs/>
        </w:rPr>
        <w:t>vodní cesta vedená v koridoru vodního toku.</w:t>
      </w:r>
    </w:p>
    <w:p>
      <w:pPr>
        <w:pStyle w:val="Normal"/>
        <w:tabs>
          <w:tab w:val="left" w:pos="454" w:leader="none"/>
        </w:tabs>
        <w:spacing w:lineRule="auto" w:line="288" w:before="120" w:after="160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adpis6"/>
        <w:pBdr>
          <w:top w:val="nil"/>
          <w:left w:val="nil"/>
          <w:bottom w:val="single" w:sz="4" w:space="1" w:color="00000A"/>
          <w:right w:val="nil"/>
        </w:pBdr>
        <w:spacing w:before="120" w:after="160"/>
        <w:rPr/>
      </w:pPr>
      <w:r>
        <w:rPr/>
        <w:t>Základní charakteristiky jednotlivých větví D-O-L</w:t>
      </w:r>
    </w:p>
    <w:p>
      <w:pPr>
        <w:pStyle w:val="Nadpis6"/>
        <w:numPr>
          <w:ilvl w:val="0"/>
          <w:numId w:val="2"/>
        </w:numPr>
        <w:rPr/>
      </w:pPr>
      <w:r>
        <w:rPr>
          <w:caps/>
          <w:szCs w:val="22"/>
        </w:rPr>
        <w:t>Oderská větev:</w:t>
      </w:r>
      <w:r>
        <w:rPr>
          <w:caps/>
        </w:rPr>
        <w:t xml:space="preserve"> </w:t>
      </w:r>
      <w:r>
        <w:rPr/>
        <w:t>Rokytnice – Bohumín (– Szczecin)</w:t>
      </w:r>
    </w:p>
    <w:p>
      <w:pPr>
        <w:pStyle w:val="Nadpis3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rFonts w:cs="Times New Roman"/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DÉLKA VĚTVE na území ČR: </w:t>
      </w:r>
      <w:r>
        <w:rPr>
          <w:caps w:val="false"/>
          <w:smallCaps w:val="false"/>
          <w:sz w:val="20"/>
          <w:szCs w:val="20"/>
        </w:rPr>
        <w:t xml:space="preserve">98 km </w:t>
      </w:r>
      <w:r>
        <w:rPr>
          <w:b w:val="false"/>
          <w:caps w:val="false"/>
          <w:smallCaps w:val="false"/>
          <w:sz w:val="20"/>
          <w:szCs w:val="20"/>
        </w:rPr>
        <w:t>(Bohumín; varianta pravobřežní – 102,34 km)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</w:t>
        <w:tab/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z toho: 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průplavní úsek:</w:t>
        <w:tab/>
        <w:t>91 km (var. 95,34 km); cca 92,8 – 97,3% z celkové délky větve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říční úsek:</w:t>
        <w:tab/>
        <w:tab/>
        <w:t>7 km</w:t>
      </w:r>
    </w:p>
    <w:p>
      <w:pPr>
        <w:pStyle w:val="Nadpis3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sz w:val="20"/>
          <w:szCs w:val="20"/>
        </w:rPr>
        <w:t>Výškové kóty (</w:t>
      </w:r>
      <w:r>
        <w:rPr>
          <w:b w:val="false"/>
          <w:bCs w:val="false"/>
          <w:caps w:val="false"/>
          <w:smallCaps w:val="false"/>
          <w:sz w:val="20"/>
          <w:szCs w:val="20"/>
        </w:rPr>
        <w:t>min./max.</w:t>
      </w:r>
      <w:r>
        <w:rPr>
          <w:b w:val="false"/>
          <w:bCs w:val="false"/>
          <w:sz w:val="20"/>
          <w:szCs w:val="20"/>
        </w:rPr>
        <w:t>):</w:t>
        <w:tab/>
      </w:r>
    </w:p>
    <w:p>
      <w:pPr>
        <w:pStyle w:val="Nadpis3"/>
        <w:spacing w:before="0" w:after="16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- úsek vzestupný: </w:t>
        <w:tab/>
      </w:r>
      <w:r>
        <w:rPr>
          <w:b w:val="false"/>
          <w:caps w:val="false"/>
          <w:smallCaps w:val="false"/>
          <w:sz w:val="20"/>
          <w:szCs w:val="20"/>
        </w:rPr>
        <w:t>225,00 / 275,00 m n. m., tj. 50 m</w:t>
      </w:r>
    </w:p>
    <w:p>
      <w:pPr>
        <w:pStyle w:val="Nadpis3"/>
        <w:spacing w:before="0" w:after="16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úsek sestupný:</w:t>
        <w:tab/>
      </w:r>
      <w:r>
        <w:rPr>
          <w:b w:val="false"/>
          <w:caps w:val="false"/>
          <w:smallCaps w:val="false"/>
          <w:sz w:val="20"/>
          <w:szCs w:val="20"/>
        </w:rPr>
        <w:t>275,00 / 197,00 (resp. 182,00) m n.m., tj. 78 m (resp. 93 m)</w:t>
      </w:r>
    </w:p>
    <w:p>
      <w:pPr>
        <w:pStyle w:val="Nadpis3"/>
        <w:jc w:val="left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sz w:val="20"/>
          <w:szCs w:val="20"/>
        </w:rPr>
        <w:t>rozvodnice</w:t>
      </w:r>
      <w:r>
        <w:rPr>
          <w:b w:val="false"/>
          <w:caps w:val="false"/>
          <w:smallCaps w:val="false"/>
          <w:sz w:val="20"/>
          <w:szCs w:val="20"/>
        </w:rPr>
        <w:t xml:space="preserve">: </w:t>
        <w:tab/>
        <w:tab/>
        <w:t xml:space="preserve">překonaná vrcholovou zdrží s kótou hladiny 275,00 m n .m., </w:t>
        <w:br/>
        <w:t xml:space="preserve"> </w:t>
        <w:tab/>
        <w:tab/>
        <w:tab/>
        <w:tab/>
        <w:tab/>
        <w:t>délka 36,525 km</w:t>
      </w:r>
    </w:p>
    <w:p>
      <w:pPr>
        <w:pStyle w:val="Normal"/>
        <w:rPr/>
      </w:pPr>
      <w:r>
        <w:rPr/>
      </w:r>
    </w:p>
    <w:p>
      <w:pPr>
        <w:pStyle w:val="Telotextu"/>
        <w:rPr/>
      </w:pPr>
      <w:r>
        <w:rPr/>
      </w:r>
    </w:p>
    <w:p>
      <w:pPr>
        <w:pStyle w:val="Telotextu"/>
        <w:spacing w:before="0" w:after="0"/>
        <w:jc w:val="right"/>
        <w:rPr/>
      </w:pPr>
      <w:r>
        <w:rPr>
          <w:sz w:val="16"/>
          <w:szCs w:val="16"/>
        </w:rPr>
        <w:t>Tab. 5</w:t>
      </w:r>
      <w:r>
        <w:rPr/>
        <w:t xml:space="preserve"> </w:t>
      </w:r>
    </w:p>
    <w:tbl>
      <w:tblPr>
        <w:jc w:val="left"/>
        <w:tblInd w:w="468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9"/>
        <w:gridCol w:w="3421"/>
        <w:gridCol w:w="2069"/>
        <w:gridCol w:w="2251"/>
      </w:tblGrid>
      <w:tr>
        <w:trPr>
          <w:tblHeader w:val="true"/>
          <w:cantSplit w:val="false"/>
        </w:trPr>
        <w:tc>
          <w:tcPr>
            <w:tcW w:w="864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  <w:t xml:space="preserve">OBJEKTY </w:t>
            </w:r>
          </w:p>
        </w:tc>
      </w:tr>
      <w:tr>
        <w:trPr>
          <w:tblHeader w:val="true"/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Poř. číslo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Název PK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 xml:space="preserve">Staničení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km)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u PK - výška;</w:t>
              <w:br/>
              <w:t xml:space="preserve"> u TJ a MD - délka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(v m) </w:t>
            </w:r>
          </w:p>
        </w:tc>
      </w:tr>
      <w:tr>
        <w:trPr>
          <w:cantSplit w:val="false"/>
        </w:trPr>
        <w:tc>
          <w:tcPr>
            <w:tcW w:w="8640" w:type="dxa"/>
            <w:gridSpan w:val="4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PLAVEBNÍ KOMORY (</w:t>
            </w:r>
            <w:r>
              <w:rPr>
                <w:caps w:val="false"/>
                <w:smallCaps w:val="false"/>
                <w:sz w:val="18"/>
                <w:szCs w:val="18"/>
              </w:rPr>
              <w:t>PK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)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Buk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8,8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Trnávka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16,5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Kunín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53,0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Petřvald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69,0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Proskovice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73,6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5,0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Vyškovice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76,4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10,5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Svinov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81,7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5,3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Přívoz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87,6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7,2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Bohumín (pravobřežní varianta)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102 2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15,0</w:t>
            </w:r>
          </w:p>
        </w:tc>
      </w:tr>
      <w:tr>
        <w:trPr>
          <w:cantSplit w:val="false"/>
        </w:trPr>
        <w:tc>
          <w:tcPr>
            <w:tcW w:w="8640" w:type="dxa"/>
            <w:gridSpan w:val="4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TUNELY (</w:t>
            </w:r>
            <w:r>
              <w:rPr>
                <w:caps w:val="false"/>
                <w:smallCaps w:val="false"/>
                <w:sz w:val="18"/>
                <w:szCs w:val="18"/>
              </w:rPr>
              <w:t>TJ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-jednolodní)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Jezernice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21,9 – 23,2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1 260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Bělotín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34,3 – 35,6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1 300</w:t>
            </w:r>
          </w:p>
        </w:tc>
      </w:tr>
      <w:tr>
        <w:trPr>
          <w:cantSplit w:val="false"/>
        </w:trPr>
        <w:tc>
          <w:tcPr>
            <w:tcW w:w="8640" w:type="dxa"/>
            <w:gridSpan w:val="4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AKVADUKTY (</w:t>
            </w:r>
            <w:r>
              <w:rPr>
                <w:caps w:val="false"/>
                <w:smallCaps w:val="false"/>
                <w:sz w:val="18"/>
                <w:szCs w:val="18"/>
              </w:rPr>
              <w:t>MD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 – plavební most dvoulodní)</w:t>
            </w:r>
          </w:p>
        </w:tc>
      </w:tr>
      <w:tr>
        <w:trPr>
          <w:cantSplit w:val="false"/>
        </w:trPr>
        <w:tc>
          <w:tcPr>
            <w:tcW w:w="8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</w:t>
            </w:r>
          </w:p>
        </w:tc>
        <w:tc>
          <w:tcPr>
            <w:tcW w:w="3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Bartošovice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60,3 – 60,5</w:t>
            </w:r>
          </w:p>
        </w:tc>
        <w:tc>
          <w:tcPr>
            <w:tcW w:w="22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160</w:t>
            </w:r>
          </w:p>
        </w:tc>
      </w:tr>
    </w:tbl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</w:r>
    </w:p>
    <w:p>
      <w:pPr>
        <w:pStyle w:val="Nadpis6"/>
        <w:numPr>
          <w:ilvl w:val="0"/>
          <w:numId w:val="2"/>
        </w:numPr>
        <w:spacing w:before="120" w:after="160"/>
        <w:rPr>
          <w:bCs w:val="false"/>
        </w:rPr>
      </w:pPr>
      <w:r>
        <w:rPr>
          <w:caps/>
          <w:szCs w:val="22"/>
        </w:rPr>
        <w:t>Dunajská větev</w:t>
      </w:r>
      <w:r>
        <w:rPr>
          <w:szCs w:val="22"/>
        </w:rPr>
        <w:t>:</w:t>
      </w:r>
      <w:r>
        <w:rPr/>
        <w:t xml:space="preserve"> </w:t>
      </w:r>
      <w:r>
        <w:rPr>
          <w:bCs w:val="false"/>
        </w:rPr>
        <w:t>Rokytnice – Břeclav / Kúty (– Wien / Bratislava)</w:t>
      </w:r>
    </w:p>
    <w:p>
      <w:pPr>
        <w:pStyle w:val="Nadpis3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rFonts w:cs="Times New Roman"/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DÉLKA VĚTVE na území ČR: </w:t>
      </w:r>
      <w:r>
        <w:rPr>
          <w:caps w:val="false"/>
          <w:smallCaps w:val="false"/>
          <w:sz w:val="20"/>
          <w:szCs w:val="20"/>
        </w:rPr>
        <w:t xml:space="preserve">120 km </w:t>
      </w:r>
      <w:r>
        <w:rPr>
          <w:b w:val="false"/>
          <w:caps w:val="false"/>
          <w:smallCaps w:val="false"/>
          <w:sz w:val="20"/>
          <w:szCs w:val="20"/>
        </w:rPr>
        <w:t>(variantně přes Břeclav 118 km)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</w:t>
        <w:tab/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z toho: 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průplavní úsek:</w:t>
        <w:tab/>
        <w:t>14 km; 11,7% z celkové délky větve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kanálový úsek:</w:t>
        <w:tab/>
        <w:t xml:space="preserve">20 km (var. </w:t>
      </w:r>
      <w:r>
        <w:rPr>
          <w:b w:val="false"/>
          <w:caps w:val="false"/>
          <w:smallCaps w:val="false"/>
          <w:sz w:val="20"/>
          <w:szCs w:val="20"/>
        </w:rPr>
        <w:t>přes Břeclav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43 km); 16,7% (35,8%) z celk. délky větve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říční úsek:</w:t>
        <w:tab/>
        <w:tab/>
        <w:t xml:space="preserve">86 km (variantně </w:t>
      </w:r>
      <w:r>
        <w:rPr>
          <w:b w:val="false"/>
          <w:caps w:val="false"/>
          <w:smallCaps w:val="false"/>
          <w:sz w:val="20"/>
          <w:szCs w:val="20"/>
        </w:rPr>
        <w:t>přes Břeclav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61 km)</w:t>
      </w:r>
    </w:p>
    <w:p>
      <w:pPr>
        <w:pStyle w:val="Nadpis3"/>
        <w:jc w:val="left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sz w:val="20"/>
          <w:szCs w:val="20"/>
        </w:rPr>
        <w:t>Výškové kóty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(min./max.): 225,00 / 153,00 (variantně 155,00) m n.m., tj. 72 m (var. 70 m)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88" w:before="40" w:after="160"/>
        <w:jc w:val="right"/>
        <w:rPr>
          <w:rFonts w:cs="Arial" w:ascii="Arial" w:hAnsi="Arial"/>
          <w:sz w:val="16"/>
        </w:rPr>
      </w:pPr>
      <w:r>
        <w:rPr>
          <w:rFonts w:cs="Arial" w:ascii="Arial" w:hAnsi="Arial"/>
          <w:sz w:val="16"/>
        </w:rPr>
        <w:t>Tab. 6</w:t>
      </w:r>
    </w:p>
    <w:tbl>
      <w:tblPr>
        <w:jc w:val="left"/>
        <w:tblInd w:w="468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99"/>
        <w:gridCol w:w="2069"/>
        <w:gridCol w:w="2972"/>
      </w:tblGrid>
      <w:tr>
        <w:trPr>
          <w:tblHeader w:val="true"/>
          <w:cantSplit w:val="false"/>
        </w:trPr>
        <w:tc>
          <w:tcPr>
            <w:tcW w:w="864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  <w:t xml:space="preserve">OBJEKTY </w:t>
            </w:r>
          </w:p>
        </w:tc>
      </w:tr>
      <w:tr>
        <w:trPr>
          <w:tblHeader w:val="true"/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Název PK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 xml:space="preserve">Staničení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km)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u PK - výška;</w:t>
              <w:br/>
              <w:t xml:space="preserve"> u TJ a MD - délka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m)</w:t>
            </w:r>
          </w:p>
        </w:tc>
      </w:tr>
      <w:tr>
        <w:trPr>
          <w:cantSplit w:val="false"/>
        </w:trPr>
        <w:tc>
          <w:tcPr>
            <w:tcW w:w="8640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PLAVEBNÍ KOMORY (</w:t>
            </w:r>
            <w:r>
              <w:rPr>
                <w:caps w:val="false"/>
                <w:smallCaps w:val="false"/>
                <w:sz w:val="18"/>
                <w:szCs w:val="18"/>
              </w:rPr>
              <w:t>PK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)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Rokytnice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0,7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24,0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Zářičí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11,5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Kroměříž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22,2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4,8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Bělov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37,4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Uherské Hradiště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54,2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6,6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Rohatec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83,0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11,4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Hodonín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92,0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4,7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Tvrdonice (varianty A,B - říční)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107,9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Mikulčice (varianta C - přes Břeclav)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99,1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3,5</w:t>
            </w:r>
          </w:p>
        </w:tc>
      </w:tr>
      <w:tr>
        <w:trPr>
          <w:cantSplit w:val="false"/>
        </w:trPr>
        <w:tc>
          <w:tcPr>
            <w:tcW w:w="8640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TUNELY (</w:t>
            </w:r>
            <w:r>
              <w:rPr>
                <w:caps w:val="false"/>
                <w:smallCaps w:val="false"/>
                <w:sz w:val="18"/>
                <w:szCs w:val="18"/>
              </w:rPr>
              <w:t>TJ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-jednolodní)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Kostice (varianta Kyjovkou – Břeclav)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108,1 – 108,8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700</w:t>
            </w:r>
          </w:p>
        </w:tc>
      </w:tr>
      <w:tr>
        <w:trPr>
          <w:cantSplit w:val="false"/>
        </w:trPr>
        <w:tc>
          <w:tcPr>
            <w:tcW w:w="8640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AKVADUKTY (</w:t>
            </w:r>
            <w:r>
              <w:rPr>
                <w:caps w:val="false"/>
                <w:smallCaps w:val="false"/>
                <w:sz w:val="18"/>
                <w:szCs w:val="18"/>
              </w:rPr>
              <w:t>MD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 – plavební most dvoulodní)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</w:t>
            </w:r>
          </w:p>
        </w:tc>
      </w:tr>
    </w:tbl>
    <w:p>
      <w:pPr>
        <w:pStyle w:val="Telotextu"/>
        <w:rPr/>
      </w:pPr>
      <w:r>
        <w:rPr/>
      </w:r>
    </w:p>
    <w:p>
      <w:pPr>
        <w:pStyle w:val="Nadpis6"/>
        <w:numPr>
          <w:ilvl w:val="0"/>
          <w:numId w:val="2"/>
        </w:numPr>
        <w:spacing w:before="0" w:after="160"/>
        <w:rPr>
          <w:szCs w:val="22"/>
        </w:rPr>
      </w:pPr>
      <w:r>
        <w:rPr>
          <w:caps/>
          <w:szCs w:val="22"/>
        </w:rPr>
        <w:t>Labská větev</w:t>
      </w:r>
      <w:r>
        <w:rPr>
          <w:szCs w:val="22"/>
        </w:rPr>
        <w:t xml:space="preserve">: Rokytnice – Pardubice (– Hamburg) </w:t>
      </w:r>
    </w:p>
    <w:p>
      <w:pPr>
        <w:pStyle w:val="Nadpis3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rFonts w:cs="Times New Roman"/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DÉLKA VĚTVE na území ČR: </w:t>
        <w:tab/>
      </w:r>
      <w:r>
        <w:rPr>
          <w:caps w:val="false"/>
          <w:smallCaps w:val="false"/>
          <w:sz w:val="20"/>
          <w:szCs w:val="20"/>
        </w:rPr>
        <w:t xml:space="preserve">154 km </w:t>
      </w:r>
      <w:r>
        <w:rPr>
          <w:b w:val="false"/>
          <w:bCs w:val="false"/>
          <w:caps w:val="false"/>
          <w:smallCaps w:val="false"/>
          <w:sz w:val="20"/>
          <w:szCs w:val="20"/>
        </w:rPr>
        <w:tab/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z toho: 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průplavní úsek:</w:t>
        <w:tab/>
        <w:t xml:space="preserve">144 km; 93,5% z celkové délky větve </w:t>
      </w:r>
    </w:p>
    <w:p>
      <w:pPr>
        <w:pStyle w:val="Nadpis3"/>
        <w:spacing w:before="0" w:after="16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kanálový úsek:</w:t>
        <w:tab/>
        <w:t>10 km</w:t>
      </w:r>
    </w:p>
    <w:p>
      <w:pPr>
        <w:pStyle w:val="Nadpis3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sz w:val="20"/>
          <w:szCs w:val="20"/>
        </w:rPr>
        <w:t>Výškové kóty (</w:t>
      </w:r>
      <w:r>
        <w:rPr>
          <w:b w:val="false"/>
          <w:bCs w:val="false"/>
          <w:caps w:val="false"/>
          <w:smallCaps w:val="false"/>
          <w:sz w:val="20"/>
          <w:szCs w:val="20"/>
        </w:rPr>
        <w:t>min./max.</w:t>
      </w:r>
      <w:r>
        <w:rPr>
          <w:b w:val="false"/>
          <w:bCs w:val="false"/>
          <w:sz w:val="20"/>
          <w:szCs w:val="20"/>
        </w:rPr>
        <w:t xml:space="preserve">): </w:t>
      </w:r>
    </w:p>
    <w:p>
      <w:pPr>
        <w:pStyle w:val="Nadpis3"/>
        <w:spacing w:before="0" w:after="16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- úsek vzestupný: </w:t>
        <w:tab/>
      </w:r>
      <w:r>
        <w:rPr>
          <w:b w:val="false"/>
          <w:caps w:val="false"/>
          <w:smallCaps w:val="false"/>
          <w:sz w:val="20"/>
          <w:szCs w:val="20"/>
        </w:rPr>
        <w:t>225,00 - 405,00, tj. 180 m</w:t>
      </w:r>
    </w:p>
    <w:p>
      <w:pPr>
        <w:pStyle w:val="Nadpis3"/>
        <w:spacing w:before="0" w:after="16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úsek sestupný:</w:t>
        <w:tab/>
      </w:r>
      <w:r>
        <w:rPr>
          <w:b w:val="false"/>
          <w:caps w:val="false"/>
          <w:smallCaps w:val="false"/>
          <w:sz w:val="20"/>
          <w:szCs w:val="20"/>
        </w:rPr>
        <w:t>405,00 – 217,50, tj. 187,5 m</w:t>
      </w:r>
    </w:p>
    <w:p>
      <w:pPr>
        <w:pStyle w:val="Nadpis3"/>
        <w:jc w:val="left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sz w:val="20"/>
          <w:szCs w:val="20"/>
        </w:rPr>
        <w:t>rozvodnice</w:t>
      </w:r>
      <w:r>
        <w:rPr>
          <w:b w:val="false"/>
          <w:caps w:val="false"/>
          <w:smallCaps w:val="false"/>
          <w:sz w:val="20"/>
          <w:szCs w:val="20"/>
        </w:rPr>
        <w:t xml:space="preserve">: </w:t>
        <w:tab/>
        <w:tab/>
        <w:t xml:space="preserve">překonaná vrcholovou zdrží s kótou hladiny 390 - 415 m n .m. </w:t>
        <w:br/>
        <w:t xml:space="preserve"> </w:t>
        <w:tab/>
        <w:tab/>
        <w:tab/>
        <w:tab/>
        <w:tab/>
        <w:t xml:space="preserve">(optimální 405,00), délka 14,0 km, tunel délky cca 5 200 m </w:t>
        <w:tab/>
      </w:r>
    </w:p>
    <w:p>
      <w:pPr>
        <w:pStyle w:val="Telotextu"/>
        <w:spacing w:before="0" w:after="0"/>
        <w:jc w:val="right"/>
        <w:rPr>
          <w:sz w:val="16"/>
          <w:szCs w:val="16"/>
        </w:rPr>
      </w:pPr>
      <w:r>
        <w:rPr>
          <w:sz w:val="16"/>
          <w:szCs w:val="16"/>
        </w:rPr>
        <w:t>Tab. 7</w:t>
      </w:r>
    </w:p>
    <w:tbl>
      <w:tblPr>
        <w:jc w:val="left"/>
        <w:tblInd w:w="468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99"/>
        <w:gridCol w:w="2069"/>
        <w:gridCol w:w="2972"/>
      </w:tblGrid>
      <w:tr>
        <w:trPr>
          <w:tblHeader w:val="true"/>
          <w:cantSplit w:val="false"/>
        </w:trPr>
        <w:tc>
          <w:tcPr>
            <w:tcW w:w="864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  <w:t xml:space="preserve">OBJEKTY </w:t>
            </w:r>
          </w:p>
        </w:tc>
      </w:tr>
      <w:tr>
        <w:trPr>
          <w:tblHeader w:val="true"/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Název PK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 xml:space="preserve">Staničení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km)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Výška PK / Délka TJ, A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 </w:t>
              <w:br/>
              <w:t xml:space="preserve">(v m) </w:t>
            </w:r>
          </w:p>
        </w:tc>
      </w:tr>
      <w:tr>
        <w:trPr>
          <w:cantSplit w:val="false"/>
        </w:trPr>
        <w:tc>
          <w:tcPr>
            <w:tcW w:w="8640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PLAVEBNÍ KOMORY (PK)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Střelice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43,7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22,5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Loštice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51,3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Kozov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60,5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20,0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Pečíkov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65,8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20,0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Petrůvka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67,6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Radkov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68,2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Gruna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70,0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Rybník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99,2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15,0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Voděrady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114,3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Chotěšiny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115,8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Vračovice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117,9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Zálší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118,8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Dvořisko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122,9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Turov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138,8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Černá za Bory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152,5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8640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TUNELY (TJ-jednolodní)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Loštice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52,2 – 53,0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820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Třebovice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93,6 – 96,2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2 560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Rybník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96,8 – 98,3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Řetová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107,1 – 109,1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2 000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Řetůvka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110,8 – 113,2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2 350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Vraclav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128,5 – 128,7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240</w:t>
            </w:r>
          </w:p>
        </w:tc>
      </w:tr>
      <w:tr>
        <w:trPr>
          <w:cantSplit w:val="false"/>
        </w:trPr>
        <w:tc>
          <w:tcPr>
            <w:tcW w:w="8640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AKVADUKTY (MJ – plavební most jednolodní, MD – plavební most dvoulodní)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Loštice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53,4 – 53,7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340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Rybník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98,7 – 98,9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180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Česká Třebová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102,7 – 103,4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750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Česká Třebová II.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103,8 – 104,4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600</w:t>
            </w:r>
          </w:p>
        </w:tc>
      </w:tr>
      <w:tr>
        <w:trPr>
          <w:cantSplit w:val="false"/>
        </w:trPr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x MJ Slatina</w:t>
            </w:r>
          </w:p>
        </w:tc>
        <w:tc>
          <w:tcPr>
            <w:tcW w:w="20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124,6 - 125,4 </w:t>
            </w:r>
          </w:p>
        </w:tc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775</w:t>
            </w:r>
          </w:p>
        </w:tc>
      </w:tr>
    </w:tbl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Prístavy:</w:t>
      </w:r>
    </w:p>
    <w:p>
      <w:pPr>
        <w:pStyle w:val="NoSpacing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Břeclav</w:t>
      </w:r>
      <w:r>
        <w:rPr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Otrokovice</w:t>
      </w:r>
      <w:r>
        <w:rPr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Hranice</w:t>
      </w:r>
      <w:r>
        <w:rPr>
          <w:sz w:val="20"/>
          <w:szCs w:val="20"/>
        </w:rPr>
        <w:t xml:space="preserve"> a </w:t>
      </w:r>
      <w:r>
        <w:rPr>
          <w:b/>
          <w:bCs/>
          <w:sz w:val="20"/>
          <w:szCs w:val="20"/>
        </w:rPr>
        <w:t>Bohumín, Olomouc</w:t>
      </w:r>
      <w:r>
        <w:rPr>
          <w:sz w:val="20"/>
          <w:szCs w:val="20"/>
        </w:rPr>
        <w:t xml:space="preserve"> a </w:t>
      </w:r>
      <w:r>
        <w:rPr>
          <w:b/>
          <w:bCs/>
          <w:sz w:val="20"/>
          <w:szCs w:val="20"/>
        </w:rPr>
        <w:t>Pardubice.</w:t>
      </w:r>
    </w:p>
    <w:p>
      <w:pPr>
        <w:pStyle w:val="Nadpis1"/>
        <w:rPr/>
      </w:pPr>
      <w:r>
        <w:rPr/>
        <w:br/>
        <w:t>(DopravaKombi)</w:t>
      </w:r>
    </w:p>
    <w:p>
      <w:pPr>
        <w:pStyle w:val="NoSpacing"/>
        <w:rPr>
          <w:lang w:val="sk-SK"/>
        </w:rPr>
      </w:pPr>
      <w:r>
        <w:rPr>
          <w:lang w:val="sk-SK"/>
        </w:rPr>
        <w:t>Kanalizačný tok v zime rýchlejšie zamŕza</w:t>
      </w:r>
    </w:p>
    <w:p>
      <w:pPr>
        <w:pStyle w:val="NoSpacing"/>
        <w:rPr>
          <w:lang w:val="sk-SK"/>
        </w:rPr>
      </w:pPr>
      <w:r>
        <w:rPr>
          <w:lang w:val="sk-SK"/>
        </w:rPr>
        <w:t>Odporúčaná rýchlosť prúdu v rieke určenej pre plavbu = 1,8 m/s, maximálna = 2,5 m/s (aby bola plavba proti prúdu ešte ekonomická).</w:t>
      </w:r>
    </w:p>
    <w:p>
      <w:pPr>
        <w:pStyle w:val="NoSpacing"/>
        <w:rPr>
          <w:lang w:val="sk-SK"/>
        </w:rPr>
      </w:pPr>
      <w:r>
        <w:rPr>
          <w:lang w:val="sk-SK"/>
        </w:rPr>
        <w:t>Rýchlosť prúdu v prieplave by nemala prekročiť 1,5 m/s.</w:t>
      </w:r>
    </w:p>
    <w:p>
      <w:pPr>
        <w:pStyle w:val="NoSpacing"/>
        <w:rPr>
          <w:lang w:val="sk-SK"/>
        </w:rPr>
      </w:pPr>
      <w:r>
        <w:rPr>
          <w:lang w:val="sk-SK"/>
        </w:rPr>
        <w:t>Rýchlosť lode na vodnej ceste sa pohybuje okolo 10 km/h, podľa charakteru vodnej trasy sa dá dosiahnuť až 20 km/h (Dunaj). Maximálna manévrovacia rýchlosť v prístave a podobných stavbách je 1 m/s.</w:t>
      </w:r>
    </w:p>
    <w:p>
      <w:pPr>
        <w:pStyle w:val="NoSpacing"/>
        <w:rPr/>
      </w:pPr>
      <w:r>
        <w:rPr/>
      </w:r>
    </w:p>
    <w:p>
      <w:pPr>
        <w:pStyle w:val="NoSpacing"/>
        <w:rPr>
          <w:lang w:val="sk-SK"/>
        </w:rPr>
      </w:pPr>
      <w:r>
        <w:rPr/>
        <w:t>Podstatné typy plavebn</w:t>
      </w:r>
      <w:r>
        <w:rPr>
          <w:lang w:val="sk-SK"/>
        </w:rPr>
        <w:t>ých komôr: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počtu komôr na vodnom stupni za sebou: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jednostupňové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viacstupňové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počtu komôr umiestnených vedľa seba: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jednoduché (jednolodné alebo vlakové)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dvojité – dve rovnaké / rozdielnych rozmerov komory vedľa seba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trojité – tri komory rôznych rozmerov vedľa seba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počtu preplavujúcich sa lodí: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Jednolodné – jedna loď alebo jeden čln s remorkérom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vlakové – umožňujú preplávanie celej lodnej zostavy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spôsobu preplávania: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jednosmerné preplávanie – plavidlá sa preplavujú len jedným smerom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obojsmerné preplávanie – plavidlá sa striedavo preplavujú nahor a nadol</w:t>
      </w:r>
    </w:p>
    <w:p>
      <w:pPr>
        <w:pStyle w:val="Normal"/>
        <w:spacing w:lineRule="auto" w:line="240" w:before="0" w:after="0"/>
        <w:rPr>
          <w:rFonts w:cs="TimesNewRoman" w:ascii="TimesNewRoman" w:hAnsi="TimesNewRoman"/>
        </w:rPr>
      </w:pPr>
      <w:r>
        <w:rPr>
          <w:rFonts w:cs="TimesNewRoman" w:ascii="TimesNewRoman" w:hAnsi="TimesNewRoman"/>
        </w:rPr>
      </w:r>
    </w:p>
    <w:p>
      <w:pPr>
        <w:pStyle w:val="Normal"/>
        <w:spacing w:lineRule="auto" w:line="240" w:before="0" w:after="0"/>
        <w:rPr>
          <w:rFonts w:cs="TimesNewRoman"/>
        </w:rPr>
      </w:pPr>
      <w:r>
        <w:rPr>
          <w:rFonts w:cs="TimesNewRoman,BoldItalic"/>
          <w:b/>
          <w:bCs/>
          <w:i/>
          <w:iCs/>
        </w:rPr>
        <w:t xml:space="preserve">Plavební období </w:t>
      </w:r>
      <w:r>
        <w:rPr>
          <w:rFonts w:cs="TimesNewRoman"/>
        </w:rPr>
        <w:t>je doba plavby v roce. Plavební provoz může být v průběhu roku vlivem</w:t>
      </w:r>
    </w:p>
    <w:p>
      <w:pPr>
        <w:pStyle w:val="Normal"/>
        <w:spacing w:lineRule="auto" w:line="240" w:before="0" w:after="0"/>
        <w:rPr>
          <w:rFonts w:cs="TimesNewRoman"/>
        </w:rPr>
      </w:pPr>
      <w:r>
        <w:rPr>
          <w:rFonts w:cs="TimesNewRoman"/>
        </w:rPr>
        <w:t>určitých plavebních poměrů a podmínek na nějakou dobu přerušen. Přerušení plavby můžou</w:t>
      </w:r>
    </w:p>
    <w:p>
      <w:pPr>
        <w:pStyle w:val="Normal"/>
        <w:spacing w:lineRule="auto" w:line="240" w:before="0" w:after="0"/>
        <w:rPr>
          <w:rFonts w:cs="TimesNewRoman"/>
        </w:rPr>
      </w:pPr>
      <w:r>
        <w:rPr>
          <w:rFonts w:cs="TimesNewRoman"/>
        </w:rPr>
        <w:t>zapříčinit tyto vlivy:</w:t>
      </w:r>
    </w:p>
    <w:p>
      <w:pPr>
        <w:pStyle w:val="Normal"/>
        <w:spacing w:lineRule="auto" w:line="240" w:before="0" w:after="0"/>
        <w:ind w:left="0" w:right="0" w:firstLine="720"/>
        <w:rPr>
          <w:rFonts w:cs="TimesNewRoman"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zámraza vodní cesty </w:t>
      </w:r>
      <w:r>
        <w:rPr>
          <w:rFonts w:cs="TimesNewRoman"/>
        </w:rPr>
        <w:t>na určitý čas v roce</w:t>
      </w:r>
    </w:p>
    <w:p>
      <w:pPr>
        <w:pStyle w:val="Normal"/>
        <w:spacing w:lineRule="auto" w:line="240" w:before="0" w:after="0"/>
        <w:ind w:left="0" w:right="0" w:firstLine="720"/>
        <w:rPr>
          <w:rFonts w:cs="TimesNewRoman"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extrémní vodní stavy </w:t>
      </w:r>
      <w:r>
        <w:rPr>
          <w:rFonts w:cs="TimesNewRoman"/>
        </w:rPr>
        <w:t>– nízký a vysoký plavební stav</w:t>
      </w:r>
    </w:p>
    <w:p>
      <w:pPr>
        <w:pStyle w:val="Normal"/>
        <w:spacing w:lineRule="auto" w:line="240" w:before="0" w:after="0"/>
        <w:ind w:left="0" w:right="0" w:firstLine="720"/>
        <w:rPr>
          <w:rFonts w:cs="TimesNewRoman,Italic"/>
          <w:i/>
          <w:iCs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>rekonstrukční a udržovací práce na vodní cestě</w:t>
      </w:r>
    </w:p>
    <w:p>
      <w:pPr>
        <w:pStyle w:val="NoSpacing"/>
        <w:ind w:left="0" w:right="0" w:firstLine="720"/>
        <w:rPr>
          <w:rFonts w:cs="TimesNewRoman"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překážky v provozu </w:t>
      </w:r>
      <w:r>
        <w:rPr>
          <w:rFonts w:cs="TimesNewRoman"/>
        </w:rPr>
        <w:t>– nánosy po velkých vodách</w:t>
      </w:r>
    </w:p>
    <w:p>
      <w:pPr>
        <w:pStyle w:val="NoSpacing"/>
        <w:rPr>
          <w:rFonts w:cs="TimesNewRoman"/>
        </w:rPr>
      </w:pPr>
      <w:r>
        <w:rPr>
          <w:rFonts w:cs="TimesNewRoman"/>
        </w:rPr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</w:rPr>
        <w:t>Vn</w:t>
      </w:r>
      <w:r>
        <w:rPr>
          <w:rFonts w:cs="TimesNewRoman"/>
          <w:lang w:val="sk-SK"/>
        </w:rPr>
        <w:t>útrozemské prístavy v sieti vodných ciest predstavujú miesta (uzly), v ktorých dochádza k priamemu obchodnému styku zákazníkov a prepravcov, a kde je možnosť priameho napojenia na ostatné druhy dopravy prekladom tovaru. Každý prístav má 3 časti:</w:t>
      </w:r>
    </w:p>
    <w:p>
      <w:pPr>
        <w:pStyle w:val="NoSpacing"/>
        <w:numPr>
          <w:ilvl w:val="0"/>
          <w:numId w:val="1"/>
        </w:numPr>
        <w:rPr>
          <w:rFonts w:cs="TimesNewRoman"/>
          <w:lang w:val="sk-SK"/>
        </w:rPr>
      </w:pPr>
      <w:r>
        <w:rPr>
          <w:rFonts w:cs="TimesNewRoman"/>
          <w:lang w:val="sk-SK"/>
        </w:rPr>
        <w:t>Akvatoriálna časť – vodná plocha prístavu</w:t>
      </w:r>
    </w:p>
    <w:p>
      <w:pPr>
        <w:pStyle w:val="NoSpacing"/>
        <w:numPr>
          <w:ilvl w:val="0"/>
          <w:numId w:val="1"/>
        </w:numPr>
        <w:rPr>
          <w:rFonts w:cs="TimesNewRoman"/>
          <w:lang w:val="sk-SK"/>
        </w:rPr>
      </w:pPr>
      <w:r>
        <w:rPr>
          <w:rFonts w:cs="TimesNewRoman"/>
          <w:lang w:val="sk-SK"/>
        </w:rPr>
        <w:t>Prístavné nábrežie – prístavné hrany</w:t>
      </w:r>
    </w:p>
    <w:p>
      <w:pPr>
        <w:pStyle w:val="NoSpacing"/>
        <w:numPr>
          <w:ilvl w:val="0"/>
          <w:numId w:val="1"/>
        </w:numPr>
        <w:rPr>
          <w:rFonts w:cs="TimesNewRoman"/>
          <w:lang w:val="sk-SK"/>
        </w:rPr>
      </w:pPr>
      <w:r>
        <w:rPr>
          <w:rFonts w:cs="TimesNewRoman"/>
          <w:lang w:val="sk-SK"/>
        </w:rPr>
        <w:t>Teritoriálna časť – suchozemská časť prístavu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Prístavná plocha je časť bazénu pri prístavnom nábreží určená k priviazaniu lode (často sa priväzujú 2-3 lode vedľa seba). Dĺžka prístavnej hrany závisí na počtu potrebných prístavných plôch (200 – 1200m). Schéma prístavu s 1 bazénom na obrázku 22.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</w:r>
    </w:p>
    <w:p>
      <w:pPr>
        <w:pStyle w:val="NoSpacing"/>
        <w:rPr>
          <w:rStyle w:val="IntenseEmphasis"/>
        </w:rPr>
      </w:pPr>
      <w:r>
        <w:rPr>
          <w:rStyle w:val="IntenseEmphasis"/>
        </w:rPr>
        <w:t>Kapacita prístavu:</w:t>
      </w:r>
    </w:p>
    <w:p>
      <w:pPr>
        <w:pStyle w:val="Normal"/>
        <w:spacing w:lineRule="auto" w:line="240" w:before="0" w:after="0"/>
        <w:rPr>
          <w:rFonts w:cs="TimesNewRoman,Bold"/>
          <w:b/>
          <w:bCs/>
          <w:lang w:val="sk-SK"/>
        </w:rPr>
      </w:pPr>
      <w:r>
        <w:rPr>
          <w:rFonts w:cs="TimesNewRoman,Bold"/>
          <w:b/>
          <w:bCs/>
          <w:lang w:val="sk-SK"/>
        </w:rPr>
        <w:t>Kpr = Lh . kh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Lh …celková délka překládacích hran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kh … kapacita na 1 bm hrany (t/m.rok)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Hodnota kh je ve skutečnosti velmi proměnlivá. Běžně se pohybuje v hodnotách kolem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500 až 1000 t/m.rok, při některých hromadných substrátech však může být i 10000t/m.rok.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Tato hodnota je závislá na technickém vybavení přístavu a jeho překládacím zařízení.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Potřebná hodnota Lh se určuje:</w:t>
      </w:r>
    </w:p>
    <w:p>
      <w:pPr>
        <w:pStyle w:val="Normal"/>
        <w:spacing w:lineRule="auto" w:line="240" w:before="0" w:after="0"/>
        <w:rPr>
          <w:rFonts w:cs="TimesNewRoman,Bold"/>
          <w:b/>
          <w:bCs/>
          <w:lang w:val="sk-SK"/>
        </w:rPr>
      </w:pPr>
      <w:r>
        <w:rPr>
          <w:rFonts w:cs="TimesNewRoman,Bold"/>
          <w:b/>
          <w:bCs/>
          <w:lang w:val="sk-SK"/>
        </w:rPr>
        <w:t>Lh = n . Lp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Lp …délka jedné překládací (přístavní) polohy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n … počet překládacích (přistávacích) poloh</w:t>
      </w:r>
    </w:p>
    <w:p>
      <w:pPr>
        <w:pStyle w:val="Normal"/>
        <w:spacing w:lineRule="auto" w:line="240" w:before="0" w:after="0"/>
        <w:rPr>
          <w:rFonts w:cs="TimesNewRoman,Bold"/>
          <w:b/>
          <w:bCs/>
          <w:lang w:val="sk-SK"/>
        </w:rPr>
      </w:pPr>
      <w:r>
        <w:rPr>
          <w:rFonts w:cs="TimesNewRoman"/>
          <w:lang w:val="sk-SK"/>
        </w:rPr>
        <w:t xml:space="preserve">Přičemž: </w:t>
      </w:r>
      <w:r>
        <w:rPr>
          <w:rFonts w:cs="TimesNewRoman,Bold"/>
          <w:b/>
          <w:bCs/>
          <w:lang w:val="sk-SK"/>
        </w:rPr>
        <w:t xml:space="preserve">Lp = Lčl + Lr +2.L </w:t>
      </w:r>
      <w:r>
        <w:rPr>
          <w:rFonts w:cs="TimesNewRoman"/>
          <w:lang w:val="sk-SK"/>
        </w:rPr>
        <w:t xml:space="preserve">a </w:t>
      </w:r>
      <w:r>
        <w:rPr>
          <w:rFonts w:cs="TimesNewRoman,Bold"/>
          <w:b/>
          <w:bCs/>
          <w:lang w:val="sk-SK"/>
        </w:rPr>
        <w:t>n =</w:t>
      </w:r>
    </w:p>
    <w:p>
      <w:pPr>
        <w:pStyle w:val="Normal"/>
        <w:spacing w:lineRule="auto" w:line="240" w:before="0" w:after="0"/>
        <w:rPr>
          <w:rFonts w:cs="TimesNewRoman,Italic"/>
          <w:i/>
          <w:iCs/>
          <w:lang w:val="sk-SK"/>
        </w:rPr>
      </w:pPr>
      <w:r>
        <w:rPr>
          <w:rFonts w:cs="TimesNewRoman,Italic"/>
          <w:i/>
          <w:iCs/>
          <w:lang w:val="sk-SK"/>
        </w:rPr>
        <w:t>g t</w:t>
      </w:r>
    </w:p>
    <w:p>
      <w:pPr>
        <w:pStyle w:val="Normal"/>
        <w:spacing w:lineRule="auto" w:line="240" w:before="0" w:after="0"/>
        <w:rPr>
          <w:rFonts w:cs="TimesNewRoman,Italic"/>
          <w:i/>
          <w:iCs/>
          <w:lang w:val="sk-SK"/>
        </w:rPr>
      </w:pPr>
      <w:r>
        <w:rPr>
          <w:rFonts w:cs="TimesNewRoman,Italic"/>
          <w:i/>
          <w:iCs/>
          <w:lang w:val="sk-SK"/>
        </w:rPr>
        <w:t>Q N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Kde: Lčl … délka člunu (m)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Lr … délka přístavního remorkéru (m)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 … bezpečnostní vzdálenost (5 m)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Q … střední denní obrat lodě (t)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N … norma obsluhy překládané lodě (h)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g … průměrný náklad lodě (t)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t … počet hodin práce za den (h)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Uvedené vztahy</w:t>
      </w:r>
    </w:p>
    <w:p>
      <w:pPr>
        <w:pStyle w:val="NoSpacing"/>
        <w:rPr>
          <w:rFonts w:cs="TimesNewRoman"/>
          <w:lang w:val="sk-SK"/>
        </w:rPr>
      </w:pPr>
      <w:del w:id="8" w:author="theirs" w:date="2014-12-03T19:37:00Z">
        <w:r>
          <w:rPr>
            <w:rFonts w:cs="TimesNewRoman"/>
            <w:lang w:val="sk-SK"/>
          </w:rPr>
          <w:delText xml:space="preserve"> </w:delText>
        </w:r>
      </w:del>
    </w:p>
    <w:p>
      <w:pPr>
        <w:pStyle w:val="NoSpacing"/>
        <w:rPr>
          <w:rFonts w:cs="TimesNewRoman"/>
          <w:lang w:val="sk-SK"/>
        </w:rPr>
      </w:pPr>
      <w:ins w:id="9" w:author="mine" w:date="2014-12-03T19:37:00Z">
        <w:r>
          <w:rPr/>
          <w:t>(</w:t>
        </w:r>
      </w:ins>
      <w:ins w:id="10" w:author="theirs" w:date="2014-12-03T19:37:00Z">
        <w:r>
          <w:rPr>
            <w:rFonts w:cs="TimesNewRoman"/>
          </w:rPr>
          <w:t>35. 03_VD)</w:t>
        </w:r>
      </w:ins>
      <w:ins w:id="11" w:author="mine" w:date="2014-12-03T19:37:00Z">
        <w:r>
          <w:rPr>
            <w:rFonts w:cs="TimesNewRoman"/>
            <w:lang w:val="sk-SK"/>
          </w:rPr>
          <w:t xml:space="preserve">23,4 S_T) </w:t>
        </w:r>
      </w:ins>
    </w:p>
    <w:p>
      <w:pPr>
        <w:pStyle w:val="NoSpacing"/>
        <w:rPr>
          <w:rFonts w:cs="TimesNewRoman"/>
          <w:lang w:val="sk-SK"/>
        </w:rPr>
      </w:pPr>
      <w:ins w:id="12" w:author="theirs" w:date="2014-12-03T19:37:00Z">
        <w:r>
          <w:rPr>
            <w:rFonts w:cs="TimesNewRoman"/>
            <w:lang w:val="sk-SK"/>
          </w:rPr>
          <w:t xml:space="preserve"> </w:t>
        </w:r>
      </w:ins>
    </w:p>
    <w:p>
      <w:pPr>
        <w:pStyle w:val="NoSpacing"/>
        <w:rPr/>
      </w:pPr>
      <w:r>
        <w:rPr/>
        <w:drawing>
          <wp:inline distT="0" distB="0" distL="0" distR="0">
            <wp:extent cx="5939790" cy="516064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6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lang w:val="sk-SK"/>
        </w:rPr>
      </w:pPr>
      <w:ins w:id="13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14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15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16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17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18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19" w:author="theirs" w:date="2014-12-03T19:37:00Z">
        <w:r>
          <w:rPr>
            <w:lang w:val="sk-SK"/>
          </w:rPr>
          <w:t>(49. vykon pristavov)</w:t>
        </w:r>
      </w:ins>
    </w:p>
    <w:p>
      <w:pPr>
        <w:pStyle w:val="Normal"/>
        <w:spacing w:lineRule="auto" w:line="240" w:before="0" w:after="0"/>
        <w:rPr>
          <w:rFonts w:eastAsia="Times New Roman" w:cs="Arial"/>
        </w:rPr>
      </w:pPr>
      <w:ins w:id="20" w:author="theirs" w:date="2014-12-03T19:37:00Z">
        <w:r>
          <w:rPr>
            <w:rFonts w:eastAsia="Times New Roman" w:cs="Arial"/>
          </w:rPr>
          <w:t>Kontajnerový terminál v BA má teoretický potenciál 50 000 TEU/rok, ale využitie kapacity sa odhaduje na 43 000 TEU/rok. Z toho vypl</w:t>
        </w:r>
      </w:ins>
      <w:ins w:id="21" w:author="theirs" w:date="2014-12-03T19:37:00Z">
        <w:r>
          <w:rPr>
            <w:rFonts w:eastAsia="Times New Roman" w:cs="Arial"/>
            <w:lang w:val="sk-SK"/>
          </w:rPr>
          <w:t>ýva využitie 86</w:t>
        </w:r>
      </w:ins>
      <w:ins w:id="22" w:author="theirs" w:date="2014-12-03T19:37:00Z">
        <w:r>
          <w:rPr>
            <w:rFonts w:eastAsia="Times New Roman" w:cs="Arial"/>
          </w:rPr>
          <w:t xml:space="preserve">%. </w:t>
        </w:r>
      </w:ins>
    </w:p>
    <w:p>
      <w:pPr>
        <w:pStyle w:val="Normal"/>
        <w:spacing w:lineRule="auto" w:line="240" w:before="0" w:after="0"/>
        <w:rPr>
          <w:rFonts w:eastAsia="Times New Roman" w:cs="Arial"/>
        </w:rPr>
      </w:pPr>
      <w:ins w:id="23" w:author="theirs" w:date="2014-12-03T19:37:00Z">
        <w:r>
          <w:rPr>
            <w:rFonts w:eastAsia="Times New Roman" w:cs="Arial"/>
          </w:rPr>
        </w:r>
      </w:ins>
    </w:p>
    <w:p>
      <w:pPr>
        <w:pStyle w:val="Normal"/>
        <w:spacing w:lineRule="auto" w:line="240" w:before="0" w:after="0"/>
        <w:rPr>
          <w:rFonts w:eastAsia="Times New Roman" w:cs="Arial"/>
        </w:rPr>
      </w:pPr>
      <w:ins w:id="24" w:author="theirs" w:date="2014-12-03T19:37:00Z">
        <w:r>
          <w:rPr>
            <w:rFonts w:eastAsia="Times New Roman" w:cs="Arial"/>
          </w:rPr>
          <w:t>(http://www.danubeports.info handling statistics)</w:t>
        </w:r>
      </w:ins>
    </w:p>
    <w:p>
      <w:pPr>
        <w:pStyle w:val="Normal"/>
        <w:spacing w:lineRule="auto" w:line="240" w:before="0" w:after="0"/>
        <w:rPr/>
      </w:pPr>
      <w:ins w:id="25" w:author="theirs" w:date="2014-12-03T19:37:00Z">
        <w:r>
          <w:rPr/>
          <w:t>Kom</w:t>
        </w:r>
      </w:ins>
      <w:ins w:id="26" w:author="theirs" w:date="2014-12-03T19:37:00Z">
        <w:r>
          <w:rPr>
            <w:lang w:val="sk-SK"/>
          </w:rPr>
          <w:t xml:space="preserve">árno </w:t>
        </w:r>
      </w:ins>
      <w:ins w:id="27" w:author="theirs" w:date="2014-12-03T19:37:00Z">
        <w:r>
          <w:rPr/>
          <w:t>328000 t/rok … 0,0104 t/s</w:t>
        </w:r>
      </w:ins>
    </w:p>
    <w:p>
      <w:pPr>
        <w:pStyle w:val="Normal"/>
        <w:spacing w:lineRule="auto" w:line="240" w:before="0" w:after="0"/>
        <w:rPr/>
      </w:pPr>
      <w:ins w:id="28" w:author="theirs" w:date="2014-12-03T19:37:00Z">
        <w:r>
          <w:rPr/>
          <w:t>Bratislava 2400000 t/rok … 0,07605 t/s * 0,86 = 0,0654</w:t>
        </w:r>
      </w:ins>
    </w:p>
    <w:p>
      <w:pPr>
        <w:pStyle w:val="Normal"/>
        <w:spacing w:lineRule="auto" w:line="240" w:before="0" w:after="0"/>
        <w:rPr/>
      </w:pPr>
      <w:ins w:id="29" w:author="theirs" w:date="2014-12-03T19:37:00Z">
        <w:r>
          <w:rPr/>
        </w:r>
      </w:ins>
    </w:p>
    <w:p>
      <w:pPr>
        <w:pStyle w:val="Normal"/>
        <w:spacing w:lineRule="auto" w:line="240" w:before="0" w:after="0"/>
        <w:rPr/>
      </w:pPr>
      <w:ins w:id="30" w:author="theirs" w:date="2014-12-03T19:37:00Z">
        <w:r>
          <w:rPr/>
          <w:t>(</w:t>
        </w:r>
      </w:ins>
      <w:hyperlink r:id="rId16">
        <w:ins w:id="31" w:author="theirs" w:date="2014-12-03T19:37:00Z">
          <w:r>
            <w:rPr>
              <w:rStyle w:val="Internetovodkaz"/>
            </w:rPr>
            <w:t>http://hafen-wien.com/en/home/unternehmen/daten</w:t>
          </w:r>
        </w:ins>
      </w:hyperlink>
      <w:ins w:id="32" w:author="theirs" w:date="2014-12-03T19:37:00Z">
        <w:r>
          <w:rPr/>
          <w:t>)</w:t>
        </w:r>
      </w:ins>
    </w:p>
    <w:p>
      <w:pPr>
        <w:pStyle w:val="Normal"/>
        <w:spacing w:lineRule="auto" w:line="240" w:before="0" w:after="0"/>
        <w:rPr/>
      </w:pPr>
      <w:ins w:id="33" w:author="theirs" w:date="2014-12-03T19:37:00Z">
        <w:r>
          <w:rPr/>
          <w:t>Viedeň 6400000 t/rok … 0,2028 t/s</w:t>
        </w:r>
      </w:ins>
    </w:p>
    <w:p>
      <w:pPr>
        <w:pStyle w:val="Normal"/>
        <w:spacing w:lineRule="auto" w:line="240" w:before="0" w:after="0"/>
        <w:rPr/>
      </w:pPr>
      <w:ins w:id="34" w:author="theirs" w:date="2014-12-03T19:37:00Z">
        <w:r>
          <w:rPr/>
        </w:r>
      </w:ins>
    </w:p>
    <w:p>
      <w:pPr>
        <w:pStyle w:val="Normal"/>
        <w:spacing w:lineRule="auto" w:line="240" w:before="0" w:after="0"/>
        <w:rPr/>
      </w:pPr>
      <w:ins w:id="35" w:author="theirs" w:date="2014-12-03T19:37:00Z">
        <w:r>
          <w:rPr/>
          <w:t>(</w:t>
        </w:r>
      </w:ins>
      <w:hyperlink r:id="rId17">
        <w:ins w:id="36" w:author="theirs" w:date="2014-12-03T19:37:00Z">
          <w:r>
            <w:rPr>
              <w:rStyle w:val="Internetovodkaz"/>
            </w:rPr>
            <w:t>http://www.ceskaplavba.cz/?s=3&amp;m=29&amp;sm=28</w:t>
          </w:r>
        </w:ins>
      </w:hyperlink>
      <w:ins w:id="37" w:author="theirs" w:date="2014-12-03T19:37:00Z">
        <w:r>
          <w:rPr/>
          <w:t>)</w:t>
        </w:r>
      </w:ins>
    </w:p>
    <w:p>
      <w:pPr>
        <w:pStyle w:val="Normal"/>
        <w:spacing w:lineRule="auto" w:line="240" w:before="0" w:after="0"/>
        <w:rPr/>
      </w:pPr>
      <w:ins w:id="38" w:author="theirs" w:date="2014-12-03T19:37:00Z">
        <w:r>
          <w:rPr/>
          <w:t>Losovice 800 t/deň … 0,00926 t/s</w:t>
        </w:r>
      </w:ins>
    </w:p>
    <w:p>
      <w:pPr>
        <w:pStyle w:val="NoSpacing"/>
        <w:rPr>
          <w:lang w:val="sk-SK"/>
        </w:rPr>
      </w:pPr>
      <w:ins w:id="39" w:author="theirs" w:date="2014-12-03T19:37:00Z">
        <w:r>
          <w:rPr>
            <w:lang w:val="sk-SK"/>
          </w:rPr>
        </w:r>
      </w:ins>
    </w:p>
    <w:p>
      <w:pPr>
        <w:pStyle w:val="NoSpacing"/>
        <w:rPr>
          <w:lang w:val="sk-SK"/>
        </w:rPr>
      </w:pPr>
      <w:ins w:id="40" w:author="theirs" w:date="2014-12-03T19:37:00Z">
        <w:r>
          <w:rPr>
            <w:lang w:val="sk-SK"/>
          </w:rPr>
          <w:t>Z vyššie uvedeného vyplýva (31557600 sekúnd v roku)</w:t>
        </w:r>
      </w:ins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varianty tras, diskutovane budu B,D</w:t>
      </w:r>
      <w:r>
        <w:pict>
          <v:rect style="position:absolute;width:222.45pt;height:79.8pt;mso-wrap-distance-left:9pt;mso-wrap-distance-right:9pt;mso-wrap-distance-top:0pt;mso-wrap-distance-bottom:0pt;margin-top:3.35pt;margin-left:-5.65pt">
            <v:textbox inset="0in,0in,0in,0in">
              <w:txbxContent>
                <w:tbl>
                  <w:tblPr>
                    <w:jc w:val="left"/>
                    <w:tblInd w:w="108" w:type="dxa"/>
                    <w:tblBorders>
                      <w:top w:val="single" w:sz="4" w:space="0" w:color="00000A"/>
                      <w:left w:val="single" w:sz="4" w:space="0" w:color="00000A"/>
                      <w:bottom w:val="single" w:sz="4" w:space="0" w:color="00000A"/>
                      <w:insideH w:val="single" w:sz="4" w:space="0" w:color="00000A"/>
                      <w:right w:val="single" w:sz="4" w:space="0" w:color="00000A"/>
                      <w:insideV w:val="single" w:sz="4" w:space="0" w:color="00000A"/>
                    </w:tblBorders>
                    <w:tblCellMar>
                      <w:top w:w="0" w:type="dxa"/>
                      <w:left w:w="103" w:type="dxa"/>
                      <w:bottom w:w="0" w:type="dxa"/>
                      <w:right w:w="108" w:type="dxa"/>
                    </w:tblCellMar>
                  </w:tblPr>
                  <w:tblGrid>
                    <w:gridCol w:w="1483"/>
                    <w:gridCol w:w="1483"/>
                    <w:gridCol w:w="1483"/>
                  </w:tblGrid>
                  <w:tr>
                    <w:trPr>
                      <w:cantSplit w:val="false"/>
                    </w:trPr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1" w:name="__UnoMark__1349_930403013"/>
                        <w:bookmarkEnd w:id="1"/>
                        <w:r>
                          <w:rPr>
                            <w:lang w:val="sk-SK"/>
                          </w:rPr>
                          <w:t xml:space="preserve">Veľkosť 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2" w:name="__UnoMark__1350_930403013"/>
                        <w:bookmarkStart w:id="3" w:name="__UnoMark__1351_930403013"/>
                        <w:bookmarkEnd w:id="2"/>
                        <w:bookmarkEnd w:id="3"/>
                        <w:r>
                          <w:rPr>
                            <w:lang w:val="sk-SK"/>
                          </w:rPr>
                          <w:t>Mesto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4" w:name="__UnoMark__1352_930403013"/>
                        <w:bookmarkStart w:id="5" w:name="__UnoMark__1353_930403013"/>
                        <w:bookmarkEnd w:id="4"/>
                        <w:bookmarkEnd w:id="5"/>
                        <w:r>
                          <w:rPr>
                            <w:lang w:val="sk-SK"/>
                          </w:rPr>
                          <w:t>Rýchlosť (t/s)</w:t>
                        </w:r>
                      </w:p>
                    </w:tc>
                  </w:tr>
                  <w:tr>
                    <w:trPr>
                      <w:cantSplit w:val="false"/>
                    </w:trPr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6" w:name="__UnoMark__1354_930403013"/>
                        <w:bookmarkStart w:id="7" w:name="__UnoMark__1355_930403013"/>
                        <w:bookmarkEnd w:id="6"/>
                        <w:bookmarkEnd w:id="7"/>
                        <w:r>
                          <w:rPr>
                            <w:lang w:val="sk-SK"/>
                          </w:rPr>
                          <w:t>Veľmi malý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8" w:name="__UnoMark__1356_930403013"/>
                        <w:bookmarkStart w:id="9" w:name="__UnoMark__1357_930403013"/>
                        <w:bookmarkEnd w:id="8"/>
                        <w:bookmarkEnd w:id="9"/>
                        <w:r>
                          <w:rPr>
                            <w:lang w:val="sk-SK"/>
                          </w:rPr>
                          <w:t>Losovice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10" w:name="__UnoMark__1358_930403013"/>
                        <w:bookmarkStart w:id="11" w:name="__UnoMark__1359_930403013"/>
                        <w:bookmarkEnd w:id="10"/>
                        <w:bookmarkEnd w:id="11"/>
                        <w:r>
                          <w:rPr>
                            <w:lang w:val="sk-SK"/>
                          </w:rPr>
                          <w:t>0,00926</w:t>
                        </w:r>
                      </w:p>
                    </w:tc>
                  </w:tr>
                  <w:tr>
                    <w:trPr>
                      <w:cantSplit w:val="false"/>
                    </w:trPr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12" w:name="__UnoMark__1360_930403013"/>
                        <w:bookmarkStart w:id="13" w:name="__UnoMark__1361_930403013"/>
                        <w:bookmarkEnd w:id="12"/>
                        <w:bookmarkEnd w:id="13"/>
                        <w:r>
                          <w:rPr>
                            <w:lang w:val="sk-SK"/>
                          </w:rPr>
                          <w:t>Malý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14" w:name="__UnoMark__1362_930403013"/>
                        <w:bookmarkStart w:id="15" w:name="__UnoMark__1363_930403013"/>
                        <w:bookmarkEnd w:id="14"/>
                        <w:bookmarkEnd w:id="15"/>
                        <w:r>
                          <w:rPr>
                            <w:lang w:val="sk-SK"/>
                          </w:rPr>
                          <w:t>Komárno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16" w:name="__UnoMark__1364_930403013"/>
                        <w:bookmarkStart w:id="17" w:name="__UnoMark__1365_930403013"/>
                        <w:bookmarkEnd w:id="16"/>
                        <w:bookmarkEnd w:id="17"/>
                        <w:r>
                          <w:rPr>
                            <w:lang w:val="sk-SK"/>
                          </w:rPr>
                          <w:t>0,0104</w:t>
                        </w:r>
                      </w:p>
                    </w:tc>
                  </w:tr>
                  <w:tr>
                    <w:trPr>
                      <w:cantSplit w:val="false"/>
                    </w:trPr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18" w:name="__UnoMark__1366_930403013"/>
                        <w:bookmarkStart w:id="19" w:name="__UnoMark__1367_930403013"/>
                        <w:bookmarkEnd w:id="18"/>
                        <w:bookmarkEnd w:id="19"/>
                        <w:r>
                          <w:rPr>
                            <w:lang w:val="sk-SK"/>
                          </w:rPr>
                          <w:t>Stredný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20" w:name="__UnoMark__1368_930403013"/>
                        <w:bookmarkStart w:id="21" w:name="__UnoMark__1369_930403013"/>
                        <w:bookmarkEnd w:id="20"/>
                        <w:bookmarkEnd w:id="21"/>
                        <w:r>
                          <w:rPr>
                            <w:lang w:val="sk-SK"/>
                          </w:rPr>
                          <w:t>Bratislava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22" w:name="__UnoMark__1370_930403013"/>
                        <w:bookmarkStart w:id="23" w:name="__UnoMark__1371_930403013"/>
                        <w:bookmarkEnd w:id="22"/>
                        <w:bookmarkEnd w:id="23"/>
                        <w:r>
                          <w:rPr>
                            <w:lang w:val="sk-SK"/>
                          </w:rPr>
                          <w:t>0,0654</w:t>
                        </w:r>
                      </w:p>
                    </w:tc>
                  </w:tr>
                  <w:tr>
                    <w:trPr>
                      <w:cantSplit w:val="false"/>
                    </w:trPr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24" w:name="__UnoMark__1372_930403013"/>
                        <w:bookmarkStart w:id="25" w:name="__UnoMark__1373_930403013"/>
                        <w:bookmarkEnd w:id="24"/>
                        <w:bookmarkEnd w:id="25"/>
                        <w:r>
                          <w:rPr>
                            <w:lang w:val="sk-SK"/>
                          </w:rPr>
                          <w:t>Veľký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26" w:name="__UnoMark__1374_930403013"/>
                        <w:bookmarkStart w:id="27" w:name="__UnoMark__1375_930403013"/>
                        <w:bookmarkEnd w:id="26"/>
                        <w:bookmarkEnd w:id="27"/>
                        <w:r>
                          <w:rPr>
                            <w:lang w:val="sk-SK"/>
                          </w:rPr>
                          <w:t>Viedeň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insideH w:val="single" w:sz="4" w:space="0" w:color="00000A"/>
                          <w:right w:val="single" w:sz="4" w:space="0" w:color="00000A"/>
                          <w:insideV w:val="single" w:sz="4" w:space="0" w:color="00000A"/>
                        </w:tcBorders>
                        <w:shd w:fill="auto" w:val="clear"/>
                        <w:tcMar>
                          <w:left w:w="103" w:type="dxa"/>
                        </w:tcMar>
                      </w:tcPr>
                      <w:p>
                        <w:pPr>
                          <w:pStyle w:val="NoSpacing"/>
                          <w:rPr>
                            <w:lang w:val="sk-SK"/>
                          </w:rPr>
                        </w:pPr>
                        <w:bookmarkStart w:id="28" w:name="__UnoMark__1376_930403013"/>
                        <w:bookmarkEnd w:id="28"/>
                        <w:r>
                          <w:rPr>
                            <w:lang w:val="sk-SK"/>
                          </w:rPr>
                          <w:t>0,2028</w:t>
                        </w:r>
                      </w:p>
                    </w:tc>
                  </w:tr>
                </w:tbl>
              </w:txbxContent>
            </v:textbox>
            <w10:wrap type="square"/>
          </v:rect>
        </w:pic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(27, S_T)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</w:t>
      </w:r>
      <w:r>
        <w:rPr>
          <w:rFonts w:cs="TimesNewRoman"/>
          <w:lang w:val="sk-SK"/>
        </w:rPr>
        <w:t>komory do 10m 3-5min plnenia a vyprazdnenia, nad 10m 12-15min, vzorec pre vypocet strednej doby plnenia (viac menej nepodstatne)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(28,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tabulka pre vypocet t3(nepodstatne)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(28 dole,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ryclosti lodi po prude 12-18, proti prudu 4-8, po umelom kanali 12~, nenalozene az 20, nieje explicitne uvedene kade, predpokladam po umelom kanali(na 95%)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(36,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tabulka o prepravenych ton/km medi clenskymi statmi...nie iba po vode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(44-45,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tabulky o objeme prepravy na trati vieden-hodonin (suvis s variantami koridorov)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(47-48, S_T)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                      </w:t>
      </w:r>
      <w:r>
        <w:rPr>
          <w:rFonts w:cs="TimesNewRoman"/>
          <w:lang w:val="sk-SK"/>
        </w:rPr>
        <w:t>-||-                     devin-hodonin(suvis s variantami koridorov)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(50,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koridor kategorie Vb polomer min 800m, sirka 68.3m...usek Kroměříž 600m, sirka 50m =&gt; minanie lodi o max dlzke 110m a 11.4m sirke, preplavenie 1 o max dlzke 180, a 11.4m (kat. Vb); Nutno zdvihnut most o 1.6m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</w:t>
      </w:r>
      <w:r>
        <w:rPr>
          <w:rFonts w:cs="TimesNewRoman"/>
          <w:lang w:val="sk-SK"/>
        </w:rPr>
        <w:t>varianta 2: umely kanal-ziadne obmedzenia, vyssia investicia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(3, srovnani)</w:t>
      </w:r>
    </w:p>
    <w:p>
      <w:pPr>
        <w:pStyle w:val="NoSpacing"/>
        <w:rPr/>
      </w:pPr>
      <w:r>
        <w:rPr/>
        <w:drawing>
          <wp:anchor behindDoc="0" distT="0" distB="101600" distL="0" distR="0" simplePos="0" locked="0" layoutInCell="1" allowOverlap="1" relativeHeight="1">
            <wp:simplePos x="0" y="0"/>
            <wp:positionH relativeFrom="column">
              <wp:posOffset>-22860</wp:posOffset>
            </wp:positionH>
            <wp:positionV relativeFrom="paragraph">
              <wp:posOffset>247015</wp:posOffset>
            </wp:positionV>
            <wp:extent cx="5943600" cy="466026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(6, srovnani) naklady hromadneho zbozi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(6, srovnani) naklady kontajnerov</w:t>
        <w:drawing>
          <wp:anchor behindDoc="0" distT="0" distB="10160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72125" cy="382905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  <w:drawing>
          <wp:anchor behindDoc="0" distT="0" distB="101600" distL="0" distR="0" simplePos="0" locked="0" layoutInCell="1" allowOverlap="1" relativeHeight="2">
            <wp:simplePos x="0" y="0"/>
            <wp:positionH relativeFrom="column">
              <wp:posOffset>-15875</wp:posOffset>
            </wp:positionH>
            <wp:positionV relativeFrom="paragraph">
              <wp:posOffset>76835</wp:posOffset>
            </wp:positionV>
            <wp:extent cx="5609590" cy="3857625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pageBreakBefore/>
        <w:rPr>
          <w:rFonts w:cs="TimesNewRoman"/>
          <w:lang w:val="sk-SK"/>
        </w:rPr>
      </w:pPr>
      <w:r>
        <w:rPr>
          <w:rFonts w:cs="TimesNewRoman"/>
          <w:lang w:val="sk-SK"/>
        </w:rPr>
        <w:t>(6, srovnani) lode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Evropská motorová nákladní loď (Europaschiff), jež má délku 80 – 85 m, šířku 9,5 m a kon-strukční ponor 2,5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Standardní velká motorová nákladní loď (GMS), která má délku 100 – 110 m, šířku 11,4 m a kon-strukční ponor 3,5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Velká tlačná souprava s více čluny o ponoru až 4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Prodloužená velká motorová nákladní loď (ÜGMS), která má délku – na rozdíl od standardního typu – 135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Souprava sestávající z velké motorové nákladní lodi (GMS) a jednoho tlačného člunu (Koppelverband).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(107 PaVC)</w:t>
      </w:r>
    </w:p>
    <w:p>
      <w:pPr>
        <w:pStyle w:val="NoSpacing"/>
        <w:rPr/>
      </w:pPr>
      <w:r>
        <w:rPr/>
        <w:t>Ze statistik OECD nelze samozřejmě odvodit žádnou prognózu vnitrostátních přeprav</w:t>
      </w:r>
    </w:p>
    <w:p>
      <w:pPr>
        <w:pStyle w:val="NoSpacing"/>
        <w:rPr/>
      </w:pPr>
      <w:r>
        <w:rPr/>
        <w:t>na jednotlivých úsecích propojení. Ty se mohou rozvinout zejména na úsecích uvnitř České</w:t>
      </w:r>
    </w:p>
    <w:p>
      <w:pPr>
        <w:pStyle w:val="NoSpacing"/>
        <w:rPr/>
      </w:pPr>
      <w:r>
        <w:rPr/>
        <w:t>republiky, neboť úseky na území Slovenska, Rakouska a Polska jsou příliš krátké (byť na ně</w:t>
      </w:r>
    </w:p>
    <w:p>
      <w:pPr>
        <w:pStyle w:val="NoSpacing"/>
        <w:rPr/>
      </w:pPr>
      <w:r>
        <w:rPr/>
        <w:t>navazují dosti dlouhé „vnitrostátní“ úseky Dunaje či Odry). V každém případě se však mohou</w:t>
      </w:r>
    </w:p>
    <w:p>
      <w:pPr>
        <w:pStyle w:val="NoSpacing"/>
        <w:rPr/>
      </w:pPr>
      <w:r>
        <w:rPr/>
        <w:t>přepravní vzdálenosti ve vnitrostátních relacích nejspíše jen v desítkách kilometrů a jen</w:t>
      </w:r>
    </w:p>
    <w:p>
      <w:pPr>
        <w:pStyle w:val="NoSpacing"/>
        <w:rPr/>
      </w:pPr>
      <w:r>
        <w:rPr/>
        <w:t>výjimečně by se dalo hovořit o několika málo stovkách kilometrů. V takových podmínkách se</w:t>
      </w:r>
    </w:p>
    <w:p>
      <w:pPr>
        <w:pStyle w:val="NoSpacing"/>
        <w:rPr/>
      </w:pPr>
      <w:r>
        <w:rPr/>
        <w:t>nemohou jevit ekonomicky zajímavé kombinované přepravy ve spolupráci se železniční</w:t>
      </w:r>
    </w:p>
    <w:p>
      <w:pPr>
        <w:pStyle w:val="NoSpacing"/>
        <w:rPr/>
      </w:pPr>
      <w:r>
        <w:rPr/>
        <w:t>dopravou, jak svědčí mj. zkušenosti z České republiky. V ČR se sice uskutečňovaly</w:t>
      </w:r>
    </w:p>
    <w:p>
      <w:pPr>
        <w:pStyle w:val="NoSpacing"/>
        <w:rPr/>
      </w:pPr>
      <w:r>
        <w:rPr/>
        <w:t>intenzívní vnitrostátní přepravy uhlí, jejichž objem - hlavně v souvislosti s přísunem paliva do</w:t>
      </w:r>
    </w:p>
    <w:p>
      <w:pPr>
        <w:pStyle w:val="NoSpacing"/>
        <w:rPr/>
      </w:pPr>
      <w:r>
        <w:rPr/>
        <w:t>elektrárny Chvaletice – přesáhl hranici 4 mil. t/rok. Jednalo se ovšem o kombinovanou a</w:t>
      </w:r>
    </w:p>
    <w:p>
      <w:pPr>
        <w:pStyle w:val="NoSpacing"/>
        <w:rPr/>
      </w:pPr>
      <w:r>
        <w:rPr/>
        <w:t>okolnostmi vynucenou přepravu po železnici a po vodě, která byla vyvolána nedostatkem</w:t>
      </w:r>
    </w:p>
    <w:p>
      <w:pPr>
        <w:pStyle w:val="NoSpacing"/>
        <w:rPr/>
      </w:pPr>
      <w:r>
        <w:rPr/>
        <w:t>propustných kapacit v železniční síti, nebyla však konkurenční s přímou přepravou po</w:t>
      </w:r>
    </w:p>
    <w:p>
      <w:pPr>
        <w:pStyle w:val="NoSpacing"/>
        <w:rPr/>
      </w:pPr>
      <w:r>
        <w:rPr/>
        <w:t>železnici. Jakmile došlo k uvolnění těchto kapacit, zákonitě zanikla. V budoucnu je proto</w:t>
      </w:r>
    </w:p>
    <w:p>
      <w:pPr>
        <w:pStyle w:val="NoSpacing"/>
        <w:rPr/>
      </w:pPr>
      <w:r>
        <w:rPr/>
        <w:t>možno počítat s vnitrostátními přepravami na propojení D-O-L jen v takových případech, kdy</w:t>
      </w:r>
    </w:p>
    <w:p>
      <w:pPr>
        <w:pStyle w:val="NoSpacing"/>
        <w:rPr/>
      </w:pPr>
      <w:r>
        <w:rPr/>
        <w:t>budou mít vysloveně přímý charakter, nebo budou výjimečně kombinovány s krátkou</w:t>
      </w:r>
    </w:p>
    <w:p>
      <w:pPr>
        <w:pStyle w:val="NoSpacing"/>
        <w:rPr/>
      </w:pPr>
      <w:r>
        <w:rPr/>
        <w:t>předchozí či následnou přepravou po silnici. Bude se jednat o jednotlivé případy, které je</w:t>
      </w:r>
    </w:p>
    <w:p>
      <w:pPr>
        <w:pStyle w:val="NoSpacing"/>
        <w:rPr/>
      </w:pPr>
      <w:r>
        <w:rPr/>
        <w:t>nutno posuzovat zcela individuálně. Budou také omezeny jen na některé komodity. Přehled</w:t>
      </w:r>
    </w:p>
    <w:p>
      <w:pPr>
        <w:pStyle w:val="NoSpacing"/>
        <w:rPr/>
      </w:pPr>
      <w:r>
        <w:rPr/>
        <w:t>nejdůležitějších možností – tak jak se jeví za současného stavu rozložení zdrojů a cílů – je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 xml:space="preserve">(110 pavc) </w:t>
      </w:r>
    </w:p>
    <w:p>
      <w:pPr>
        <w:pStyle w:val="NoSpacing"/>
        <w:rPr/>
      </w:pPr>
      <w:r>
        <w:rPr/>
        <w:t>Přepravy ve styku s Německem (bez Bavorska) se rozdělují rovným dílem na</w:t>
      </w:r>
    </w:p>
    <w:p>
      <w:pPr>
        <w:pStyle w:val="NoSpacing"/>
        <w:rPr/>
      </w:pPr>
      <w:r>
        <w:rPr/>
        <w:t>oderskou a labskou větev.</w:t>
      </w:r>
    </w:p>
    <w:p>
      <w:pPr>
        <w:pStyle w:val="NoSpacing"/>
        <w:rPr/>
      </w:pPr>
      <w:r>
        <w:rPr/>
        <w:t>Vnitrostátní přepravy na území České republiky se budou odehrávat na</w:t>
      </w:r>
    </w:p>
    <w:p>
      <w:pPr>
        <w:pStyle w:val="NoSpacing"/>
        <w:rPr/>
      </w:pPr>
      <w:r>
        <w:rPr/>
        <w:t>krátkých vzdálenostech a k hustotě přepravy přispějí v konečném důsledku jen</w:t>
      </w:r>
    </w:p>
    <w:p>
      <w:pPr>
        <w:pStyle w:val="NoSpacing"/>
        <w:rPr/>
      </w:pPr>
      <w:r>
        <w:rPr/>
        <w:t>málo, nejspíše hodnotou cca 0,300 mil. t/rok v každém směru na všech</w:t>
      </w:r>
    </w:p>
    <w:p>
      <w:pPr>
        <w:pStyle w:val="NoSpacing"/>
        <w:rPr/>
      </w:pPr>
      <w:r>
        <w:rPr/>
        <w:t>větvích.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Pavc prilohy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priloha 6,7,8,9 investicie</w:t>
      </w:r>
    </w:p>
    <w:p>
      <w:pPr>
        <w:pStyle w:val="NoSpacing"/>
        <w:rPr/>
      </w:pPr>
      <w:r>
        <w:rPr/>
        <w:t>priloha 14 potencial prepravy na DOL</w:t>
      </w:r>
    </w:p>
    <w:p>
      <w:pPr>
        <w:pStyle w:val="NoSpacing"/>
        <w:rPr/>
      </w:pPr>
      <w:r>
        <w:rPr/>
        <w:t>priloha 15 odhady preprav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(114pavc) priemerny rast 1%</w:t>
      </w:r>
    </w:p>
    <w:p>
      <w:pPr>
        <w:pStyle w:val="NoSpacing"/>
        <w:rPr/>
      </w:pPr>
      <w:r>
        <w:rPr/>
        <w:t>(93pavc) celkove investicie 8155,6 mld, 54,8mil udrzba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import do pristavov – univerzalne rozlozenie</w:t>
      </w:r>
    </w:p>
    <w:p>
      <w:pPr>
        <w:pStyle w:val="NoSpacing"/>
        <w:rPr/>
      </w:pPr>
      <w:r>
        <w:rPr/>
        <w:t>export – iste veci z konkretnych pristavov, zvysok uni</w:t>
      </w:r>
    </w:p>
    <w:p>
      <w:pPr>
        <w:pStyle w:val="NoSpacing"/>
        <w:rPr/>
      </w:pPr>
      <w:r>
        <w:rPr/>
        <w:t>v</w:t>
      </w:r>
    </w:p>
    <w:p>
      <w:pPr>
        <w:pStyle w:val="NoSpacing"/>
        <w:rPr/>
      </w:pPr>
      <w:r>
        <w:rPr/>
        <w:t>ytipovane suroviny (pavc 110~):</w:t>
      </w:r>
    </w:p>
    <w:p>
      <w:pPr>
        <w:pStyle w:val="NoSpacing"/>
        <w:rPr/>
      </w:pPr>
      <w:r>
        <w:rPr/>
        <w:tab/>
        <w:t>obilie; cukor,kakao; krmiva, odpad; kamene, zem; rudy, srot; pevne palivo; ropa; rop. Produkty; chem. Vyrobky; hnojivva; sur. Koz. p.; sur. Text. p.; drevo, papier; kovy; stroje; vozidla; ine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suhrn priemyslu pre export v cr vzhladom na pristavy</w:t>
      </w:r>
    </w:p>
    <w:p>
      <w:pPr>
        <w:pStyle w:val="NoSpacing"/>
        <w:rPr/>
      </w:pPr>
      <w:r>
        <w:rPr/>
        <w:t>vytipovane velke uzly a priemyselne dolezite mesta</w:t>
      </w:r>
    </w:p>
    <w:p>
      <w:pPr>
        <w:pStyle w:val="NoSpacing"/>
        <w:rPr/>
      </w:pPr>
      <w:r>
        <w:rPr/>
        <w:t>Břeclav, Přerov, Pardubice,Ostrava, dunaj, labe(moze byt cielom pre vnutrostatnu dopravu a dovoz do cr.), odra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suroviny: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obilie, cukor, kakao, krmiva, odp, uni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chem, rop. produkty pardubice, labe (kolin, pardubice, litvinov)[1][2]</w:t>
      </w:r>
    </w:p>
    <w:p>
      <w:pPr>
        <w:pStyle w:val="NoSpacing"/>
        <w:rPr/>
      </w:pPr>
      <w:r>
        <w:rPr/>
        <w:t>rudy,kovy,  pevne palivo ostrava</w:t>
      </w:r>
    </w:p>
    <w:p>
      <w:pPr>
        <w:pStyle w:val="NoSpacing"/>
        <w:rPr/>
      </w:pPr>
      <w:r>
        <w:rPr/>
        <w:t>zvysok uni</w:t>
      </w:r>
    </w:p>
    <w:p>
      <w:pPr>
        <w:pStyle w:val="NoSpacing"/>
        <w:rPr/>
      </w:pPr>
      <w:r>
        <w:rPr/>
      </w:r>
    </w:p>
    <w:p>
      <w:pPr>
        <w:pStyle w:val="NoSpacing"/>
        <w:rPr>
          <w:rStyle w:val="Internetovodkaz"/>
        </w:rPr>
      </w:pPr>
      <w:r>
        <w:rPr/>
        <w:t xml:space="preserve">[1] </w:t>
      </w:r>
      <w:hyperlink r:id="rId21">
        <w:r>
          <w:rPr>
            <w:rStyle w:val="Internetovodkaz"/>
          </w:rPr>
          <w:t>http://www.crc.cz/cz/asfalty-asfaltove-vyrobky.aspx</w:t>
        </w:r>
      </w:hyperlink>
    </w:p>
    <w:p>
      <w:pPr>
        <w:pStyle w:val="NoSpacing"/>
        <w:rPr/>
      </w:pPr>
      <w:r>
        <w:rPr/>
        <w:t>[2] http://www.paramo.cz/cs/nabidka-produktu/Stranky/default.aspx</w:t>
      </w:r>
    </w:p>
    <w:p>
      <w:pPr>
        <w:pStyle w:val="NoSpacing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+2+1">
    <w:charset w:val="01"/>
    <w:family w:val="roman"/>
    <w:pitch w:val="variable"/>
  </w:font>
  <w:font w:name="TimesNewRoman">
    <w:charset w:val="01"/>
    <w:family w:val="roman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6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284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US" w:eastAsia="en-US" w:bidi="ar-SA"/>
      </w:rPr>
    </w:rPrDefault>
    <w:pPrDefault>
      <w:pPr>
        <w:spacing w:lineRule="auto" w:line="259"/>
      </w:pPr>
    </w:pPrDefault>
  </w:docDefaults>
  <w:latentStyles w:defQFormat="0" w:defUnhideWhenUsed="0" w:count="371" w:defSemiHidden="0" w:defUIPriority="99" w:defLockedState="0">
    <w:lsdException w:qFormat="1" w:uiPriority="0" w:name="Normal"/>
    <w:lsdException w:qFormat="1" w:uiPriority="9" w:name="heading 1"/>
    <w:lsdException w:qFormat="1" w:unhideWhenUsed="1" w:semiHidden="1" w:uiPriority="9" w:name="heading 2"/>
    <w:lsdException w:qFormat="1" w:unhideWhenUsed="1" w:semiHidden="1" w:uiPriority="0" w:name="heading 3"/>
    <w:lsdException w:qFormat="1" w:unhideWhenUsed="1" w:semiHidden="1" w:uiPriority="9" w:name="heading 4"/>
    <w:lsdException w:qFormat="1" w:unhideWhenUsed="1" w:semiHidden="1" w:uiPriority="9" w:name="heading 5"/>
    <w:lsdException w:qFormat="1" w:unhideWhenUsed="1" w:semiHidden="1" w:uiPriority="0" w:name="heading 6"/>
    <w:lsdException w:qFormat="1" w:unhideWhenUsed="1" w:semiHidden="1" w:uiPriority="9" w:name="heading 7"/>
    <w:lsdException w:qFormat="1" w:unhideWhenUsed="1" w:semiHidden="1" w:uiPriority="9" w:name="heading 8"/>
    <w:lsdException w:qFormat="1" w:unhideWhenUsed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uiPriority="0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rsid w:val="00815233"/>
    <w:pPr>
      <w:widowControl/>
      <w:suppressAutoHyphens w:val="true"/>
      <w:bidi w:val="0"/>
      <w:spacing w:before="0" w:after="160" w:lineRule="auto" w:line="259"/>
      <w:jc w:val="left"/>
    </w:pPr>
    <w:rPr>
      <w:rFonts w:ascii="Calibri" w:hAnsi="Calibri" w:cs="Calibri" w:eastAsia="Droid Sans Fallback"/>
      <w:color w:val="auto"/>
      <w:sz w:val="22"/>
      <w:szCs w:val="22"/>
      <w:lang w:val="en-US" w:eastAsia="en-US" w:bidi="ar-SA"/>
    </w:rPr>
  </w:style>
  <w:style w:type="paragraph" w:styleId="Nadpis1" w:customStyle="1">
    <w:name w:val="Nadpis 1"/>
    <w:uiPriority w:val="9"/>
    <w:qFormat/>
    <w:link w:val="Heading1Char"/>
    <w:rsid w:val="003a34fd"/>
    <w:basedOn w:val="Normal"/>
    <w:next w:val="Normal"/>
    <w:pPr>
      <w:keepNext/>
      <w:keepLines/>
      <w:spacing w:before="240" w:after="0"/>
      <w:outlineLvl w:val="0"/>
    </w:pPr>
    <w:rPr>
      <w:rFonts w:ascii="Calibri Light" w:hAnsi="Calibri Light" w:cs=""/>
      <w:color w:val="2E74B5"/>
      <w:sz w:val="32"/>
      <w:szCs w:val="32"/>
    </w:rPr>
  </w:style>
  <w:style w:type="paragraph" w:styleId="Nadpis3" w:customStyle="1">
    <w:name w:val="Nadpis 3"/>
    <w:qFormat/>
    <w:link w:val="Heading3Char"/>
    <w:rsid w:val="00cc5fbb"/>
    <w:basedOn w:val="Normal"/>
    <w:next w:val="Normal"/>
    <w:pPr>
      <w:tabs>
        <w:tab w:val="left" w:pos="454" w:leader="none"/>
      </w:tabs>
      <w:spacing w:lineRule="auto" w:line="288" w:before="120" w:after="0"/>
      <w:jc w:val="both"/>
      <w:outlineLvl w:val="2"/>
    </w:pPr>
    <w:rPr>
      <w:rFonts w:ascii="Arial" w:hAnsi="Arial" w:eastAsia="Times New Roman" w:cs="Arial"/>
      <w:b/>
      <w:bCs/>
      <w:caps/>
      <w:lang w:val="cs-CZ" w:eastAsia="cs-CZ"/>
    </w:rPr>
  </w:style>
  <w:style w:type="paragraph" w:styleId="Nadpis6" w:customStyle="1">
    <w:name w:val="Nadpis 6"/>
    <w:qFormat/>
    <w:link w:val="Heading6Char"/>
    <w:rsid w:val="00cc5fbb"/>
    <w:basedOn w:val="Normal"/>
    <w:next w:val="Normal"/>
    <w:pPr>
      <w:keepNext/>
      <w:tabs>
        <w:tab w:val="left" w:pos="454" w:leader="none"/>
      </w:tabs>
      <w:spacing w:lineRule="auto" w:line="288" w:before="240" w:after="0"/>
      <w:jc w:val="both"/>
      <w:outlineLvl w:val="5"/>
    </w:pPr>
    <w:rPr>
      <w:rFonts w:ascii="Arial" w:hAnsi="Arial" w:eastAsia="Times New Roman" w:cs="Arial"/>
      <w:b/>
      <w:bCs/>
      <w:sz w:val="20"/>
      <w:szCs w:val="20"/>
      <w:lang w:val="cs-CZ" w:eastAsia="cs-CZ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nseEmphasis">
    <w:name w:val="Intense Emphasis"/>
    <w:uiPriority w:val="21"/>
    <w:qFormat/>
    <w:rsid w:val="00bc43d2"/>
    <w:basedOn w:val="DefaultParagraphFont"/>
    <w:rPr>
      <w:i/>
      <w:iCs/>
      <w:color w:val="5B9BD5"/>
    </w:rPr>
  </w:style>
  <w:style w:type="character" w:styleId="Strong">
    <w:name w:val="Strong"/>
    <w:uiPriority w:val="22"/>
    <w:qFormat/>
    <w:rsid w:val="00bc43d2"/>
    <w:basedOn w:val="DefaultParagraphFont"/>
    <w:rPr>
      <w:b/>
      <w:bCs/>
    </w:rPr>
  </w:style>
  <w:style w:type="character" w:styleId="Heading3Char" w:customStyle="1">
    <w:name w:val="Heading 3 Char"/>
    <w:link w:val="Nadpis3"/>
    <w:rsid w:val="00cc5fbb"/>
    <w:basedOn w:val="DefaultParagraphFont"/>
    <w:rPr>
      <w:rFonts w:ascii="Arial" w:hAnsi="Arial" w:eastAsia="Times New Roman" w:cs="Arial"/>
      <w:b/>
      <w:bCs/>
      <w:caps/>
      <w:lang w:val="cs-CZ" w:eastAsia="cs-CZ"/>
    </w:rPr>
  </w:style>
  <w:style w:type="character" w:styleId="Heading6Char" w:customStyle="1">
    <w:name w:val="Heading 6 Char"/>
    <w:link w:val="Nadpis6"/>
    <w:rsid w:val="00cc5fbb"/>
    <w:basedOn w:val="DefaultParagraphFont"/>
    <w:rPr>
      <w:rFonts w:ascii="Arial" w:hAnsi="Arial" w:eastAsia="Times New Roman" w:cs="Arial"/>
      <w:b/>
      <w:bCs/>
      <w:sz w:val="20"/>
      <w:szCs w:val="20"/>
      <w:lang w:val="cs-CZ" w:eastAsia="cs-CZ"/>
    </w:rPr>
  </w:style>
  <w:style w:type="character" w:styleId="BodyTextChar" w:customStyle="1">
    <w:name w:val="Body Text Char"/>
    <w:semiHidden/>
    <w:link w:val="Telotextu"/>
    <w:rsid w:val="00cc5fbb"/>
    <w:basedOn w:val="DefaultParagraphFont"/>
    <w:rPr>
      <w:rFonts w:ascii="Arial" w:hAnsi="Arial" w:eastAsia="Times New Roman" w:cs="Arial"/>
      <w:lang w:val="cs-CZ" w:eastAsia="cs-CZ"/>
    </w:rPr>
  </w:style>
  <w:style w:type="character" w:styleId="Heading1Char" w:customStyle="1">
    <w:name w:val="Heading 1 Char"/>
    <w:uiPriority w:val="9"/>
    <w:link w:val="Nadpis1"/>
    <w:rsid w:val="003a34fd"/>
    <w:basedOn w:val="DefaultParagraphFont"/>
    <w:rPr>
      <w:rFonts w:ascii="Calibri Light" w:hAnsi="Calibri Light"/>
      <w:color w:val="2E74B5"/>
      <w:sz w:val="32"/>
      <w:szCs w:val="32"/>
    </w:rPr>
  </w:style>
  <w:style w:type="character" w:styleId="ListLabel1" w:customStyle="1">
    <w:name w:val="ListLabel 1"/>
    <w:rPr>
      <w:rFonts w:cs="Calibri"/>
    </w:rPr>
  </w:style>
  <w:style w:type="character" w:styleId="ListLabel2" w:customStyle="1">
    <w:name w:val="ListLabel 2"/>
    <w:rPr>
      <w:rFonts w:cs="Courier New"/>
    </w:rPr>
  </w:style>
  <w:style w:type="character" w:styleId="ListLabel3" w:customStyle="1">
    <w:name w:val="ListLabel 3"/>
    <w:rPr>
      <w:rFonts w:cs="Calibri"/>
    </w:rPr>
  </w:style>
  <w:style w:type="character" w:styleId="ListLabel4" w:customStyle="1">
    <w:name w:val="ListLabel 4"/>
    <w:rPr>
      <w:rFonts w:cs="Courier New"/>
    </w:rPr>
  </w:style>
  <w:style w:type="character" w:styleId="ListLabel5" w:customStyle="1">
    <w:name w:val="ListLabel 5"/>
    <w:rPr>
      <w:rFonts w:cs="Wingdings"/>
    </w:rPr>
  </w:style>
  <w:style w:type="character" w:styleId="ListLabel6" w:customStyle="1">
    <w:name w:val="ListLabel 6"/>
    <w:rPr>
      <w:rFonts w:cs="Symbol"/>
    </w:rPr>
  </w:style>
  <w:style w:type="character" w:styleId="ListLabel7" w:customStyle="1">
    <w:name w:val="ListLabel 7"/>
    <w:rPr>
      <w:rFonts w:cs="Calibri"/>
    </w:rPr>
  </w:style>
  <w:style w:type="character" w:styleId="ListLabel8" w:customStyle="1">
    <w:name w:val="ListLabel 8"/>
    <w:rPr>
      <w:rFonts w:cs="Courier New"/>
    </w:rPr>
  </w:style>
  <w:style w:type="character" w:styleId="ListLabel9" w:customStyle="1">
    <w:name w:val="ListLabel 9"/>
    <w:rPr>
      <w:rFonts w:cs="Wingdings"/>
    </w:rPr>
  </w:style>
  <w:style w:type="character" w:styleId="ListLabel10" w:customStyle="1">
    <w:name w:val="ListLabel 10"/>
    <w:rPr>
      <w:rFonts w:cs="Symbol"/>
    </w:rPr>
  </w:style>
  <w:style w:type="character" w:styleId="Internetovodkaz">
    <w:name w:val="Internetový odkaz"/>
    <w:uiPriority w:val="99"/>
    <w:unhideWhenUsed/>
    <w:rsid w:val="00d72391"/>
    <w:basedOn w:val="DefaultParagraphFont"/>
    <w:rPr>
      <w:color w:val="0563C1"/>
      <w:u w:val="single"/>
      <w:lang w:val="zxx" w:eastAsia="zxx" w:bidi="zxx"/>
    </w:rPr>
  </w:style>
  <w:style w:type="character" w:styleId="Heading1Char1" w:customStyle="1">
    <w:name w:val="Heading 1 Char1"/>
    <w:uiPriority w:val="9"/>
    <w:rsid w:val="00d72391"/>
    <w:basedOn w:val="DefaultParagraphFont"/>
    <w:rPr>
      <w:rFonts w:ascii="Calibri Light" w:hAnsi="Calibri Light" w:cs=""/>
      <w:color w:val="2E74B5"/>
      <w:sz w:val="32"/>
      <w:szCs w:val="32"/>
    </w:rPr>
  </w:style>
  <w:style w:type="character" w:styleId="Heading3Char1" w:customStyle="1">
    <w:name w:val="Heading 3 Char1"/>
    <w:semiHidden/>
    <w:rsid w:val="00d72391"/>
    <w:basedOn w:val="DefaultParagraphFont"/>
    <w:rPr>
      <w:rFonts w:ascii="Calibri Light" w:hAnsi="Calibri Light" w:cs=""/>
      <w:color w:val="1F4D78"/>
      <w:sz w:val="24"/>
      <w:szCs w:val="24"/>
    </w:rPr>
  </w:style>
  <w:style w:type="character" w:styleId="Heading6Char1" w:customStyle="1">
    <w:name w:val="Heading 6 Char1"/>
    <w:semiHidden/>
    <w:rsid w:val="00d72391"/>
    <w:basedOn w:val="DefaultParagraphFont"/>
    <w:rPr>
      <w:rFonts w:ascii="Calibri Light" w:hAnsi="Calibri Light" w:cs=""/>
      <w:color w:val="1F4D78"/>
    </w:rPr>
  </w:style>
  <w:style w:type="character" w:styleId="BodyTextChar1" w:customStyle="1">
    <w:name w:val="Body Text Char1"/>
    <w:semiHidden/>
    <w:rsid w:val="00d72391"/>
    <w:basedOn w:val="DefaultParagraphFont"/>
    <w:rPr>
      <w:color w:val="00000A"/>
    </w:rPr>
  </w:style>
  <w:style w:type="character" w:styleId="BalloonTextChar" w:customStyle="1">
    <w:name w:val="Balloon Text Char"/>
    <w:uiPriority w:val="99"/>
    <w:semiHidden/>
    <w:link w:val="BalloonText"/>
    <w:rsid w:val="00d72391"/>
    <w:basedOn w:val="DefaultParagraphFont"/>
    <w:rPr>
      <w:rFonts w:ascii="Segoe UI" w:hAnsi="Segoe UI" w:cs="Segoe UI"/>
      <w:color w:val="00000A"/>
      <w:sz w:val="18"/>
      <w:szCs w:val="18"/>
    </w:rPr>
  </w:style>
  <w:style w:type="character" w:styleId="ListLabel11">
    <w:name w:val="ListLabel 11"/>
    <w:rPr>
      <w:rFonts w:cs="Calibri"/>
    </w:rPr>
  </w:style>
  <w:style w:type="character" w:styleId="ListLabel12">
    <w:name w:val="ListLabel 12"/>
    <w:rPr>
      <w:rFonts w:cs="Courier New"/>
    </w:rPr>
  </w:style>
  <w:style w:type="character" w:styleId="ListLabel13">
    <w:name w:val="ListLabel 13"/>
    <w:rPr>
      <w:rFonts w:cs="Wingdings"/>
    </w:rPr>
  </w:style>
  <w:style w:type="character" w:styleId="ListLabel14">
    <w:name w:val="ListLabel 14"/>
    <w:rPr>
      <w:rFonts w:cs="Symbol"/>
    </w:rPr>
  </w:style>
  <w:style w:type="paragraph" w:styleId="Nadpis" w:customStyle="1">
    <w:name w:val="Nadpis"/>
    <w:basedOn w:val="Normal"/>
    <w:next w:val="Telotextu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lotextu">
    <w:name w:val="Telo textu"/>
    <w:semiHidden/>
    <w:rsid w:val="00cc5fbb"/>
    <w:basedOn w:val="Normal"/>
    <w:pPr>
      <w:spacing w:lineRule="auto" w:line="288" w:before="120" w:after="120"/>
    </w:pPr>
    <w:rPr>
      <w:rFonts w:ascii="Arial" w:hAnsi="Arial" w:eastAsia="Times New Roman" w:cs="Arial"/>
      <w:lang w:val="cs-CZ" w:eastAsia="cs-CZ"/>
    </w:rPr>
  </w:style>
  <w:style w:type="paragraph" w:styleId="Zoznam" w:customStyle="1">
    <w:name w:val="Zoznam"/>
    <w:basedOn w:val="Telotextu"/>
    <w:pPr/>
    <w:rPr>
      <w:rFonts w:cs="FreeSans"/>
    </w:rPr>
  </w:style>
  <w:style w:type="paragraph" w:styleId="Popis" w:customStyle="1">
    <w:name w:val="Popis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pPr>
      <w:suppressLineNumbers/>
    </w:pPr>
    <w:rPr>
      <w:rFonts w:cs="FreeSans"/>
    </w:rPr>
  </w:style>
  <w:style w:type="paragraph" w:styleId="NoSpacing">
    <w:name w:val="No Spacing"/>
    <w:uiPriority w:val="1"/>
    <w:qFormat/>
    <w:rsid w:val="001853e4"/>
    <w:pPr>
      <w:widowControl/>
      <w:suppressAutoHyphens w:val="true"/>
      <w:bidi w:val="0"/>
      <w:spacing w:lineRule="auto" w:line="240"/>
      <w:jc w:val="left"/>
    </w:pPr>
    <w:rPr>
      <w:rFonts w:ascii="Calibri" w:hAnsi="Calibri" w:cs="Calibri" w:eastAsia="Droid Sans Fallback"/>
      <w:color w:val="auto"/>
      <w:sz w:val="22"/>
      <w:szCs w:val="22"/>
      <w:lang w:val="en-US" w:eastAsia="en-US" w:bidi="ar-SA"/>
    </w:rPr>
  </w:style>
  <w:style w:type="paragraph" w:styleId="ListParagraph">
    <w:name w:val="List Paragraph"/>
    <w:uiPriority w:val="34"/>
    <w:qFormat/>
    <w:rsid w:val="00d72391"/>
    <w:basedOn w:val="Normal"/>
    <w:pPr>
      <w:spacing w:before="0" w:after="160"/>
      <w:ind w:left="720" w:right="0" w:hanging="0"/>
      <w:contextualSpacing/>
    </w:pPr>
    <w:rPr/>
  </w:style>
  <w:style w:type="paragraph" w:styleId="Revision">
    <w:name w:val="Revision"/>
    <w:uiPriority w:val="99"/>
    <w:semiHidden/>
    <w:rsid w:val="00407115"/>
    <w:pPr>
      <w:widowControl/>
      <w:suppressAutoHyphens w:val="true"/>
      <w:bidi w:val="0"/>
      <w:spacing w:lineRule="auto" w:line="240"/>
      <w:jc w:val="left"/>
    </w:pPr>
    <w:rPr>
      <w:rFonts w:ascii="Calibri" w:hAnsi="Calibri" w:cs="Calibri" w:eastAsia="Droid Sans Fallback"/>
      <w:color w:val="auto"/>
      <w:sz w:val="22"/>
      <w:szCs w:val="22"/>
      <w:lang w:val="en-US" w:eastAsia="en-US" w:bidi="ar-SA"/>
    </w:rPr>
  </w:style>
  <w:style w:type="paragraph" w:styleId="BalloonText">
    <w:name w:val="Balloon Text"/>
    <w:uiPriority w:val="99"/>
    <w:semiHidden/>
    <w:unhideWhenUsed/>
    <w:link w:val="BalloonTextChar"/>
    <w:rsid w:val="00d72391"/>
    <w:basedOn w:val="Normal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uiPriority w:val="99"/>
    <w:semiHidden/>
    <w:unhideWhenUsed/>
    <w:rsid w:val="00373402"/>
    <w:basedOn w:val="Normal"/>
    <w:pPr>
      <w:spacing w:before="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Obsahrmca">
    <w:name w:val="Obsah rámca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95377c"/>
    <w:pPr>
      <w:spacing w:line="240" w:lineRule="auto"/>
    </w:pPr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7.png"/><Relationship Id="rId3" Type="http://schemas.openxmlformats.org/officeDocument/2006/relationships/image" Target="media/image18.png"/><Relationship Id="rId4" Type="http://schemas.openxmlformats.org/officeDocument/2006/relationships/image" Target="media/image19.png"/><Relationship Id="rId5" Type="http://schemas.openxmlformats.org/officeDocument/2006/relationships/image" Target="media/image20.png"/><Relationship Id="rId6" Type="http://schemas.openxmlformats.org/officeDocument/2006/relationships/image" Target="media/image21.png"/><Relationship Id="rId7" Type="http://schemas.openxmlformats.org/officeDocument/2006/relationships/image" Target="media/image22.png"/><Relationship Id="rId8" Type="http://schemas.openxmlformats.org/officeDocument/2006/relationships/image" Target="media/image23.png"/><Relationship Id="rId9" Type="http://schemas.openxmlformats.org/officeDocument/2006/relationships/image" Target="media/image24.png"/><Relationship Id="rId10" Type="http://schemas.openxmlformats.org/officeDocument/2006/relationships/image" Target="media/image25.png"/><Relationship Id="rId11" Type="http://schemas.openxmlformats.org/officeDocument/2006/relationships/image" Target="media/image26.png"/><Relationship Id="rId12" Type="http://schemas.openxmlformats.org/officeDocument/2006/relationships/image" Target="media/image27.png"/><Relationship Id="rId13" Type="http://schemas.openxmlformats.org/officeDocument/2006/relationships/image" Target="media/image28.png"/><Relationship Id="rId14" Type="http://schemas.openxmlformats.org/officeDocument/2006/relationships/hyperlink" Target="http://ekonomika.idnes.cz/studie-proveditelnosti-k-analu-dunaj-odra-labe-fqx-/eko-doprava.aspx?c=A130915_234940_eko-doprava_top" TargetMode="External"/><Relationship Id="rId15" Type="http://schemas.openxmlformats.org/officeDocument/2006/relationships/image" Target="media/image29.png"/><Relationship Id="rId16" Type="http://schemas.openxmlformats.org/officeDocument/2006/relationships/hyperlink" Target="http://hafen-wien.com/en/home/unternehmen/daten" TargetMode="External"/><Relationship Id="rId17" Type="http://schemas.openxmlformats.org/officeDocument/2006/relationships/hyperlink" Target="http://www.ceskaplavba.cz/?s=3&amp;m=29&amp;sm=28" TargetMode="External"/><Relationship Id="rId18" Type="http://schemas.openxmlformats.org/officeDocument/2006/relationships/image" Target="media/image30.png"/><Relationship Id="rId19" Type="http://schemas.openxmlformats.org/officeDocument/2006/relationships/image" Target="media/image31.png"/><Relationship Id="rId20" Type="http://schemas.openxmlformats.org/officeDocument/2006/relationships/image" Target="media/image32.png"/><Relationship Id="rId21" Type="http://schemas.openxmlformats.org/officeDocument/2006/relationships/hyperlink" Target="" TargetMode="Externa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LibreOffice/4.2.7.2$Linux_X86_64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2014-11-27T14:30:00Z</dcterms:created>
  <dc:creator>Ivan Sevcik</dc:creator>
  <dc:language>sk-SK</dc:language>
  <cp:lastModifiedBy>Ivan Sevcik</cp:lastModifiedBy>
  <dcterms:modified xsi:type="dcterms:W3CDTF">2014-12-04T17:15:00Z</dcterms:modified>
  <cp:revision>37</cp:revision>
</cp:coreProperties>
</file>