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Spacing"/>
        <w:rPr>
          <w:lang w:val="sk-SK"/>
        </w:rPr>
      </w:pPr>
      <w:r>
        <w:rPr>
          <w:lang w:val="sk-SK"/>
        </w:rPr>
        <w:t>(8. PaVC)</w:t>
      </w:r>
    </w:p>
    <w:p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(10. PaVC)</w:t>
      </w:r>
    </w:p>
    <w:p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(15. PaVC)</w:t>
      </w:r>
    </w:p>
    <w:p>
      <w:pPr>
        <w:pStyle w:val="NoSpacing"/>
        <w:rPr>
          <w:lang w:val="sk-SK"/>
        </w:rPr>
      </w:pPr>
      <w:r>
        <w:rPr>
          <w:lang w:val="sk-SK"/>
        </w:rPr>
        <w:t>Zdroj alebo cieľ prepravy sú väčšinou námorné prístavy, v obmedzenom množstve však existuje a postupne vzniká preprava aj medzi dvoma vnútrozemskými prístavmi.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/>
        <w:t>(</w:t>
      </w:r>
      <w:r>
        <w:rPr>
          <w:lang w:val="sk-SK"/>
        </w:rPr>
        <w:t>16. PaVC)</w:t>
      </w:r>
    </w:p>
    <w:p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na kanále = 10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protiprúde Labe = 6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prúde Lave = 14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 na každom stupni = 30 minút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Preklad kontajnerov riečne plavidlo -</w:t>
      </w:r>
      <w:r>
        <w:rPr/>
        <w:t>&gt;</w:t>
      </w:r>
      <w:r>
        <w:rPr>
          <w:lang w:val="sk-SK"/>
        </w:rPr>
        <w:t xml:space="preserve"> námorné = 2 dni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Denná doba prevádzky = 23 hodín</w:t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(17. PaVC)</w:t>
      </w:r>
    </w:p>
    <w:p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Stredná hmotnosť kontajneru = 11t / TEU </w:t>
      </w:r>
      <w:r>
        <w:rPr/>
        <w:t xml:space="preserve">(TEU = 20 </w:t>
      </w:r>
      <w:r>
        <w:rPr>
          <w:lang w:val="sk-SK"/>
        </w:rPr>
        <w:t>stôp veľký kontajner)</w:t>
      </w:r>
    </w:p>
    <w:p>
      <w:pPr>
        <w:pStyle w:val="NoSpacing"/>
        <w:rPr>
          <w:lang w:val="sk-SK"/>
        </w:rPr>
      </w:pPr>
      <w:r>
        <w:rPr/>
        <w:drawing>
          <wp:inline distT="0" distB="0" distL="0" distR="0">
            <wp:extent cx="3967480" cy="436562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</w:p>
    <w:p>
      <w:pPr>
        <w:pStyle w:val="Normal"/>
        <w:spacing w:lineRule="auto" w:line="240" w:before="0" w:after="0"/>
        <w:rPr>
          <w:rFonts w:cs="Arial+2+1" w:ascii="Arial+2+1" w:hAnsi="Arial+2+1"/>
        </w:rPr>
      </w:pPr>
      <w:r>
        <w:rPr>
          <w:lang w:val="sk-SK"/>
        </w:rPr>
        <w:t>„</w:t>
      </w:r>
      <w:r>
        <w:rPr>
          <w:rFonts w:cs="Arial" w:ascii="Arial" w:hAnsi="Arial"/>
        </w:rPr>
        <w:t>Z tabulky vyplývá, že relace z oblasti jižní Moravy do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Constan</w:t>
      </w:r>
      <w:r>
        <w:rPr>
          <w:rFonts w:cs="Arial+2+1" w:ascii="Arial+2+1" w:hAnsi="Arial+2+1"/>
        </w:rPr>
        <w:t>ţ</w:t>
      </w:r>
      <w:r>
        <w:rPr>
          <w:rFonts w:cs="Arial" w:ascii="Arial" w:hAnsi="Arial"/>
        </w:rPr>
        <w:t>a je provozn</w:t>
      </w:r>
      <w:r>
        <w:rPr>
          <w:rFonts w:cs="Arial+2+1" w:ascii="Arial+2+1" w:hAnsi="Arial+2+1"/>
        </w:rPr>
        <w:t>ě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>zdaleka nejvýhodn</w:t>
      </w:r>
      <w:r>
        <w:rPr>
          <w:rFonts w:cs="Arial+2+1" w:ascii="Arial+2+1" w:hAnsi="Arial+2+1"/>
        </w:rPr>
        <w:t>ě</w:t>
      </w:r>
      <w:r>
        <w:rPr>
          <w:rFonts w:cs="Arial" w:ascii="Arial" w:hAnsi="Arial"/>
        </w:rPr>
        <w:t>jší Umož</w:t>
      </w:r>
      <w:r>
        <w:rPr>
          <w:rFonts w:cs="Arial+2+1" w:ascii="Arial+2+1" w:hAnsi="Arial+2+1"/>
        </w:rPr>
        <w:t>ň</w:t>
      </w:r>
      <w:r>
        <w:rPr>
          <w:rFonts w:cs="Arial" w:ascii="Arial" w:hAnsi="Arial"/>
        </w:rPr>
        <w:t>uje prakticky vždy ložení t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 vrstev kontejner</w:t>
      </w:r>
      <w:r>
        <w:rPr>
          <w:rFonts w:cs="Arial+2+1" w:ascii="Arial+2+1" w:hAnsi="Arial+2+1"/>
        </w:rPr>
        <w:t xml:space="preserve">ů </w:t>
      </w:r>
      <w:r>
        <w:rPr>
          <w:rFonts w:cs="Arial" w:ascii="Arial" w:hAnsi="Arial"/>
        </w:rPr>
        <w:t>(288 TEU)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 xml:space="preserve">v soupravách o dvou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lunech</w:t>
      </w:r>
      <w:r>
        <w:rPr>
          <w:rFonts w:cs="Arial" w:ascii="Arial" w:hAnsi="Arial"/>
          <w:sz w:val="14"/>
          <w:szCs w:val="14"/>
        </w:rPr>
        <w:t>25</w:t>
      </w:r>
      <w:r>
        <w:rPr>
          <w:rFonts w:cs="Arial" w:ascii="Arial" w:hAnsi="Arial"/>
        </w:rPr>
        <w:t>. Již po proplutí krátkého úseku k Dunaji je možno tyto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  <w:t xml:space="preserve">soupravy spojit a dopravovat ve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ty</w:t>
      </w:r>
      <w:r>
        <w:rPr>
          <w:rFonts w:cs="Arial+2+1" w:ascii="Arial+2+1" w:hAnsi="Arial+2+1"/>
        </w:rPr>
        <w:t>řč</w:t>
      </w:r>
      <w:r>
        <w:rPr>
          <w:rFonts w:cs="Arial" w:ascii="Arial" w:hAnsi="Arial"/>
        </w:rPr>
        <w:t>lunové souprav</w:t>
      </w:r>
      <w:r>
        <w:rPr>
          <w:rFonts w:cs="Arial+2+1" w:ascii="Arial+2+1" w:hAnsi="Arial+2+1"/>
        </w:rPr>
        <w:t xml:space="preserve">ě </w:t>
      </w:r>
      <w:r>
        <w:rPr>
          <w:rFonts w:cs="Arial" w:ascii="Arial" w:hAnsi="Arial"/>
        </w:rPr>
        <w:t>až k námo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nímu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576 TEU”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(21. PaVC)</w:t>
      </w:r>
    </w:p>
    <w:p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(28. PaVC)</w:t>
      </w:r>
    </w:p>
    <w:p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>
      <w:pPr>
        <w:pStyle w:val="NoSpacing"/>
        <w:rPr>
          <w:rFonts w:cs="Arial"/>
        </w:rPr>
      </w:pPr>
      <w:r>
        <w:rPr>
          <w:rFonts w:cs="Arial"/>
        </w:rPr>
        <w:t>Veľké motorové lode – 110x11,4 metra – pri dodržaní ponoru 2,8 metra – 2500t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 dané výškou mostou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(29. PaVC)</w:t>
      </w:r>
    </w:p>
    <w:p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(31. PaVC)</w:t>
      </w:r>
    </w:p>
    <w:p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Dunaj – Hodonín – väčší počet variantných trás, podmienené politikou, nie technikou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Krátky úsek pri Kroměříži – priechod mestom či obchvat?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Výstupná vetva Oderskej vetvy od lokality Buk k vrcholovej zdrži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Vrcholová zdrž Labskej vetvy medzi stupňami Střelice a Dvořisko: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Buď vysoká vrcholová zdrž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Alebo nižšia zdrž vyžadujúca dlhý tunel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(32. PaVC)</w:t>
      </w:r>
    </w:p>
    <w:p>
      <w:pPr>
        <w:pStyle w:val="NoSpacing"/>
        <w:rPr>
          <w:lang w:val="sk-SK"/>
        </w:rPr>
      </w:pPr>
      <w:r>
        <w:rPr>
          <w:lang w:val="sk-SK"/>
        </w:rPr>
        <w:t>Preferujú sa vysoké plavebné komory, lodné zdvíhadlá sú raritou.</w:t>
      </w:r>
    </w:p>
    <w:p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(34. PaVC)</w:t>
      </w:r>
    </w:p>
    <w:p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5 metrov  = 13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4 metre  = 12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Testy na R-M-D (4 až 4,25 metra):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Plne naložená loď – max rýchlosť = 11 km/h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Prázdna loď – max rýchlosť = 14-15 km/h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(35. PaVC)</w:t>
      </w:r>
    </w:p>
    <w:p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(38. PaVC)</w:t>
      </w:r>
    </w:p>
    <w:p>
      <w:pPr>
        <w:pStyle w:val="NoSpacing"/>
        <w:rPr>
          <w:lang w:val="sk-SK"/>
        </w:rPr>
      </w:pPr>
      <w:r>
        <w:rPr/>
        <w:t>Za rozumne dlhé plnenie a pr</w:t>
      </w:r>
      <w:r>
        <w:rPr>
          <w:lang w:val="sk-SK"/>
        </w:rPr>
        <w:t>ázdnenie plavebných komôr, jak vysokých tak nízkych, sa považuje 10-12 minút.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(43. PaVC)</w:t>
      </w:r>
    </w:p>
    <w:p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(44. PaVC)</w:t>
      </w:r>
    </w:p>
    <w:p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zdola – t1 = 516s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dolných vrát – t2 = 60s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plnenia komory: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Vysoké (27,5 metra) – t3 = 700s (2,36 m/min)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 xml:space="preserve">Nízke (12,5 metra) – t3 = 500s (1,5 m/min)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Otvorenie horných vrát – t4 = 30s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t5 = 355s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zhora – t6 = t1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horných vrát – t7 = t2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vyprázdnenia komory – t8 = t3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Otváranie spodných vrát – t9 = t4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t10 = t5</w:t>
      </w:r>
    </w:p>
    <w:p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>
      <w:pPr>
        <w:pStyle w:val="NoSpacing"/>
        <w:rPr>
          <w:lang w:val="sk-SK"/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(46. PaVC)</w:t>
      </w:r>
    </w:p>
    <w:p>
      <w:pPr>
        <w:pStyle w:val="NoSpacing"/>
        <w:rPr>
          <w:lang w:val="sk-SK"/>
        </w:rPr>
      </w:pPr>
      <w:r>
        <w:rPr/>
        <w:t>V p</w:t>
      </w:r>
      <w:r>
        <w:rPr>
          <w:lang w:val="sk-SK"/>
        </w:rPr>
        <w:t>rípade D-O-L je pravdepodobné, že plavidlá sa budú vracať po rovnakých trasách.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>
      <w:pPr>
        <w:pStyle w:val="NoSpacing"/>
        <w:rPr>
          <w:lang w:val="sk-SK"/>
        </w:rPr>
      </w:pPr>
      <w:r>
        <w:rPr>
          <w:lang w:val="sk-SK"/>
        </w:rPr>
        <w:t>Plavidlá sú vybavované v poradí ich príjazdu.</w:t>
      </w:r>
    </w:p>
    <w:p>
      <w:pPr>
        <w:pStyle w:val="NoSpacing"/>
        <w:rPr>
          <w:lang w:val="sk-SK"/>
        </w:rPr>
      </w:pPr>
      <w:r>
        <w:rPr>
          <w:lang w:val="sk-SK"/>
        </w:rPr>
        <w:t>(48. PaVC)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>
      <w:pPr>
        <w:pStyle w:val="NoSpacing"/>
        <w:rPr>
          <w:lang w:val="sk-SK"/>
        </w:rPr>
      </w:pPr>
      <w:r>
        <w:rPr>
          <w:lang w:val="sk-SK"/>
        </w:rPr>
        <w:t>V prípade D-O-L je dlhší tunel len na Labskej vetve.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(52. PaVC)</w:t>
      </w:r>
    </w:p>
    <w:p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(54. PaVC)</w:t>
      </w:r>
    </w:p>
    <w:p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(60. PaVC)</w:t>
      </w:r>
    </w:p>
    <w:p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(76. PaVC)</w:t>
      </w:r>
    </w:p>
    <w:p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1,85h 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(80. PaVC)</w:t>
      </w:r>
    </w:p>
    <w:p>
      <w:pPr>
        <w:pStyle w:val="Normal"/>
        <w:spacing w:lineRule="auto" w:line="240" w:before="0" w:after="0"/>
        <w:rPr>
          <w:rFonts w:cs="Arial"/>
        </w:rPr>
      </w:pPr>
      <w:r>
        <w:rPr>
          <w:rFonts w:cs="Arial"/>
        </w:rPr>
        <w:t>“</w:t>
      </w:r>
      <w:r>
        <w:rPr>
          <w:rFonts w:cs="Arial"/>
        </w:rPr>
        <w:t>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>ehu, Rudolticích, Ústí nad Orlicí a Chocni.”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(84. PaVC)</w:t>
      </w:r>
    </w:p>
    <w:p>
      <w:pPr>
        <w:pStyle w:val="NoSpacing"/>
        <w:rPr>
          <w:rFonts w:cs="Arial"/>
        </w:rPr>
      </w:pPr>
      <w:r>
        <w:rPr>
          <w:rFonts w:cs="Arial"/>
        </w:rPr>
        <w:t>Rýchlosť stavby, vid. tiez priloha 9h.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(90. PaVC)</w:t>
      </w:r>
    </w:p>
    <w:p>
      <w:pPr>
        <w:pStyle w:val="NoSpacing"/>
        <w:rPr>
          <w:rFonts w:cs="Arial"/>
        </w:rPr>
      </w:pPr>
      <w:r>
        <w:rPr>
          <w:rFonts w:cs="Arial"/>
        </w:rPr>
        <w:t>Podrobné náklady na údržbu a zabezpečenie funkcií vodného diela.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(93. PaVC)</w:t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Dunajská vetva 49,481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Oderská vetva až po Ostravu 44,681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Labská vetva 34,205 mil. t/rok</w:t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Vnútroštátne prepravy sa moc neuvažujú, ak by boli, tak by sa jednalo maximálne o desiatky km, a budú mať priamy charakter, maximálne prekládka na veľmi krátku vzdialenosť. Potenciálne suroviny ktoré sa tohto týkajú sú uvedené v tabuľke.</w:t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>
      <w:pPr>
        <w:pStyle w:val="NoSpacing"/>
        <w:rPr>
          <w:rStyle w:val="Strong"/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(113. PaVC)</w:t>
      </w:r>
    </w:p>
    <w:p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>
      <w:pPr>
        <w:pStyle w:val="NoSpacing"/>
        <w:rPr>
          <w:lang w:val="sk-SK"/>
        </w:rPr>
      </w:pPr>
      <w:r>
        <w:rPr>
          <w:lang w:val="sk-SK"/>
        </w:rPr>
        <w:t>Prepravy na Dunaji rastú veľmi dynamicky, trend potrvá aj niekoľko nasledujúcich rokov, nárast prepravných hustôt: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Gabčíkovo – o 5,28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Jochenstein – o 4,03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Prieplav Mohan – Dunaj – o 8,4</w:t>
      </w:r>
      <w:r>
        <w:rPr/>
        <w:t>% ročne</w:t>
      </w:r>
    </w:p>
    <w:p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rPr/>
        <w:t>% r</w:t>
      </w:r>
      <w:r>
        <w:rPr>
          <w:lang w:val="sk-SK"/>
        </w:rPr>
        <w:t>očne.</w:t>
      </w:r>
    </w:p>
    <w:p>
      <w:pPr>
        <w:pStyle w:val="NoSpacing"/>
        <w:rPr/>
      </w:pPr>
      <w:r>
        <w:rPr>
          <w:lang w:val="sk-SK"/>
        </w:rPr>
        <w:t>Striezlivý odhad nárastu prepravy na D-O-L – o 1</w:t>
      </w:r>
      <w:r>
        <w:rPr/>
        <w:t>% ročne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(115. PaVC</w:t>
      </w:r>
      <w:r>
        <w:rPr>
          <w:lang w:val="sk-SK"/>
        </w:rPr>
        <w:t>)</w:t>
      </w:r>
    </w:p>
    <w:p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a prístavné centru (VLPC) – VLC s prístavom.</w:t>
      </w:r>
    </w:p>
    <w:p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>
      <w:pPr>
        <w:pStyle w:val="NoSpacing"/>
        <w:rPr>
          <w:lang w:val="sk-SK"/>
        </w:rPr>
      </w:pPr>
      <w:r>
        <w:rPr>
          <w:lang w:val="sk-SK"/>
        </w:rPr>
        <w:t>Možné rozmiestnenie VLC / VLPC na území ČR – (117. PaVC tab. 38)</w:t>
      </w:r>
    </w:p>
    <w:p>
      <w:pPr>
        <w:pStyle w:val="NoSpacing"/>
        <w:rPr>
          <w:lang w:val="sk-SK"/>
        </w:rPr>
      </w:pPr>
      <w:r>
        <w:rPr>
          <w:lang w:val="sk-SK"/>
        </w:rPr>
        <w:t>Potrebné umiestnenie hospodárskych aktivít a podnikov v okolí VLPC – tab. 39.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(120. PaVC)</w:t>
      </w:r>
    </w:p>
    <w:p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jc w:val="left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3116"/>
        <w:gridCol w:w="3113"/>
        <w:gridCol w:w="3121"/>
      </w:tblGrid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0,0482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>
      <w:pPr>
        <w:pStyle w:val="NoSpacing"/>
        <w:rPr>
          <w:lang w:val="sk-SK"/>
        </w:rPr>
      </w:pPr>
      <w:r>
        <w:rPr>
          <w:lang w:val="sk-SK"/>
        </w:rPr>
        <w:t>Výber mýta = 0,01 €/tkm. Celkový zisk na mýte pri teoretickom čistom množstve prepravy = 144,8 mil. €/rok. Táto suma je určená pre investorov – na splatenie nákladov na stavbu atď. Možnosť porovnať túto sumu s experimentom.</w:t>
      </w:r>
    </w:p>
    <w:p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(151. PaVC)</w:t>
      </w:r>
    </w:p>
    <w:p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>
      <w:pPr>
        <w:pStyle w:val="Nadpis1"/>
        <w:rPr>
          <w:lang w:val="sk-SK"/>
        </w:rPr>
      </w:pPr>
      <w:r>
        <w:rPr>
          <w:lang w:val="sk-SK"/>
        </w:rPr>
        <w:t>(ZpravaFinal)</w:t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rPr/>
      </w:pPr>
      <w:r>
        <w:rPr/>
        <w:t>Základní technické parametry a pojmy</w:t>
      </w:r>
    </w:p>
    <w:p>
      <w:pPr>
        <w:pStyle w:val="Nadpis6"/>
        <w:rPr>
          <w:b w:val="false"/>
        </w:rPr>
      </w:pPr>
      <w:r>
        <w:rPr>
          <w:b w:val="false"/>
        </w:rPr>
        <w:t>V souladu s evropskou dohodou AGN a Vyhláškou MD č. 222/1995 Sb., ve znění pozdějších předpisů návrh respektuje:</w:t>
      </w:r>
    </w:p>
    <w:p>
      <w:pPr>
        <w:pStyle w:val="Nadpis6"/>
        <w:spacing w:before="120" w:after="0"/>
        <w:rPr>
          <w:bCs w:val="false"/>
          <w:iCs/>
        </w:rPr>
      </w:pPr>
      <w:r>
        <w:rPr>
          <w:bCs w:val="false"/>
          <w:iCs/>
        </w:rPr>
        <w:t>Požadavky stanovené pro třídu Vb, tj.: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>Rozměry tlačných sestav:</w:t>
        <w:tab/>
        <w:t xml:space="preserve">172 – 185 x 11,4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</w:rPr>
      </w:pPr>
      <w:r>
        <w:rPr>
          <w:rFonts w:cs="Arial" w:ascii="Arial" w:hAnsi="Arial"/>
        </w:rPr>
        <w:t>Ponor:</w:t>
        <w:tab/>
        <w:tab/>
        <w:tab/>
        <w:t xml:space="preserve">2,50 – 2,80 m </w:t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i/>
        </w:rPr>
      </w:pPr>
      <w:r>
        <w:rPr>
          <w:rFonts w:cs="Arial" w:ascii="Arial" w:hAnsi="Arial"/>
          <w:i/>
        </w:rPr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b/>
          <w:bCs/>
          <w:iCs/>
        </w:rPr>
      </w:pPr>
      <w:r>
        <w:rPr>
          <w:rFonts w:cs="Arial" w:ascii="Arial" w:hAnsi="Arial"/>
          <w:b/>
          <w:bCs/>
          <w:iCs/>
        </w:rPr>
        <w:t>Navrhované parametry plavební dráhy D-O-L:</w:t>
      </w:r>
    </w:p>
    <w:p>
      <w:pPr>
        <w:pStyle w:val="Normal"/>
        <w:tabs>
          <w:tab w:val="left" w:pos="454" w:leader="none"/>
        </w:tabs>
        <w:spacing w:lineRule="auto" w:line="288"/>
        <w:rPr>
          <w:rFonts w:cs="Arial" w:ascii="Arial" w:hAnsi="Arial"/>
          <w:iCs/>
        </w:rPr>
      </w:pPr>
      <w:r>
        <w:rPr>
          <w:rFonts w:cs="Arial" w:ascii="Arial" w:hAnsi="Arial"/>
          <w:i/>
          <w:iCs/>
        </w:rPr>
        <w:tab/>
      </w:r>
      <w:r>
        <w:rPr>
          <w:rFonts w:cs="Arial" w:ascii="Arial" w:hAnsi="Arial"/>
        </w:rPr>
        <w:t xml:space="preserve">Šířka dráhy na hladině / hloubka: </w:t>
        <w:br/>
      </w:r>
      <w:r>
        <w:rPr>
          <w:rFonts w:cs="Arial" w:ascii="Arial" w:hAnsi="Arial"/>
          <w:iCs/>
        </w:rPr>
        <w:t xml:space="preserve"> </w:t>
        <w:tab/>
        <w:tab/>
        <w:tab/>
        <w:t xml:space="preserve">- lichoběžníkový profil </w:t>
        <w:tab/>
        <w:t>54 / 4 m (nejbližší přirozenému profilu)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obdélníkový profil </w:t>
        <w:tab/>
        <w:t>40 / 4 m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složený profil </w:t>
        <w:tab/>
        <w:tab/>
        <w:t>42,5 / 4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Minimální směrový oblouk: </w:t>
        <w:tab/>
        <w:tab/>
        <w:t>R = 800 m (rozšíření v oblouku: + 21,25 m)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Ponor : </w:t>
        <w:tab/>
        <w:tab/>
        <w:tab/>
        <w:tab/>
        <w:t>2,80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Rozměry plavební komory </w:t>
        <w:tab/>
        <w:tab/>
        <w:t xml:space="preserve">max. 190 x 12,5 m, hloubka 4,0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Výška hrany navrhovaných mostů </w:t>
        <w:br/>
        <w:t xml:space="preserve">nad nejvyšší plavební hladinou: </w:t>
        <w:tab/>
        <w:t>7,0 m (3 vrstvy kontejnerů)</w:t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iCs/>
        </w:rPr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</w:rPr>
      </w:pPr>
      <w:r>
        <w:rPr>
          <w:rFonts w:cs="Arial" w:ascii="Arial" w:hAnsi="Arial"/>
        </w:rPr>
        <w:t xml:space="preserve">Pro účely této studie zpracovatel vymezuje následující </w:t>
      </w:r>
      <w:r>
        <w:rPr>
          <w:rFonts w:cs="Arial" w:ascii="Arial" w:hAnsi="Arial"/>
          <w:bCs/>
        </w:rPr>
        <w:t>pojmy:</w:t>
        <w:tab/>
      </w:r>
      <w:r>
        <w:rPr>
          <w:rFonts w:cs="Arial" w:ascii="Arial" w:hAnsi="Arial"/>
        </w:rPr>
        <w:tab/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Průplav </w:t>
      </w:r>
      <w:r>
        <w:rPr>
          <w:rFonts w:cs="Arial" w:ascii="Arial" w:hAnsi="Arial"/>
          <w:iCs/>
        </w:rPr>
        <w:t>(průplavní úsek):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</w:rPr>
        <w:tab/>
      </w:r>
      <w:r>
        <w:rPr>
          <w:rFonts w:cs="Arial" w:ascii="Arial" w:hAnsi="Arial"/>
          <w:iCs/>
        </w:rPr>
        <w:t xml:space="preserve">umělá vodní cesta, která překonává rozvodí dvou vodních toků, </w:t>
        <w:br/>
        <w:t xml:space="preserve"> </w:t>
        <w:tab/>
        <w:tab/>
        <w:tab/>
        <w:tab/>
        <w:tab/>
        <w:t>příp. moří a</w:t>
      </w:r>
      <w:r>
        <w:rPr>
          <w:rFonts w:cs="Arial" w:ascii="Arial" w:hAnsi="Arial"/>
          <w:b/>
          <w:bCs/>
          <w:iCs/>
        </w:rPr>
        <w:t xml:space="preserve"> </w:t>
      </w:r>
      <w:r>
        <w:rPr>
          <w:rFonts w:cs="Arial" w:ascii="Arial" w:hAnsi="Arial"/>
          <w:iCs/>
        </w:rPr>
        <w:t>vyznačuje se plavebními komorami o spádu cca 25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Plavební kanál </w:t>
      </w:r>
      <w:r>
        <w:rPr>
          <w:rFonts w:cs="Arial" w:ascii="Arial" w:hAnsi="Arial"/>
          <w:iCs/>
        </w:rPr>
        <w:t>(kanálový úsek):</w:t>
      </w: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Cs/>
        </w:rPr>
        <w:t xml:space="preserve">vodní cesta mimo koryto vodního toku, která obchází pro </w:t>
        <w:br/>
        <w:t xml:space="preserve"> </w:t>
        <w:tab/>
        <w:tab/>
        <w:tab/>
        <w:tab/>
        <w:tab/>
        <w:t xml:space="preserve">plavbu nepříznivé místo a vyznačuje se plavebními komorami </w:t>
        <w:br/>
        <w:t xml:space="preserve"> </w:t>
        <w:tab/>
        <w:tab/>
        <w:tab/>
        <w:tab/>
        <w:tab/>
        <w:t>o maximálním spádu do cca 10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>Říční úsek: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  <w:iCs/>
        </w:rPr>
        <w:tab/>
        <w:tab/>
        <w:tab/>
      </w:r>
      <w:r>
        <w:rPr>
          <w:rFonts w:cs="Arial" w:ascii="Arial" w:hAnsi="Arial"/>
          <w:iCs/>
        </w:rPr>
        <w:t>vodní cesta vedená v koridoru vodního toku.</w:t>
      </w:r>
    </w:p>
    <w:p>
      <w:pPr>
        <w:pStyle w:val="Normal"/>
        <w:tabs>
          <w:tab w:val="left" w:pos="454" w:leader="none"/>
        </w:tabs>
        <w:spacing w:lineRule="auto" w:line="288" w:before="120" w:after="160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spacing w:before="120" w:after="0"/>
        <w:rPr/>
      </w:pPr>
      <w:r>
        <w:rPr/>
        <w:t>Základní charakteristiky jednotlivých větví D-O-L</w:t>
      </w:r>
    </w:p>
    <w:p>
      <w:pPr>
        <w:pStyle w:val="Nadpis6"/>
        <w:numPr>
          <w:ilvl w:val="0"/>
          <w:numId w:val="2"/>
        </w:numPr>
        <w:rPr/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rPr/>
        <w:t>Rokytnice – Bohumín (– Szczecin)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98 km </w:t>
      </w:r>
      <w:r>
        <w:rPr>
          <w:b w:val="false"/>
          <w:caps w:val="false"/>
          <w:smallCaps w:val="false"/>
          <w:sz w:val="20"/>
          <w:szCs w:val="20"/>
        </w:rPr>
        <w:t>(Bohumín; varianta pravobřežní – 102,34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91 km (var. 95,34 km); cca 92,8 – 97,3% z celkové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>7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>):</w:t>
        <w:tab/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/ 275,00 m n. m., tj. 50 m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275,00 / 197,00 (resp. 182,00) m n.m., tj. 78 m (resp. 93 m)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275,00 m n .m., </w:t>
        <w:br/>
        <w:t xml:space="preserve"> </w:t>
        <w:tab/>
        <w:tab/>
        <w:tab/>
        <w:tab/>
        <w:tab/>
        <w:t>délka 36,525 km</w:t>
      </w:r>
    </w:p>
    <w:p>
      <w:pPr>
        <w:pStyle w:val="Normal"/>
        <w:rPr/>
      </w:pPr>
      <w:r>
        <w:rPr/>
      </w:r>
    </w:p>
    <w:p>
      <w:pPr>
        <w:pStyle w:val="Telotextu"/>
        <w:rPr/>
      </w:pPr>
      <w:r>
        <w:rPr/>
      </w:r>
    </w:p>
    <w:p>
      <w:pPr>
        <w:pStyle w:val="Telotextu"/>
        <w:spacing w:before="0" w:after="0"/>
        <w:jc w:val="right"/>
        <w:rPr/>
      </w:pPr>
      <w:r>
        <w:rPr>
          <w:sz w:val="16"/>
          <w:szCs w:val="16"/>
        </w:rPr>
        <w:t>Tab. 5</w:t>
      </w:r>
      <w:r>
        <w:rPr/>
        <w:t xml:space="preserve"> </w:t>
      </w:r>
    </w:p>
    <w:tbl>
      <w:tblPr>
        <w:jc w:val="left"/>
        <w:tblInd w:w="463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898"/>
        <w:gridCol w:w="3421"/>
        <w:gridCol w:w="2068"/>
        <w:gridCol w:w="2252"/>
      </w:tblGrid>
      <w:tr>
        <w:trPr>
          <w:tblHeader w:val="true"/>
          <w:cantSplit w:val="false"/>
        </w:trPr>
        <w:tc>
          <w:tcPr>
            <w:tcW w:w="863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Poř. číslo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(v m) </w:t>
            </w:r>
          </w:p>
        </w:tc>
      </w:tr>
      <w:tr>
        <w:trPr>
          <w:cantSplit w:val="false"/>
        </w:trPr>
        <w:tc>
          <w:tcPr>
            <w:tcW w:w="8639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Buk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8,8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Trnávka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16,5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Kunín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53,0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Petřvald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69,0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Proskovice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73,6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Vyškovice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76,4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Svinov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81,7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5,3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Přívoz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87,6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7,2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Bohumín (pravobřežní varianta)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102 2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8639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Jezernice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21,9 – 23,2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1 260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Bělotín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34,3 – 35,6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1 300</w:t>
            </w:r>
          </w:p>
        </w:tc>
      </w:tr>
      <w:tr>
        <w:trPr>
          <w:cantSplit w:val="false"/>
        </w:trPr>
        <w:tc>
          <w:tcPr>
            <w:tcW w:w="8639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8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Bartošovice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60,3 – 60,5</w:t>
            </w:r>
          </w:p>
        </w:tc>
        <w:tc>
          <w:tcPr>
            <w:tcW w:w="22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160</w:t>
            </w:r>
          </w:p>
        </w:tc>
      </w:tr>
    </w:tbl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</w:r>
    </w:p>
    <w:p>
      <w:pPr>
        <w:pStyle w:val="Nadpis6"/>
        <w:numPr>
          <w:ilvl w:val="0"/>
          <w:numId w:val="2"/>
        </w:numPr>
        <w:spacing w:before="120" w:after="0"/>
        <w:rPr>
          <w:bCs w:val="false"/>
        </w:rPr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rPr/>
        <w:t xml:space="preserve"> </w:t>
      </w:r>
      <w:r>
        <w:rPr>
          <w:bCs w:val="false"/>
        </w:rPr>
        <w:t>Rokytnice – Břeclav / Kúty (– Wien / Bratislava)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120 km </w:t>
      </w:r>
      <w:r>
        <w:rPr>
          <w:b w:val="false"/>
          <w:caps w:val="false"/>
          <w:smallCaps w:val="false"/>
          <w:sz w:val="20"/>
          <w:szCs w:val="20"/>
        </w:rPr>
        <w:t>(variantně přes Břeclav 118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14 km; 11,7% z celkové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 xml:space="preserve">20 km (var.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43 km); 16,7% (35,8%) z celk.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 xml:space="preserve">86 km (variantně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61 km)</w:t>
      </w:r>
    </w:p>
    <w:p>
      <w:pPr>
        <w:pStyle w:val="Nadpis3"/>
        <w:jc w:val="left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(min./max.): 225,00 / 153,00 (variantně 155,00) m n.m., tj. 72 m (var. 70 m)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88" w:before="40" w:after="160"/>
        <w:jc w:val="right"/>
        <w:rPr>
          <w:rFonts w:cs="Arial" w:ascii="Arial" w:hAnsi="Arial"/>
          <w:sz w:val="16"/>
        </w:rPr>
      </w:pPr>
      <w:r>
        <w:rPr>
          <w:rFonts w:cs="Arial" w:ascii="Arial" w:hAnsi="Arial"/>
          <w:sz w:val="16"/>
        </w:rPr>
        <w:t>Tab. 6</w:t>
      </w:r>
    </w:p>
    <w:tbl>
      <w:tblPr>
        <w:jc w:val="left"/>
        <w:tblInd w:w="463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3598"/>
        <w:gridCol w:w="2068"/>
        <w:gridCol w:w="2973"/>
      </w:tblGrid>
      <w:tr>
        <w:trPr>
          <w:tblHeader w:val="true"/>
          <w:cantSplit w:val="false"/>
        </w:trPr>
        <w:tc>
          <w:tcPr>
            <w:tcW w:w="8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m)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Rokytnice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0,7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Zářičí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11,5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Kroměříž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4,8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Bělov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37,4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Uherské Hradiště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54,2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6,6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Rohatec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83,0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11,4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Hodonín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92,0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4,7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Tvrdonice (varianty A,B - říční)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107,9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Mikulčice (varianta C - přes Břeclav)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99,1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3,5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108,1 – 108,8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700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</w:tr>
    </w:tbl>
    <w:p>
      <w:pPr>
        <w:pStyle w:val="Telotextu"/>
        <w:rPr/>
      </w:pPr>
      <w:r>
        <w:rPr/>
      </w:r>
    </w:p>
    <w:p>
      <w:pPr>
        <w:pStyle w:val="Nadpis6"/>
        <w:numPr>
          <w:ilvl w:val="0"/>
          <w:numId w:val="2"/>
        </w:numPr>
        <w:spacing w:before="0" w:after="0"/>
        <w:rPr>
          <w:szCs w:val="22"/>
        </w:rPr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  <w:tab/>
      </w:r>
      <w:r>
        <w:rPr>
          <w:caps w:val="false"/>
          <w:smallCaps w:val="false"/>
          <w:sz w:val="20"/>
          <w:szCs w:val="20"/>
        </w:rPr>
        <w:t xml:space="preserve">154 km </w:t>
      </w:r>
      <w:r>
        <w:rPr>
          <w:b w:val="false"/>
          <w:bCs w:val="false"/>
          <w:caps w:val="false"/>
          <w:smallCaps w:val="false"/>
          <w:sz w:val="20"/>
          <w:szCs w:val="20"/>
        </w:rPr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 xml:space="preserve">144 km; 93,5% z celkové délky větve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>10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 xml:space="preserve">): 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225,00 - 405,00, tj. 180 m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405,00 – 217,50, tj. 187,5 m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390 - 415 m n .m. </w:t>
        <w:br/>
        <w:t xml:space="preserve"> </w:t>
        <w:tab/>
        <w:tab/>
        <w:tab/>
        <w:tab/>
        <w:tab/>
        <w:t xml:space="preserve">(optimální 405,00), délka 14,0 km, tunel délky cca 5 200 m </w:t>
        <w:tab/>
      </w:r>
    </w:p>
    <w:p>
      <w:pPr>
        <w:pStyle w:val="Telotextu"/>
        <w:spacing w:before="120" w:after="0"/>
        <w:jc w:val="right"/>
        <w:rPr>
          <w:sz w:val="16"/>
          <w:szCs w:val="16"/>
        </w:rPr>
      </w:pPr>
      <w:r>
        <w:rPr>
          <w:sz w:val="16"/>
          <w:szCs w:val="16"/>
        </w:rPr>
        <w:t>Tab. 7</w:t>
      </w:r>
    </w:p>
    <w:tbl>
      <w:tblPr>
        <w:jc w:val="left"/>
        <w:tblInd w:w="463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3598"/>
        <w:gridCol w:w="2068"/>
        <w:gridCol w:w="2973"/>
      </w:tblGrid>
      <w:tr>
        <w:trPr>
          <w:tblHeader w:val="true"/>
          <w:cantSplit w:val="false"/>
        </w:trPr>
        <w:tc>
          <w:tcPr>
            <w:tcW w:w="8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Výška PK / Délka TJ, A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</w:t>
              <w:br/>
              <w:t xml:space="preserve">(v m) 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(PK)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Střelice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43,7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51,3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Kozov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60,5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Pečíkov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65,8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Petrůvka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67,6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Radkov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68,2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Gruna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70,0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Voděrady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114,3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Chotěšiny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115,8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Vračovice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117,9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Zálší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118,8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Dvořisko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122,9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Turov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138,8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Černá za Bory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152,5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(TJ-jednolodní)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52,2 – 53,0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820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Třebovice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93,6 – 96,2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2 560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96,8 – 98,3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Řetová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107,1 – 109,1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2 000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Řetůvka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110,8 – 113,2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2 350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Vraclav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128,5 – 128,7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240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53,4 – 53,7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98,7 – 98,9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180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102,7 – 103,4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750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 II.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103,8 – 104,4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600</w:t>
            </w:r>
          </w:p>
        </w:tc>
      </w:tr>
      <w:tr>
        <w:trPr>
          <w:cantSplit w:val="false"/>
        </w:trPr>
        <w:tc>
          <w:tcPr>
            <w:tcW w:w="3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x MJ Slatina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124,6 - 125,4 </w:t>
            </w:r>
          </w:p>
        </w:tc>
        <w:tc>
          <w:tcPr>
            <w:tcW w:w="29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103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775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Prístavy:</w:t>
      </w:r>
    </w:p>
    <w:p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>
      <w:pPr>
        <w:pStyle w:val="Nadpis1"/>
        <w:rPr/>
      </w:pPr>
      <w:r>
        <w:rPr/>
        <w:br/>
        <w:t>(Doprava</w:t>
      </w:r>
      <w:bookmarkStart w:id="0" w:name="_GoBack"/>
      <w:bookmarkEnd w:id="0"/>
      <w:r>
        <w:rPr/>
        <w:t>Kombi)</w:t>
      </w:r>
    </w:p>
    <w:p>
      <w:pPr>
        <w:pStyle w:val="NoSpacing"/>
        <w:rPr>
          <w:lang w:val="sk-SK"/>
        </w:rPr>
      </w:pPr>
      <w:r>
        <w:rPr>
          <w:lang w:val="sk-SK"/>
        </w:rPr>
        <w:t>Kanalizačný tok v zime rýchlejšie zamŕza</w:t>
      </w:r>
    </w:p>
    <w:p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>
      <w:pPr>
        <w:pStyle w:val="NoSpacing"/>
        <w:rPr>
          <w:lang w:val="sk-SK"/>
        </w:rPr>
      </w:pPr>
      <w:r>
        <w:rPr>
          <w:lang w:val="sk-SK"/>
        </w:rPr>
        <w:t>Rýchlosť lode na vodnej ceste sa pohybuje okolo 10 km/h, podľa charakteru vodnej trasy sa dá dosiahnuť až 20 km/h (Dunaj). Maximálna manévrovacia rýchlosť v prístave a podobných stavbách je 1 m/s.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Podstatné typy plavebn</w:t>
      </w:r>
      <w:r>
        <w:rPr>
          <w:lang w:val="sk-SK"/>
        </w:rPr>
        <w:t>ých komôr: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na vodnom stupni za sebou: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jednostupňové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viacstupňové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umiestnených vedľa seba: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jednoduché (jednolodné alebo vlakové)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dvojité – dve rovnaké / rozdielnych rozmerov komory vedľa seba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trojité – tri komory rôznych rozmerov vedľa seba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preplavujúcich sa lodí: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Jednolodné – jedna loď alebo jeden čln s remorkérom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vlakové – umožňujú preplávanie celej lodnej zostavy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spôsobu preplávania: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jednosmerné preplávanie – plavidlá sa preplavujú len jedným smerom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obojsmerné preplávanie – plavidlá sa striedavo preplavujú nahor a nadol</w:t>
      </w:r>
    </w:p>
    <w:p>
      <w:pPr>
        <w:pStyle w:val="Normal"/>
        <w:spacing w:lineRule="auto" w:line="240" w:before="0" w:after="0"/>
        <w:rPr>
          <w:rFonts w:cs="TimesNewRoman" w:ascii="TimesNewRoman" w:hAnsi="TimesNewRoman"/>
        </w:rPr>
      </w:pPr>
      <w:r>
        <w:rPr>
          <w:rFonts w:cs="TimesNewRoman" w:ascii="TimesNewRoman" w:hAnsi="TimesNewRoman"/>
        </w:rPr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,BoldItalic"/>
          <w:b/>
          <w:bCs/>
          <w:i/>
          <w:iCs/>
        </w:rPr>
        <w:t xml:space="preserve">Plavební období </w:t>
      </w:r>
      <w:r>
        <w:rPr>
          <w:rFonts w:cs="TimesNewRoman"/>
        </w:rPr>
        <w:t>je doba plavby v roce. Plavební provoz může být v průběhu roku vlivem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určitých plavebních poměrů a podmínek na nějakou dobu přerušen. Přerušení plavby můžou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zapříčinit tyto vlivy: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zámraza vodní cesty </w:t>
      </w:r>
      <w:r>
        <w:rPr>
          <w:rFonts w:cs="TimesNewRoman"/>
        </w:rPr>
        <w:t>na určitý čas v roce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extrémní vodní stavy </w:t>
      </w:r>
      <w:r>
        <w:rPr>
          <w:rFonts w:cs="TimesNewRoman"/>
        </w:rPr>
        <w:t>– nízký a vysoký plavební stav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,Italic"/>
          <w:i/>
          <w:iCs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>rekonstrukční a udržovací práce na vodní cestě</w:t>
      </w:r>
    </w:p>
    <w:p>
      <w:pPr>
        <w:pStyle w:val="NoSpacing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překážky v provozu </w:t>
      </w:r>
      <w:r>
        <w:rPr>
          <w:rFonts w:cs="TimesNewRoman"/>
        </w:rPr>
        <w:t>– nánosy po velkých vodách</w:t>
      </w:r>
    </w:p>
    <w:p>
      <w:pPr>
        <w:pStyle w:val="NoSpacing"/>
        <w:rPr>
          <w:rFonts w:cs="TimesNewRoman"/>
        </w:rPr>
      </w:pPr>
      <w:r>
        <w:rPr>
          <w:rFonts w:cs="TimesNewRoman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>útrozemské prístavy v sieti vodných ciest predstavujú miesta (uzly), v ktorých dochádza k priamemu obchodnému styku zákazníkov a prepravcov, a kde je možnosť priameho napojenia na ostatné druhy dopravy prekladom tovaru. Každý prístav má 3 časti: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Akvatoriálna časť – vodná plocha prístavu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Prístavné nábrežie – prístavné hrany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Teritoriálna časť – suchozemská časť prístavu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Kapacita prístavu: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Kpr = Lh . kh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Lh …celková délka překládacích hran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kh … kapacita na 1 bm hrany (t/m.rok)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500 až 1000 t/m.rok, při některých hromadných substrátech však může být i 10000t/m.rok.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Potřebná hodnota Lh se určuje: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Lh = n . Lp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Lp …délka jedné překládací (přístavní) polohy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počet překládacích (přistávacích) poloh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 xml:space="preserve">Lp = Lčl + Lr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g t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Q 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Kde: Lčl … délka člunu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Lr … délka přístavního remorkéru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 … bezpečnostní vzdálenost (5 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Q … střední denní obrat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norma obsluhy překládané lodě (h)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g … průměrný náklad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 … počet hodin práce za den (h)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(23,4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komory do 10m 3-5min plnenia a vyprazdnenia, nad 10m 12-15min, vzorec pre vypocet strednej doby plnenia (viac menej 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(44-45,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</w:t>
      </w:r>
      <w:r>
        <w:rPr>
          <w:rFonts w:cs="TimesNewRoman"/>
          <w:lang w:val="sk-SK"/>
        </w:rPr>
        <w:t>-||-                     devin-hodonin(suvis s variantami koridorov)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koridor kategorie Vb polomer min 800m, sirka 68.3m...usek Kroměříž 600m, sirka 50m =&gt; minanie lodi o max dlzke 110m a 11.4m sirke, preplavenie 1 o max dlzke 180, a 11.4m (kat. Vb); Nutno zdvihnut most o 1.6m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varianta 2: umely kanal-ziadne obmedzenia, vyssia investicia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(3, srovnani)</w:t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hromadneho zbozi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kontajnerov</w:t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t>(6, srovnani) lode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100 – 110 m, šířku 11,4 m a kon-strukční ponor 3,5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Souprava sestávající z velké motorové nákladní lodi (GMS) a jednoho tlačného člunu (Koppelverband).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priloha 6,7,8,9 investicie</w:t>
      </w:r>
    </w:p>
    <w:p>
      <w:pPr>
        <w:pStyle w:val="NoSpacing"/>
        <w:rPr/>
      </w:pPr>
      <w:r>
        <w:rPr/>
        <w:t>priloha 14 potencial prepravy na DOL</w:t>
      </w:r>
    </w:p>
    <w:p>
      <w:pPr>
        <w:pStyle w:val="NoSpacing"/>
        <w:rPr/>
      </w:pPr>
      <w:r>
        <w:rPr/>
        <w:t>priloha 15 odhady preprav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+2+1">
    <w:charset w:val="01"/>
    <w:family w:val="roman"/>
    <w:pitch w:val="variable"/>
  </w:font>
  <w:font w:name="TimesNewRoman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QFormat="0" w:defUnhideWhenUsed="0" w:count="371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0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0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uiPriority="0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815233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Nadpis1">
    <w:name w:val="Nadpis 1"/>
    <w:uiPriority w:val="9"/>
    <w:qFormat/>
    <w:link w:val="Heading1Char"/>
    <w:rsid w:val="003a34fd"/>
    <w:basedOn w:val="Normal"/>
    <w:next w:val="Normal"/>
    <w:pPr>
      <w:keepNext/>
      <w:keepLines/>
      <w:spacing w:before="240" w:after="0"/>
      <w:outlineLvl w:val="0"/>
    </w:pPr>
    <w:rPr>
      <w:rFonts w:ascii="Calibri Light" w:hAnsi="Calibri Light" w:cs=""/>
      <w:color w:val="2E74B5"/>
      <w:sz w:val="32"/>
      <w:szCs w:val="32"/>
    </w:rPr>
  </w:style>
  <w:style w:type="paragraph" w:styleId="Nadpis3">
    <w:name w:val="Nadpis 3"/>
    <w:qFormat/>
    <w:link w:val="Heading3Char"/>
    <w:rsid w:val="00cc5fbb"/>
    <w:basedOn w:val="Normal"/>
    <w:next w:val="Normal"/>
    <w:pPr>
      <w:tabs>
        <w:tab w:val="left" w:pos="454" w:leader="none"/>
      </w:tabs>
      <w:spacing w:lineRule="auto" w:line="288" w:before="120" w:after="0"/>
      <w:jc w:val="both"/>
      <w:outlineLvl w:val="2"/>
    </w:pPr>
    <w:rPr>
      <w:rFonts w:ascii="Arial" w:hAnsi="Arial" w:eastAsia="Times New Roman" w:cs="Arial"/>
      <w:b/>
      <w:bCs/>
      <w:caps/>
      <w:lang w:val="cs-CZ" w:eastAsia="cs-CZ"/>
    </w:rPr>
  </w:style>
  <w:style w:type="paragraph" w:styleId="Nadpis6">
    <w:name w:val="Nadpis 6"/>
    <w:qFormat/>
    <w:link w:val="Heading6Char"/>
    <w:rsid w:val="00cc5fbb"/>
    <w:basedOn w:val="Normal"/>
    <w:next w:val="Normal"/>
    <w:pPr>
      <w:keepNext/>
      <w:tabs>
        <w:tab w:val="left" w:pos="454" w:leader="none"/>
      </w:tabs>
      <w:spacing w:lineRule="auto" w:line="288" w:before="240" w:after="0"/>
      <w:jc w:val="both"/>
      <w:outlineLvl w:val="5"/>
    </w:pPr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nseEmphasis">
    <w:name w:val="Intense Emphasis"/>
    <w:uiPriority w:val="21"/>
    <w:qFormat/>
    <w:rsid w:val="00bc43d2"/>
    <w:basedOn w:val="DefaultParagraphFont"/>
    <w:rPr>
      <w:i/>
      <w:iCs/>
      <w:color w:val="5B9BD5"/>
    </w:rPr>
  </w:style>
  <w:style w:type="character" w:styleId="Strong">
    <w:name w:val="Strong"/>
    <w:uiPriority w:val="22"/>
    <w:qFormat/>
    <w:rsid w:val="00bc43d2"/>
    <w:basedOn w:val="DefaultParagraphFont"/>
    <w:rPr>
      <w:b/>
      <w:bCs/>
    </w:rPr>
  </w:style>
  <w:style w:type="character" w:styleId="Heading3Char" w:customStyle="1">
    <w:name w:val="Heading 3 Char"/>
    <w:link w:val="Heading3"/>
    <w:rsid w:val="00cc5fbb"/>
    <w:basedOn w:val="DefaultParagraphFont"/>
    <w:rPr>
      <w:rFonts w:ascii="Arial" w:hAnsi="Arial" w:eastAsia="Times New Roman" w:cs="Arial"/>
      <w:b/>
      <w:bCs/>
      <w:caps/>
      <w:lang w:val="cs-CZ" w:eastAsia="cs-CZ"/>
    </w:rPr>
  </w:style>
  <w:style w:type="character" w:styleId="Heading6Char" w:customStyle="1">
    <w:name w:val="Heading 6 Char"/>
    <w:link w:val="Heading6"/>
    <w:rsid w:val="00cc5fbb"/>
    <w:basedOn w:val="DefaultParagraphFont"/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BodyTextChar" w:customStyle="1">
    <w:name w:val="Body Text Char"/>
    <w:semiHidden/>
    <w:link w:val="BodyText"/>
    <w:rsid w:val="00cc5fbb"/>
    <w:basedOn w:val="DefaultParagraphFont"/>
    <w:rPr>
      <w:rFonts w:ascii="Arial" w:hAnsi="Arial" w:eastAsia="Times New Roman" w:cs="Arial"/>
      <w:lang w:val="cs-CZ" w:eastAsia="cs-CZ"/>
    </w:rPr>
  </w:style>
  <w:style w:type="character" w:styleId="Heading1Char" w:customStyle="1">
    <w:name w:val="Heading 1 Char"/>
    <w:uiPriority w:val="9"/>
    <w:link w:val="Heading1"/>
    <w:rsid w:val="003a34fd"/>
    <w:basedOn w:val="DefaultParagraphFont"/>
    <w:rPr>
      <w:rFonts w:ascii="Calibri Light" w:hAnsi="Calibri Light" w:cs=""/>
      <w:color w:val="2E74B5"/>
      <w:sz w:val="32"/>
      <w:szCs w:val="32"/>
    </w:rPr>
  </w:style>
  <w:style w:type="character" w:styleId="ListLabel1">
    <w:name w:val="ListLabel 1"/>
    <w:rPr>
      <w:rFonts w:cs="Calibri"/>
    </w:rPr>
  </w:style>
  <w:style w:type="character" w:styleId="ListLabel2">
    <w:name w:val="ListLabel 2"/>
    <w:rPr>
      <w:rFonts w:cs="Courier New"/>
    </w:rPr>
  </w:style>
  <w:style w:type="character" w:styleId="ListLabel3">
    <w:name w:val="ListLabel 3"/>
    <w:rPr>
      <w:rFonts w:cs="Calibri"/>
    </w:rPr>
  </w:style>
  <w:style w:type="character" w:styleId="ListLabel4">
    <w:name w:val="ListLabel 4"/>
    <w:rPr>
      <w:rFonts w:cs="Courier New"/>
    </w:rPr>
  </w:style>
  <w:style w:type="character" w:styleId="ListLabel5">
    <w:name w:val="ListLabel 5"/>
    <w:rPr>
      <w:rFonts w:cs="Wingdings"/>
    </w:rPr>
  </w:style>
  <w:style w:type="character" w:styleId="ListLabel6">
    <w:name w:val="ListLabel 6"/>
    <w:rPr>
      <w:rFonts w:cs="Symbol"/>
    </w:rPr>
  </w:style>
  <w:style w:type="paragraph" w:styleId="Nadpis">
    <w:name w:val="Nadpis"/>
    <w:basedOn w:val="Normal"/>
    <w:next w:val="Telotextu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lotextu">
    <w:name w:val="Telo textu"/>
    <w:semiHidden/>
    <w:link w:val="BodyTextChar"/>
    <w:rsid w:val="00cc5fbb"/>
    <w:basedOn w:val="Normal"/>
    <w:pPr>
      <w:spacing w:lineRule="auto" w:line="288" w:before="120" w:after="120"/>
    </w:pPr>
    <w:rPr>
      <w:rFonts w:ascii="Arial" w:hAnsi="Arial" w:eastAsia="Times New Roman" w:cs="Arial"/>
      <w:lang w:val="cs-CZ" w:eastAsia="cs-CZ"/>
    </w:rPr>
  </w:style>
  <w:style w:type="paragraph" w:styleId="Zoznam">
    <w:name w:val="Zoznam"/>
    <w:basedOn w:val="Telotextu"/>
    <w:pPr/>
    <w:rPr>
      <w:rFonts w:cs="FreeSans"/>
    </w:rPr>
  </w:style>
  <w:style w:type="paragraph" w:styleId="Popis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ListParagraph">
    <w:name w:val="List Paragraph"/>
    <w:uiPriority w:val="34"/>
    <w:qFormat/>
    <w:rsid w:val="00f024be"/>
    <w:basedOn w:val="Normal"/>
    <w:pPr>
      <w:spacing w:before="0" w:after="16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5377c"/>
    <w:pPr>
      <w:spacing w:line="240" w:after="0" w:lineRule="auto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2014-11-27T14:30:00Z</dcterms:created>
  <dc:creator>Ivan Sevcik</dc:creator>
  <dc:language>sk-SK</dc:language>
  <cp:lastModifiedBy>Ivan Sevcik</cp:lastModifiedBy>
  <dcterms:modified xsi:type="dcterms:W3CDTF">2014-11-28T01:34:00Z</dcterms:modified>
  <cp:revision>34</cp:revision>
</cp:coreProperties>
</file>