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t>数据工程相关内容</w:t>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t>本文详细阐述了数据工程的整体目标，包括构建稳定数据流转链路，保证数据可用性、完整性等特性，支持多阶段使用场景。介绍了数据来源，如甲方提供和自主收集，自主收集又包含手动采集、网页爬虫、调用开放接口、AI生成数据等方式，并以微调训练金融科技领域问答模型为例说明AI生成数据流程。阐述了数据清洗与预处理，去除无效信息、规范文本结构等。说明了数据标注与格式化，有自动标注、人工标注、AI辅助+人工校对等标注方式，以及问答、多轮对话、分类任务的数据集结构标准化和统一存储格式。提到数据审查与质检，审查空文本、文本长度等内容，有自动规则校验等常规校验机制。讲解了文本去重与相似性筛查，通过Embedding模型转向量计算相似度去重。强调了数据统计与版本控制，记录数据处理指标并建立版本控制机制。还提及数据安全与隐私保护，如敏感字段脱敏、权限分级等。同时给出了AI生成数据、数据清洗、语义去重的Python示例代码。</w:t>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