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relative post performance</w:t>
      </w:r>
    </w:p>
    <w:p>
      <w:pPr>
        <w:pStyle w:val="Subtitle"/>
      </w:pPr>
      <w:r>
        <w:t>Social Media Analytics Lab 1 report</w:t>
      </w:r>
    </w:p>
    <w:p>
      <w:r>
        <w:rPr>
          <w:b w:val="0"/>
        </w:rPr>
        <w:t>The final solution achieved macro-F1 0.6390 on the official test set, compared with 0.5403 for the original baseline, a gain of 9.87 percentage points. It predicts whether a post performs below, near or above its author’s usual reaction level. Two gradient boosting models use author history, post structure and text. A fixed decision rule assigns labels from their blended probabilities.</w:t>
      </w:r>
    </w:p>
    <w:p>
      <w:pPr>
        <w:pStyle w:val="Heading1"/>
        <w:keepNext/>
      </w:pPr>
      <w:r>
        <w:t>Task and evaluation</w:t>
      </w:r>
    </w:p>
    <w:p>
      <w:r>
        <w:rPr>
          <w:b w:val="0"/>
        </w:rPr>
        <w:t>Labels measure performance relative to the author; a raw reaction count alone does not determine the class. The reference level is the median of log-transformed reaction counts over the author’s earlier own posts, with at least five required. The current post’s deviation is classified using the 20th and 80th percentiles of training residuals. Test uses the same thresholds. The first five posts have no label but can contribute history.</w:t>
      </w:r>
    </w:p>
    <w:p>
      <w:r>
        <w:rPr>
          <w:b w:val="0"/>
        </w:rPr>
        <w:t>The official split has 71,395 train posts from 3,295 authors and 17,623 test posts from 824 authors. Each author belongs entirely to train or test. Initial experiments used a fixed author holdout within train, with 56,847 fitting posts and 14,548 validation posts. Finalists were compared on three fixed author folds. Each out-of-fold prediction (OOF) comes from a model trained without that post’s author.</w:t>
      </w:r>
    </w:p>
    <w:p>
      <w:r>
        <w:rPr>
          <w:b w:val="0"/>
        </w:rPr>
        <w:t>Macro-F1 is the main metric because it weights the three classes equally. QWK used quadratic error weights: 0 for a correct prediction, 1 for confusing adjacent classes and 4 for confusing below with above. On the official test, it rose from 0.4603 for the baseline to 0.5741 for the final solution (+0.1138). QWK did not guide the choice of features, models or parameters. Each training partition has its own fitted text transforms, scaling and category encoding. A post’s current reactions, residual and label are excluded from its input features. The models use available text and structural metadata, without encoding video or image content.</w:t>
      </w:r>
    </w:p>
    <w:p>
      <w:pPr>
        <w:pStyle w:val="Heading1"/>
        <w:keepNext/>
      </w:pPr>
      <w:r>
        <w:t>Author history and post structure</w:t>
      </w:r>
    </w:p>
    <w:p>
      <w:r>
        <w:rPr>
          <w:b w:val="0"/>
        </w:rPr>
        <w:t>The baseline uses scikit-learn’s HistGradientBoostingClassifier (HGB) with 16 numeric features and content type. Its inputs describe text shape, timing, author level and historical spread, posting gaps, followers, post age and history size. The first experiments tested whether recent changes in an author’s history and departures from their usual writing behaviour would improve predictions of relative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7632"/>
        <w:gridCol w:w="2362"/>
      </w:tblGrid>
      <w:tr>
        <w:trPr>
          <w:cantSplit/>
          <w:tblHeader/>
        </w:trPr>
        <w:tc>
          <w:tcPr>
            <w:tcW w:type="dxa" w:w="7632"/>
            <w:vAlign w:val="center"/>
            <w:shd w:fill="E8EFF4"/>
          </w:tcPr>
          <w:p>
            <w:pPr>
              <w:keepNext/>
              <w:spacing w:after="0" w:line="252" w:lineRule="auto"/>
              <w:jc w:val="left"/>
            </w:pPr>
            <w:r>
              <w:rPr>
                <w:b/>
                <w:sz w:val="21"/>
              </w:rPr>
              <w:t>Initial holdout experiment</w:t>
            </w:r>
          </w:p>
        </w:tc>
        <w:tc>
          <w:tcPr>
            <w:tcW w:type="dxa" w:w="2362"/>
            <w:vAlign w:val="center"/>
            <w:shd w:fill="E8EFF4"/>
          </w:tcPr>
          <w:p>
            <w:pPr>
              <w:keepNext/>
              <w:spacing w:after="0" w:line="252" w:lineRule="auto"/>
              <w:jc w:val="center"/>
            </w:pPr>
            <w:r>
              <w:rPr>
                <w:b/>
                <w:sz w:val="21"/>
              </w:rPr>
              <w:t>Macro-F1</w:t>
            </w:r>
          </w:p>
        </w:tc>
      </w:tr>
      <w:tr>
        <w:trPr>
          <w:cantSplit/>
        </w:trPr>
        <w:tc>
          <w:tcPr>
            <w:tcW w:type="dxa" w:w="7632"/>
            <w:vAlign w:val="center"/>
          </w:tcPr>
          <w:p>
            <w:pPr>
              <w:keepNext w:val="0"/>
              <w:spacing w:after="0" w:line="252" w:lineRule="auto"/>
              <w:jc w:val="left"/>
            </w:pPr>
            <w:r>
              <w:rPr>
                <w:b w:val="0"/>
                <w:sz w:val="21"/>
              </w:rPr>
              <w:t>Baseline E0</w:t>
            </w:r>
          </w:p>
        </w:tc>
        <w:tc>
          <w:tcPr>
            <w:tcW w:type="dxa" w:w="2362"/>
            <w:vAlign w:val="center"/>
          </w:tcPr>
          <w:p>
            <w:pPr>
              <w:keepNext w:val="0"/>
              <w:spacing w:after="0" w:line="252" w:lineRule="auto"/>
              <w:jc w:val="center"/>
            </w:pPr>
            <w:r>
              <w:rPr>
                <w:b w:val="0"/>
                <w:sz w:val="21"/>
              </w:rPr>
              <w:t>0.5568</w:t>
            </w:r>
          </w:p>
        </w:tc>
      </w:tr>
      <w:tr>
        <w:trPr>
          <w:cantSplit/>
        </w:trPr>
        <w:tc>
          <w:tcPr>
            <w:tcW w:type="dxa" w:w="7632"/>
            <w:vAlign w:val="center"/>
          </w:tcPr>
          <w:p>
            <w:pPr>
              <w:keepNext w:val="0"/>
              <w:spacing w:after="0" w:line="252" w:lineRule="auto"/>
              <w:jc w:val="left"/>
            </w:pPr>
            <w:r>
              <w:rPr>
                <w:b w:val="0"/>
                <w:sz w:val="21"/>
              </w:rPr>
              <w:t>E0 plus recent five-post history</w:t>
            </w:r>
          </w:p>
        </w:tc>
        <w:tc>
          <w:tcPr>
            <w:tcW w:type="dxa" w:w="2362"/>
            <w:vAlign w:val="center"/>
          </w:tcPr>
          <w:p>
            <w:pPr>
              <w:keepNext w:val="0"/>
              <w:spacing w:after="0" w:line="252" w:lineRule="auto"/>
              <w:jc w:val="center"/>
            </w:pPr>
            <w:r>
              <w:rPr>
                <w:b w:val="0"/>
                <w:sz w:val="21"/>
              </w:rPr>
              <w:t>0.5684</w:t>
            </w:r>
          </w:p>
        </w:tc>
      </w:tr>
      <w:tr>
        <w:trPr>
          <w:cantSplit/>
        </w:trPr>
        <w:tc>
          <w:tcPr>
            <w:tcW w:type="dxa" w:w="7632"/>
            <w:vAlign w:val="center"/>
          </w:tcPr>
          <w:p>
            <w:pPr>
              <w:keepNext w:val="0"/>
              <w:spacing w:after="0" w:line="252" w:lineRule="auto"/>
              <w:jc w:val="left"/>
            </w:pPr>
            <w:r>
              <w:rPr>
                <w:b w:val="0"/>
                <w:sz w:val="21"/>
              </w:rPr>
              <w:t>E0 plus style and attachment features</w:t>
            </w:r>
          </w:p>
        </w:tc>
        <w:tc>
          <w:tcPr>
            <w:tcW w:type="dxa" w:w="2362"/>
            <w:vAlign w:val="center"/>
          </w:tcPr>
          <w:p>
            <w:pPr>
              <w:keepNext w:val="0"/>
              <w:spacing w:after="0" w:line="252" w:lineRule="auto"/>
              <w:jc w:val="center"/>
            </w:pPr>
            <w:r>
              <w:rPr>
                <w:b w:val="0"/>
                <w:sz w:val="21"/>
              </w:rPr>
              <w:t>0.5877</w:t>
            </w:r>
          </w:p>
        </w:tc>
      </w:tr>
      <w:tr>
        <w:trPr>
          <w:cantSplit/>
        </w:trPr>
        <w:tc>
          <w:tcPr>
            <w:tcW w:type="dxa" w:w="7632"/>
            <w:vAlign w:val="center"/>
          </w:tcPr>
          <w:p>
            <w:pPr>
              <w:keepNext w:val="0"/>
              <w:spacing w:after="0" w:line="252" w:lineRule="auto"/>
              <w:jc w:val="left"/>
            </w:pPr>
            <w:r>
              <w:rPr>
                <w:b w:val="0"/>
                <w:sz w:val="21"/>
              </w:rPr>
              <w:t>E0 plus mention and repost features</w:t>
            </w:r>
          </w:p>
        </w:tc>
        <w:tc>
          <w:tcPr>
            <w:tcW w:type="dxa" w:w="2362"/>
            <w:vAlign w:val="center"/>
          </w:tcPr>
          <w:p>
            <w:pPr>
              <w:keepNext w:val="0"/>
              <w:spacing w:after="0" w:line="252" w:lineRule="auto"/>
              <w:jc w:val="center"/>
            </w:pPr>
            <w:r>
              <w:rPr>
                <w:b w:val="0"/>
                <w:sz w:val="21"/>
              </w:rPr>
              <w:t>0.5725</w:t>
            </w:r>
          </w:p>
        </w:tc>
      </w:tr>
      <w:tr>
        <w:trPr>
          <w:cantSplit/>
        </w:trPr>
        <w:tc>
          <w:tcPr>
            <w:tcW w:type="dxa" w:w="7632"/>
            <w:vAlign w:val="center"/>
          </w:tcPr>
          <w:p>
            <w:pPr>
              <w:keepNext w:val="0"/>
              <w:spacing w:after="0" w:line="252" w:lineRule="auto"/>
              <w:jc w:val="left"/>
            </w:pPr>
            <w:r>
              <w:rPr>
                <w:b w:val="0"/>
                <w:sz w:val="21"/>
              </w:rPr>
              <w:t>All tabular blocks combined as E2</w:t>
            </w:r>
          </w:p>
        </w:tc>
        <w:tc>
          <w:tcPr>
            <w:tcW w:type="dxa" w:w="2362"/>
            <w:vAlign w:val="center"/>
          </w:tcPr>
          <w:p>
            <w:pPr>
              <w:keepNext w:val="0"/>
              <w:spacing w:after="0" w:line="252" w:lineRule="auto"/>
              <w:jc w:val="center"/>
            </w:pPr>
            <w:r>
              <w:rPr>
                <w:b w:val="0"/>
                <w:sz w:val="21"/>
              </w:rPr>
              <w:t>0.6073</w:t>
            </w:r>
          </w:p>
        </w:tc>
      </w:tr>
    </w:tbl>
    <w:p>
      <w:pPr>
        <w:spacing w:after="20" w:before="0" w:line="240" w:lineRule="auto"/>
      </w:pPr>
      <w:r>
        <w:rPr>
          <w:sz w:val="4"/>
        </w:rPr>
      </w:r>
    </w:p>
    <w:p>
      <w:pPr>
        <w:keepNext/>
      </w:pPr>
      <w:r>
        <w:rPr>
          <w:b w:val="0"/>
        </w:rPr>
        <w:t>Together, the blocks provide 45 numeric features. Examples from each group are:</w:t>
      </w:r>
    </w:p>
    <w:p>
      <w:pPr>
        <w:pStyle w:val="ListBullet"/>
        <w:keepNext/>
        <w:keepLines/>
      </w:pPr>
      <w:r>
        <w:t>16 original features include the character count of the author's own text, publication hour and the author's usual reaction level.</w:t>
      </w:r>
    </w:p>
    <w:p>
      <w:pPr>
        <w:pStyle w:val="ListBullet"/>
        <w:keepNext/>
        <w:keepLines/>
      </w:pPr>
      <w:r>
        <w:t>5 history and rhythm features include the level of the last five posts relative to the full earlier history, the change between the last five and preceding five posts, and the current posting gap relative to the median of the five preceding gaps.</w:t>
      </w:r>
    </w:p>
    <w:p>
      <w:pPr>
        <w:pStyle w:val="ListBullet"/>
        <w:keepNext/>
        <w:keepLines/>
      </w:pPr>
      <w:r>
        <w:t>15 style and attachment features include image count, document page count and the deviation of log-transformed own-text length from its median over the author's past posts.</w:t>
      </w:r>
    </w:p>
    <w:p>
      <w:pPr>
        <w:pStyle w:val="ListBullet"/>
        <w:keepLines/>
      </w:pPr>
      <w:r>
        <w:t>9 mention and repost features include counts of mentioned people and companies, the number of organisations appearing for the first time in the author's history, and flags for a shared post and whether its publisher is a person or a company.</w:t>
      </w:r>
    </w:p>
    <w:p>
      <w:pPr/>
      <w:r>
        <w:t>Content type remains categorical. The table compares each addition with E0, so the gains cannot be added together. A longer recent window was less useful: extending it from five to ten posts lowered macro-F1 from 0.5684 to 0.5658. Adding unusual posting gaps then raised it to 0.5708.</w:t>
      </w:r>
    </w:p>
    <w:p>
      <w:pPr>
        <w:pStyle w:val="Heading1"/>
        <w:keepNext/>
        <w:pageBreakBefore w:val="0"/>
        <w:spacing w:before="220"/>
      </w:pPr>
      <w:r>
        <w:t>Representing text and similar posts</w:t>
      </w:r>
    </w:p>
    <w:p>
      <w:r>
        <w:rPr>
          <w:b w:val="0"/>
        </w:rPr>
        <w:t>The text experiments compared two representations to test whether wording adds information beyond recent author statistics. TF-IDF uses words and bigrams, up to 60,000 features, a minimum document frequency of three and logarithmic term frequency. Its input includes original and quoted text, titles and available document text. TruncatedSVD reduces this to 128 coordinates for boosting. Both transforms are fitted separately inside each training split.</w:t>
      </w:r>
    </w:p>
    <w:p>
      <w:r>
        <w:rPr>
          <w:b w:val="0"/>
        </w:rPr>
        <w:t>Frozen multilingual-e5-small is the second text feature extractor. It produces 384 normalised coordinates without updating its weights from task labels. The 512-token input uses the query prefix and prioritises the author’s own text, followed by quoted text, the post’s titles and available document 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7632"/>
        <w:gridCol w:w="2362"/>
      </w:tblGrid>
      <w:tr>
        <w:trPr>
          <w:cantSplit/>
          <w:tblHeader/>
        </w:trPr>
        <w:tc>
          <w:tcPr>
            <w:tcW w:type="dxa" w:w="7632"/>
            <w:vAlign w:val="center"/>
            <w:shd w:fill="E8EFF4"/>
          </w:tcPr>
          <w:p>
            <w:pPr>
              <w:keepNext/>
              <w:spacing w:after="0" w:line="252" w:lineRule="auto"/>
              <w:jc w:val="left"/>
            </w:pPr>
            <w:r>
              <w:rPr>
                <w:b/>
                <w:sz w:val="21"/>
              </w:rPr>
              <w:t>Initial holdout text experiment</w:t>
            </w:r>
          </w:p>
        </w:tc>
        <w:tc>
          <w:tcPr>
            <w:tcW w:type="dxa" w:w="2362"/>
            <w:vAlign w:val="center"/>
            <w:shd w:fill="E8EFF4"/>
          </w:tcPr>
          <w:p>
            <w:pPr>
              <w:keepNext/>
              <w:spacing w:after="0" w:line="252" w:lineRule="auto"/>
              <w:jc w:val="center"/>
            </w:pPr>
            <w:r>
              <w:rPr>
                <w:b/>
                <w:sz w:val="21"/>
              </w:rPr>
              <w:t>Macro-F1</w:t>
            </w:r>
          </w:p>
        </w:tc>
      </w:tr>
      <w:tr>
        <w:trPr>
          <w:cantSplit/>
        </w:trPr>
        <w:tc>
          <w:tcPr>
            <w:tcW w:type="dxa" w:w="7632"/>
            <w:vAlign w:val="center"/>
          </w:tcPr>
          <w:p>
            <w:pPr>
              <w:keepNext w:val="0"/>
              <w:spacing w:after="0" w:line="252" w:lineRule="auto"/>
              <w:jc w:val="left"/>
            </w:pPr>
            <w:r>
              <w:rPr>
                <w:b w:val="0"/>
                <w:sz w:val="21"/>
              </w:rPr>
              <w:t>Original text only with logistic regression</w:t>
            </w:r>
          </w:p>
        </w:tc>
        <w:tc>
          <w:tcPr>
            <w:tcW w:type="dxa" w:w="2362"/>
            <w:vAlign w:val="center"/>
          </w:tcPr>
          <w:p>
            <w:pPr>
              <w:keepNext w:val="0"/>
              <w:spacing w:after="0" w:line="252" w:lineRule="auto"/>
              <w:jc w:val="center"/>
            </w:pPr>
            <w:r>
              <w:rPr>
                <w:b w:val="0"/>
                <w:sz w:val="21"/>
              </w:rPr>
              <w:t>0.4475</w:t>
            </w:r>
          </w:p>
        </w:tc>
      </w:tr>
      <w:tr>
        <w:trPr>
          <w:cantSplit/>
        </w:trPr>
        <w:tc>
          <w:tcPr>
            <w:tcW w:type="dxa" w:w="7632"/>
            <w:vAlign w:val="center"/>
          </w:tcPr>
          <w:p>
            <w:pPr>
              <w:keepNext w:val="0"/>
              <w:spacing w:after="0" w:line="252" w:lineRule="auto"/>
              <w:jc w:val="left"/>
            </w:pPr>
            <w:r>
              <w:rPr>
                <w:b w:val="0"/>
                <w:sz w:val="21"/>
              </w:rPr>
              <w:t>Enriched text only with logistic regression</w:t>
            </w:r>
          </w:p>
        </w:tc>
        <w:tc>
          <w:tcPr>
            <w:tcW w:type="dxa" w:w="2362"/>
            <w:vAlign w:val="center"/>
          </w:tcPr>
          <w:p>
            <w:pPr>
              <w:keepNext w:val="0"/>
              <w:spacing w:after="0" w:line="252" w:lineRule="auto"/>
              <w:jc w:val="center"/>
            </w:pPr>
            <w:r>
              <w:rPr>
                <w:b w:val="0"/>
                <w:sz w:val="21"/>
              </w:rPr>
              <w:t>0.4638</w:t>
            </w:r>
          </w:p>
        </w:tc>
      </w:tr>
      <w:tr>
        <w:trPr>
          <w:cantSplit/>
        </w:trPr>
        <w:tc>
          <w:tcPr>
            <w:tcW w:type="dxa" w:w="7632"/>
            <w:vAlign w:val="center"/>
          </w:tcPr>
          <w:p>
            <w:pPr>
              <w:keepNext w:val="0"/>
              <w:spacing w:after="0" w:line="252" w:lineRule="auto"/>
              <w:jc w:val="left"/>
            </w:pPr>
            <w:r>
              <w:rPr>
                <w:b w:val="0"/>
                <w:sz w:val="21"/>
              </w:rPr>
              <w:t>E2 plus 128 SVD coordinates with HGB</w:t>
            </w:r>
          </w:p>
        </w:tc>
        <w:tc>
          <w:tcPr>
            <w:tcW w:type="dxa" w:w="2362"/>
            <w:vAlign w:val="center"/>
          </w:tcPr>
          <w:p>
            <w:pPr>
              <w:keepNext w:val="0"/>
              <w:spacing w:after="0" w:line="252" w:lineRule="auto"/>
              <w:jc w:val="center"/>
            </w:pPr>
            <w:r>
              <w:rPr>
                <w:b w:val="0"/>
                <w:sz w:val="21"/>
              </w:rPr>
              <w:t>0.6247</w:t>
            </w:r>
          </w:p>
        </w:tc>
      </w:tr>
      <w:tr>
        <w:trPr>
          <w:cantSplit/>
        </w:trPr>
        <w:tc>
          <w:tcPr>
            <w:tcW w:type="dxa" w:w="7632"/>
            <w:vAlign w:val="center"/>
          </w:tcPr>
          <w:p>
            <w:pPr>
              <w:keepNext w:val="0"/>
              <w:spacing w:after="0" w:line="252" w:lineRule="auto"/>
              <w:jc w:val="left"/>
            </w:pPr>
            <w:r>
              <w:rPr>
                <w:b w:val="0"/>
                <w:sz w:val="21"/>
              </w:rPr>
              <w:t>E2 plus 384 E5 coordinates with HGB</w:t>
            </w:r>
          </w:p>
        </w:tc>
        <w:tc>
          <w:tcPr>
            <w:tcW w:type="dxa" w:w="2362"/>
            <w:vAlign w:val="center"/>
          </w:tcPr>
          <w:p>
            <w:pPr>
              <w:keepNext w:val="0"/>
              <w:spacing w:after="0" w:line="252" w:lineRule="auto"/>
              <w:jc w:val="center"/>
            </w:pPr>
            <w:r>
              <w:rPr>
                <w:b w:val="0"/>
                <w:sz w:val="21"/>
              </w:rPr>
              <w:t>0.6250</w:t>
            </w:r>
          </w:p>
        </w:tc>
      </w:tr>
    </w:tbl>
    <w:p>
      <w:pPr>
        <w:spacing w:after="20" w:before="0" w:line="240" w:lineRule="auto"/>
      </w:pPr>
      <w:r>
        <w:rPr>
          <w:sz w:val="4"/>
        </w:rPr>
      </w:r>
    </w:p>
    <w:p>
      <w:r>
        <w:rPr>
          <w:b w:val="0"/>
        </w:rPr>
        <w:t>Text alone scored below the tabular baseline. Both representations helped when combined with author context. Another experiment replaced the full text vector with scalar similarities to the author’s earlier posts. Adding the performance of similar predecessors brought macro-F1 to 0.6115 with SVD and 0.6169 with E5. The full-vector models still scored higher, so the complete text representations were retained.</w:t>
      </w:r>
    </w:p>
    <w:p>
      <w:r>
        <w:rPr>
          <w:b w:val="0"/>
        </w:rPr>
        <w:t>The first three-fold comparison selected a mixture of 25% E2 and 75% E2 plus E5 as V1, with OOF macro-F1 0.624701. The corresponding SVD mixture scored 0.621574. The gap between the two mixtures was 0.313 percentage points, so E5 alone does not explain the overall improvement.</w:t>
      </w:r>
    </w:p>
    <w:p>
      <w:pPr>
        <w:pStyle w:val="Heading1"/>
        <w:keepNext/>
      </w:pPr>
      <w:r>
        <w:t>Model families and feature selection</w:t>
      </w:r>
    </w:p>
    <w:p>
      <w:pPr>
        <w:keepNext/>
      </w:pPr>
      <w:r>
        <w:t>The second stage compared three HGB variants, labelled A, B and C according to their input features. These letters identify model families; all use the same three author folds.</w:t>
      </w:r>
    </w:p>
    <w:p>
      <w:pPr>
        <w:pStyle w:val="ListBullet"/>
        <w:keepNext/>
      </w:pPr>
      <w:r>
        <w:t>A uses the E2 feature set: 45 numeric tabular features and categorical content type.</w:t>
      </w:r>
    </w:p>
    <w:p>
      <w:pPr>
        <w:pStyle w:val="ListBullet"/>
        <w:keepNext/>
      </w:pPr>
      <w:r>
        <w:t>B adds the 384 coordinates from frozen E5 to A’s inputs.</w:t>
      </w:r>
    </w:p>
    <w:p>
      <w:pPr>
        <w:pStyle w:val="ListBullet"/>
      </w:pPr>
      <w:r>
        <w:t>C adds 128 TF-IDF/SVD coordinates to A’s inputs.</w:t>
      </w:r>
    </w:p>
    <w:p>
      <w:pPr/>
      <w:r>
        <w:t>Each new block was tested separately within each family, against that family without the block and with tree parameters held fixed. We kept a block if it improved pooled OOF macro-F1 by at least 0.2 percentage points, improved at least two of the three folds and lost no more than 0.5 points on any fold. A rejected block was omitted from that family; the family itself remained available for tuning and blending.</w:t>
      </w:r>
    </w:p>
    <w:p>
      <w:pPr>
        <w:pStyle w:val="Heading1"/>
        <w:keepNext/>
      </w:pPr>
      <w:r>
        <w:t>Similar posts from other authors</w:t>
      </w:r>
    </w:p>
    <w:p>
      <w:r>
        <w:rPr>
          <w:b w:val="0"/>
        </w:rPr>
        <w:t>The KNN experiment tested whether the performance of earlier, similar posts by other authors helps predict a new post. Retrieval uses cosine similarity between E5 vectors, including for the model that uses SVD coordinates as its text features. It selects up to 20 different fitting authors, with at most one post per author. Each neighbour must precede the query. The experiments compared all prior history with a 180-day window.</w:t>
      </w:r>
    </w:p>
    <w:p>
      <w:pPr>
        <w:keepNext/>
      </w:pPr>
      <w:r>
        <w:t>KNN supplies nine extra numeric inputs to the boosting model. Each neighbour’s known label and residual describe that neighbour’s performance relative to its own author. The features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7171"/>
      </w:tblGrid>
      <w:tr>
        <w:trPr>
          <w:cantSplit/>
          <w:tblHeader/>
        </w:trPr>
        <w:tc>
          <w:tcPr>
            <w:tcW w:type="dxa" w:w="2333"/>
            <w:vAlign w:val="center"/>
            <w:tcMar>
              <w:top w:w="70" w:type="dxa"/>
              <w:bottom w:w="70" w:type="dxa"/>
              <w:left w:w="90" w:type="dxa"/>
              <w:right w:w="90" w:type="dxa"/>
            </w:tcMar>
            <w:shd w:fill="EAF0F6"/>
          </w:tcPr>
          <w:p>
            <w:pPr>
              <w:spacing w:before="0" w:after="0" w:line="240" w:lineRule="auto"/>
            </w:pPr>
            <w:r>
              <w:rPr>
                <w:rFonts w:ascii="Arial" w:hAnsi="Arial"/>
                <w:b/>
                <w:color w:val="000000"/>
                <w:sz w:val="21"/>
              </w:rPr>
              <w:t>Feature</w:t>
            </w:r>
          </w:p>
        </w:tc>
        <w:tc>
          <w:tcPr>
            <w:tcW w:type="dxa" w:w="7171"/>
            <w:vAlign w:val="center"/>
            <w:tcMar>
              <w:top w:w="70" w:type="dxa"/>
              <w:bottom w:w="70" w:type="dxa"/>
              <w:left w:w="90" w:type="dxa"/>
              <w:right w:w="90" w:type="dxa"/>
            </w:tcMar>
            <w:shd w:fill="EAF0F6"/>
          </w:tcPr>
          <w:p>
            <w:pPr>
              <w:spacing w:before="0" w:after="0" w:line="240" w:lineRule="auto"/>
            </w:pPr>
            <w:r>
              <w:rPr>
                <w:rFonts w:ascii="Arial" w:hAnsi="Arial"/>
                <w:b/>
                <w:color w:val="000000"/>
                <w:sz w:val="21"/>
              </w:rPr>
              <w:t>Calculation or meaning</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1. Below fraction</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Sum of weights of below neighbours divided by the total weight.</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2. Typical fraction</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Sum of weights of typical neighbours divided by the total weight.</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3. Above fraction</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Sum of weights of above neighbours divided by the total weight.</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4. Mean residual</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Weighted mean of each neighbour’s log-transformed reactions minus its own author’s historical level.</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5. Mean similarity</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Ordinary mean cosine similarity to the current post.</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6. Maximum similarity</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Highest cosine similarity among the selected neighbours.</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7. Mean age</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Ordinary mean number of days from each neighbour’s publication to the current post’s publication.</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8. Neighbour count</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Number of selected neighbours, from 0 to 20.</w:t>
            </w:r>
          </w:p>
        </w:tc>
      </w:tr>
      <w:tr>
        <w:trPr>
          <w:cantSplit/>
        </w:trPr>
        <w:tc>
          <w:tcPr>
            <w:tcW w:type="dxa" w:w="2333"/>
            <w:vAlign w:val="center"/>
            <w:tcMar>
              <w:top w:w="70" w:type="dxa"/>
              <w:bottom w:w="70" w:type="dxa"/>
              <w:left w:w="90" w:type="dxa"/>
              <w:right w:w="90" w:type="dxa"/>
            </w:tcMar>
          </w:tcPr>
          <w:p>
            <w:pPr>
              <w:spacing w:before="0" w:after="0" w:line="240" w:lineRule="auto"/>
            </w:pPr>
            <w:r>
              <w:rPr>
                <w:rFonts w:ascii="Arial" w:hAnsi="Arial"/>
                <w:b w:val="0"/>
                <w:color w:val="000000"/>
                <w:sz w:val="21"/>
              </w:rPr>
              <w:t>9. Missing signal</w:t>
            </w:r>
          </w:p>
        </w:tc>
        <w:tc>
          <w:tcPr>
            <w:tcW w:type="dxa" w:w="7171"/>
            <w:vAlign w:val="center"/>
            <w:tcMar>
              <w:top w:w="70" w:type="dxa"/>
              <w:bottom w:w="70" w:type="dxa"/>
              <w:left w:w="90" w:type="dxa"/>
              <w:right w:w="90" w:type="dxa"/>
            </w:tcMar>
          </w:tcPr>
          <w:p>
            <w:pPr>
              <w:spacing w:before="0" w:after="0" w:line="240" w:lineRule="auto"/>
            </w:pPr>
            <w:r>
              <w:rPr>
                <w:rFonts w:ascii="Arial" w:hAnsi="Arial"/>
                <w:b w:val="0"/>
                <w:color w:val="000000"/>
                <w:sz w:val="21"/>
              </w:rPr>
              <w:t>1 when there are no eligible neighbours or all their weights are zero; otherwise 0.</w:t>
            </w:r>
          </w:p>
        </w:tc>
      </w:tr>
    </w:tbl>
    <w:p>
      <w:pPr>
        <w:spacing w:before="120"/>
      </w:pPr>
      <w:r>
        <w:t>For features 1 to 4, a neighbour’s weight is max(cosine similarity, 0). For example, two above neighbours with similarities 0.9 and 0.6 and one typical neighbour with similarity 0.5 give an above fraction of (0.9 + 0.6) / (0.9 + 0.6 + 0.5) = 0.75. This is a summary of neighbour labels, not the predicted probability for the current post. Mean similarity and mean age use no weights. If the total weight is zero, the weighted summaries remain missing.</w:t>
      </w:r>
    </w:p>
    <w:p>
      <w:pPr/>
      <w:r>
        <w:t>Training features use two inner author groups within each outer training partition and three groups for final training. Each group gets its neighbours from the other groups. Validation and test banks contain fitting authors only. Future posts and posts by the query’s author are excluded, as are empty texts.</w:t>
      </w:r>
    </w:p>
    <w:p>
      <w:r>
        <w:t>The 180-day KNN block passed the selection rule for A (+0.932 percentage points) and C (+0.236), so both retained it for tuning. B improved by only +0.071 points and kept its original inputs without KNN. For C, the author-bootstrap interval included zero: the block passed our practical rule, but this additional check did not establish a statistically conclusive gain.</w:t>
      </w:r>
    </w:p>
    <w:p>
      <w:pPr>
        <w:pStyle w:val="Heading1"/>
        <w:keepNext/>
      </w:pPr>
      <w:r>
        <w:t>Organisation popularity and shared mentions</w:t>
      </w:r>
    </w:p>
    <w:p>
      <w:pPr/>
      <w:r>
        <w:t>A separate experiment added eight organisation features. They measured how many other fitting authors had previously mentioned each organisation in the current post, and whether those organisations had appeared together with organisations from the current author’s earlier posts. For example, if the author had previously mentioned X, a current mention of Y was connected to that history when another fitting author had earlier mentioned X and Y together. Only strictly earlier posts supplied this evidence; the block used no labels or reaction counts.</w:t>
      </w:r>
    </w:p>
    <w:p>
      <w:pPr/>
      <w:r>
        <w:t>The organisation block failed the same selection rule in all three families: changes in macro-F1 were −0.029 points for A, +0.073 for B and −0.021 for C. It was excluded from the final solution. Local mention novelty remained in the 45 tabular features: it counts mentions that are new to the current author’s own history, such as an organisation they had never mentioned before. This local comparison does not depend on popularity among other authors.</w:t>
      </w:r>
    </w:p>
    <w:p>
      <w:pPr>
        <w:pStyle w:val="Heading1"/>
        <w:keepNext/>
      </w:pPr>
      <w:r>
        <w:t>Checking gains across authors</w:t>
      </w:r>
    </w:p>
    <w:p>
      <w:pPr/>
      <w:r>
        <w:t>After obtaining OOF predictions, we used a paired author bootstrap to check whether an observed gain survived changes in the mix of validation authors. We pooled the saved predictions from all three folds. Each post kept its original prediction from a model trained without its author. In each of 1,000 resamples, we drew the original number of authors with replacement and included all posts of each selected author. An author drawn twice counted twice; some authors were absent.</w:t>
      </w:r>
    </w:p>
    <w:p>
      <w:pPr/>
      <w:r>
        <w:t>Both compared models used exactly the same sampled authors. We recalculated macro-F1 and its difference on each sample, then took the middle 95% of those differences as the interval. This checks whether the advantage persists when some authors receive more weight and others less. Models and predictions stayed fixed, so the interval excludes variation from retraining and repeating the full model search. It supplemented the fold checks and did not determine whether a block passed the selection rule.</w:t>
      </w:r>
    </w:p>
    <w:p>
      <w:pPr>
        <w:pStyle w:val="Heading1"/>
        <w:keepNext/>
        <w:pageBreakBefore w:val="0"/>
        <w:spacing w:before="220"/>
      </w:pPr>
      <w:r>
        <w:t>Choosing the final model</w:t>
      </w:r>
    </w:p>
    <w:p>
      <w:r>
        <w:t>Once the feature blocks were chosen, the search tested 12 HGB settings per family. It varied tree size, minimum leaf size, L2 regularisation, class balancing and learning rate, including selected combinations. The 36 model configurations were followed by a comparison of 15 mixtures of OOF probabilities, with weights in steps of 0.25.</w:t>
      </w:r>
    </w:p>
    <w:p>
      <w:r>
        <w:t>The selected V2 model gives 50% weight to B without KNN and 50% to C with the 180-day KNN block. A receives zero weight. Both HGB models use balanced class weights, a learning rate of 0.08, at most 300 iterations and automatic early stopping. Content type is encoded separately from the numeric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3672"/>
        <w:gridCol w:w="2664"/>
        <w:gridCol w:w="1296"/>
        <w:gridCol w:w="1224"/>
        <w:gridCol w:w="1138"/>
      </w:tblGrid>
      <w:tr>
        <w:trPr>
          <w:cantSplit/>
          <w:tblHeader/>
        </w:trPr>
        <w:tc>
          <w:tcPr>
            <w:tcW w:type="dxa" w:w="3672"/>
            <w:vAlign w:val="center"/>
            <w:shd w:fill="E8EFF4"/>
          </w:tcPr>
          <w:p>
            <w:pPr>
              <w:keepNext/>
              <w:spacing w:after="0" w:line="252" w:lineRule="auto"/>
              <w:jc w:val="left"/>
            </w:pPr>
            <w:r>
              <w:rPr>
                <w:b/>
                <w:sz w:val="21"/>
              </w:rPr>
              <w:t>Selected branch</w:t>
            </w:r>
          </w:p>
        </w:tc>
        <w:tc>
          <w:tcPr>
            <w:tcW w:type="dxa" w:w="2664"/>
            <w:vAlign w:val="center"/>
            <w:shd w:fill="E8EFF4"/>
          </w:tcPr>
          <w:p>
            <w:pPr>
              <w:keepNext/>
              <w:spacing w:after="0" w:line="252" w:lineRule="auto"/>
              <w:jc w:val="center"/>
            </w:pPr>
            <w:r>
              <w:rPr>
                <w:b/>
                <w:sz w:val="21"/>
              </w:rPr>
              <w:t>Numeric inputs</w:t>
            </w:r>
          </w:p>
        </w:tc>
        <w:tc>
          <w:tcPr>
            <w:tcW w:type="dxa" w:w="1296"/>
            <w:vAlign w:val="center"/>
            <w:shd w:fill="E8EFF4"/>
          </w:tcPr>
          <w:p>
            <w:pPr>
              <w:keepNext/>
              <w:spacing w:after="0" w:line="252" w:lineRule="auto"/>
              <w:jc w:val="center"/>
            </w:pPr>
            <w:r>
              <w:rPr>
                <w:b/>
                <w:sz w:val="21"/>
              </w:rPr>
              <w:t>Max leaves</w:t>
            </w:r>
          </w:p>
        </w:tc>
        <w:tc>
          <w:tcPr>
            <w:tcW w:type="dxa" w:w="1224"/>
            <w:vAlign w:val="center"/>
            <w:shd w:fill="E8EFF4"/>
          </w:tcPr>
          <w:p>
            <w:pPr>
              <w:keepNext/>
              <w:spacing w:after="0" w:line="252" w:lineRule="auto"/>
              <w:jc w:val="center"/>
            </w:pPr>
            <w:r>
              <w:rPr>
                <w:b/>
                <w:sz w:val="21"/>
              </w:rPr>
              <w:t>Min leaf</w:t>
            </w:r>
          </w:p>
        </w:tc>
        <w:tc>
          <w:tcPr>
            <w:tcW w:type="dxa" w:w="1138"/>
            <w:vAlign w:val="center"/>
            <w:shd w:fill="E8EFF4"/>
          </w:tcPr>
          <w:p>
            <w:pPr>
              <w:keepNext/>
              <w:spacing w:after="0" w:line="252" w:lineRule="auto"/>
              <w:jc w:val="center"/>
            </w:pPr>
            <w:r>
              <w:rPr>
                <w:b/>
                <w:sz w:val="21"/>
              </w:rPr>
              <w:t>L2</w:t>
            </w:r>
          </w:p>
        </w:tc>
      </w:tr>
      <w:tr>
        <w:trPr>
          <w:cantSplit/>
        </w:trPr>
        <w:tc>
          <w:tcPr>
            <w:tcW w:type="dxa" w:w="3672"/>
            <w:vAlign w:val="center"/>
          </w:tcPr>
          <w:p>
            <w:pPr>
              <w:keepNext w:val="0"/>
              <w:spacing w:after="0" w:line="252" w:lineRule="auto"/>
              <w:jc w:val="left"/>
            </w:pPr>
            <w:r>
              <w:rPr>
                <w:b w:val="0"/>
                <w:sz w:val="21"/>
              </w:rPr>
              <w:t>B with frozen E5</w:t>
            </w:r>
          </w:p>
        </w:tc>
        <w:tc>
          <w:tcPr>
            <w:tcW w:type="dxa" w:w="2664"/>
            <w:vAlign w:val="center"/>
          </w:tcPr>
          <w:p>
            <w:pPr>
              <w:keepNext w:val="0"/>
              <w:spacing w:after="0" w:line="252" w:lineRule="auto"/>
              <w:jc w:val="center"/>
            </w:pPr>
            <w:r>
              <w:rPr>
                <w:b w:val="0"/>
                <w:sz w:val="21"/>
              </w:rPr>
              <w:t>45 + 384 = 429</w:t>
            </w:r>
          </w:p>
        </w:tc>
        <w:tc>
          <w:tcPr>
            <w:tcW w:type="dxa" w:w="1296"/>
            <w:vAlign w:val="center"/>
          </w:tcPr>
          <w:p>
            <w:pPr>
              <w:keepNext w:val="0"/>
              <w:spacing w:after="0" w:line="252" w:lineRule="auto"/>
              <w:jc w:val="center"/>
            </w:pPr>
            <w:r>
              <w:rPr>
                <w:b w:val="0"/>
                <w:sz w:val="21"/>
              </w:rPr>
              <w:t>63</w:t>
            </w:r>
          </w:p>
        </w:tc>
        <w:tc>
          <w:tcPr>
            <w:tcW w:type="dxa" w:w="1224"/>
            <w:vAlign w:val="center"/>
          </w:tcPr>
          <w:p>
            <w:pPr>
              <w:keepNext w:val="0"/>
              <w:spacing w:after="0" w:line="252" w:lineRule="auto"/>
              <w:jc w:val="center"/>
            </w:pPr>
            <w:r>
              <w:rPr>
                <w:b w:val="0"/>
                <w:sz w:val="21"/>
              </w:rPr>
              <w:t>20</w:t>
            </w:r>
          </w:p>
        </w:tc>
        <w:tc>
          <w:tcPr>
            <w:tcW w:type="dxa" w:w="1138"/>
            <w:vAlign w:val="center"/>
          </w:tcPr>
          <w:p>
            <w:pPr>
              <w:keepNext w:val="0"/>
              <w:spacing w:after="0" w:line="252" w:lineRule="auto"/>
              <w:jc w:val="center"/>
            </w:pPr>
            <w:r>
              <w:rPr>
                <w:b w:val="0"/>
                <w:sz w:val="21"/>
              </w:rPr>
              <w:t>0</w:t>
            </w:r>
          </w:p>
        </w:tc>
      </w:tr>
      <w:tr>
        <w:trPr>
          <w:cantSplit/>
        </w:trPr>
        <w:tc>
          <w:tcPr>
            <w:tcW w:type="dxa" w:w="3672"/>
            <w:vAlign w:val="center"/>
          </w:tcPr>
          <w:p>
            <w:pPr>
              <w:keepNext w:val="0"/>
              <w:spacing w:after="0" w:line="252" w:lineRule="auto"/>
              <w:jc w:val="left"/>
            </w:pPr>
            <w:r>
              <w:rPr>
                <w:b w:val="0"/>
                <w:sz w:val="21"/>
              </w:rPr>
              <w:t>C with SVD and KNN180</w:t>
            </w:r>
          </w:p>
        </w:tc>
        <w:tc>
          <w:tcPr>
            <w:tcW w:type="dxa" w:w="2664"/>
            <w:vAlign w:val="center"/>
          </w:tcPr>
          <w:p>
            <w:pPr>
              <w:keepNext w:val="0"/>
              <w:spacing w:after="0" w:line="252" w:lineRule="auto"/>
              <w:jc w:val="center"/>
            </w:pPr>
            <w:r>
              <w:rPr>
                <w:b w:val="0"/>
                <w:sz w:val="21"/>
              </w:rPr>
              <w:t>45 + 128 + 9 = 182</w:t>
            </w:r>
          </w:p>
        </w:tc>
        <w:tc>
          <w:tcPr>
            <w:tcW w:type="dxa" w:w="1296"/>
            <w:vAlign w:val="center"/>
          </w:tcPr>
          <w:p>
            <w:pPr>
              <w:keepNext w:val="0"/>
              <w:spacing w:after="0" w:line="252" w:lineRule="auto"/>
              <w:jc w:val="center"/>
            </w:pPr>
            <w:r>
              <w:rPr>
                <w:b w:val="0"/>
                <w:sz w:val="21"/>
              </w:rPr>
              <w:t>63</w:t>
            </w:r>
          </w:p>
        </w:tc>
        <w:tc>
          <w:tcPr>
            <w:tcW w:type="dxa" w:w="1224"/>
            <w:vAlign w:val="center"/>
          </w:tcPr>
          <w:p>
            <w:pPr>
              <w:keepNext w:val="0"/>
              <w:spacing w:after="0" w:line="252" w:lineRule="auto"/>
              <w:jc w:val="center"/>
            </w:pPr>
            <w:r>
              <w:rPr>
                <w:b w:val="0"/>
                <w:sz w:val="21"/>
              </w:rPr>
              <w:t>100</w:t>
            </w:r>
          </w:p>
        </w:tc>
        <w:tc>
          <w:tcPr>
            <w:tcW w:type="dxa" w:w="1138"/>
            <w:vAlign w:val="center"/>
          </w:tcPr>
          <w:p>
            <w:pPr>
              <w:keepNext w:val="0"/>
              <w:spacing w:after="0" w:line="252" w:lineRule="auto"/>
              <w:jc w:val="center"/>
            </w:pPr>
            <w:r>
              <w:rPr>
                <w:b w:val="0"/>
                <w:sz w:val="21"/>
              </w:rPr>
              <w:t>1</w:t>
            </w:r>
          </w:p>
        </w:tc>
      </w:tr>
    </w:tbl>
    <w:p>
      <w:pPr>
        <w:spacing w:after="20" w:before="0" w:line="240" w:lineRule="auto"/>
      </w:pPr>
      <w:r>
        <w:rPr>
          <w:sz w:val="4"/>
        </w:rPr>
      </w:r>
    </w:p>
    <w:p>
      <w:r>
        <w:rPr>
          <w:b w:val="0"/>
        </w:rPr>
        <w:t>The 50/50 mixture achieved OOF macro-F1 0.638197. Recomputing the V1 recipe in the same run gave 0.623742, a difference of 1.445 percentage points across the changes to features, tuning and blending. The earlier V1 OOF result was 0.624701. The reason for the difference between these two V1 runs was not established, so the comparison uses the control from the same run.</w:t>
      </w:r>
    </w:p>
    <w:p>
      <w:pPr>
        <w:pStyle w:val="Heading1"/>
        <w:keepNext/>
      </w:pPr>
      <w:r>
        <w:t>Class decision rule</w:t>
      </w:r>
    </w:p>
    <w:p>
      <w:r>
        <w:rPr>
          <w:b w:val="0"/>
        </w:rPr>
        <w:t>The last experiment tested class multipliers because ordinary argmax need not maximise macro-F1. After blending probabilities, candidate weights multiplied the below and above scores; typical stayed at one. The search covered 81 pairs from 0.8 to 1.2 in steps of 0.05. The weighted scores determine the class decision and are not recalibrated normalised probabilities.</w:t>
      </w:r>
    </w:p>
    <w:p>
      <w:r>
        <w:rPr>
          <w:b w:val="0"/>
        </w:rPr>
        <w:t>Each outer validation fold was split into two groups of authors to evaluate this procedure. Multipliers were selected on one half and evaluated on the other, then the roles were reversed. The base model had been trained without either half. The resulting six separately fitted rules achieved macro-F1 0.648045, compared with V2’s 0.638197. The descriptive author-bootstrap interval for the gain was +0.786 to +1.193 percentage points.</w:t>
      </w:r>
    </w:p>
    <w:p>
      <w:r>
        <w:rPr>
          <w:b w:val="0"/>
        </w:rPr>
        <w:t>Fitting a single rule on all OOF predictions gave weights of 0.8 for below, 1.0 for typical and 0.8 for above. The grid was left unchanged after this boundary result. Scoring the rule on the same OOF rows gave 0.647751. That is a fitting score, not a validation estimate.</w:t>
      </w:r>
    </w:p>
    <w:p>
      <w:pPr>
        <w:keepNext w:val="0"/>
        <w:spacing w:after="60"/>
      </w:pPr>
      <w:r>
        <w:rPr>
          <w:rFonts w:ascii="Courier New" w:hAnsi="Courier New"/>
          <w:sz w:val="18"/>
        </w:rPr>
        <w:t>label = argmax(0.8 * p_below, p_typical, 0.8 * p_above)</w:t>
      </w:r>
    </w:p>
    <w:p>
      <w:r>
        <w:rPr>
          <w:b w:val="0"/>
        </w:rPr>
        <w:t>When the scores are close, this rule favours typical over the two extreme classes.</w:t>
      </w:r>
    </w:p>
    <w:p>
      <w:pPr>
        <w:pStyle w:val="Heading1"/>
        <w:keepNext/>
        <w:pageBreakBefore w:val="0"/>
        <w:spacing w:before="220"/>
      </w:pPr>
      <w:r>
        <w:t>Results and interpretation</w:t>
      </w:r>
    </w:p>
    <w:p>
      <w:pPr>
        <w:keepNext/>
      </w:pPr>
      <w:r>
        <w:t>With the recipe fixed, both models were fitted on all 71,395 training posts. Every result in the table below uses the unchanged official test set of 17,623 posts.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5112"/>
        <w:gridCol w:w="1627"/>
        <w:gridCol w:w="1627"/>
        <w:gridCol w:w="1627"/>
      </w:tblGrid>
      <w:tr>
        <w:trPr>
          <w:cantSplit/>
          <w:tblHeader/>
        </w:trPr>
        <w:tc>
          <w:tcPr>
            <w:tcW w:type="dxa" w:w="5112"/>
            <w:vAlign w:val="center"/>
            <w:shd w:fill="E8EFF4"/>
          </w:tcPr>
          <w:p>
            <w:pPr>
              <w:keepNext/>
              <w:spacing w:after="0" w:line="252" w:lineRule="auto"/>
              <w:jc w:val="left"/>
            </w:pPr>
            <w:r>
              <w:rPr>
                <w:b/>
                <w:sz w:val="21"/>
              </w:rPr>
              <w:t>Official test variant</w:t>
            </w:r>
          </w:p>
        </w:tc>
        <w:tc>
          <w:tcPr>
            <w:tcW w:type="dxa" w:w="1627"/>
            <w:vAlign w:val="center"/>
            <w:shd w:fill="E8EFF4"/>
          </w:tcPr>
          <w:p>
            <w:pPr>
              <w:keepNext/>
              <w:spacing w:after="0" w:line="252" w:lineRule="auto"/>
              <w:jc w:val="center"/>
            </w:pPr>
            <w:r>
              <w:rPr>
                <w:b/>
                <w:sz w:val="21"/>
              </w:rPr>
              <w:t>Macro-F1</w:t>
            </w:r>
          </w:p>
        </w:tc>
        <w:tc>
          <w:tcPr>
            <w:tcW w:type="dxa" w:w="1627"/>
            <w:vAlign w:val="center"/>
            <w:shd w:fill="E8EFF4"/>
          </w:tcPr>
          <w:p>
            <w:pPr>
              <w:keepNext/>
              <w:spacing w:after="0" w:line="252" w:lineRule="auto"/>
              <w:jc w:val="center"/>
            </w:pPr>
            <w:r>
              <w:rPr>
                <w:b/>
                <w:sz w:val="21"/>
              </w:rPr>
              <w:t>QWK</w:t>
            </w:r>
          </w:p>
        </w:tc>
        <w:tc>
          <w:tcPr>
            <w:tcW w:type="dxa" w:w="1627"/>
            <w:vAlign w:val="center"/>
            <w:shd w:fill="E8EFF4"/>
          </w:tcPr>
          <w:p>
            <w:pPr>
              <w:keepNext/>
              <w:spacing w:after="0" w:line="252" w:lineRule="auto"/>
              <w:jc w:val="center"/>
            </w:pPr>
            <w:r>
              <w:rPr>
                <w:b/>
                <w:sz w:val="21"/>
              </w:rPr>
              <w:t>Accuracy</w:t>
            </w:r>
          </w:p>
        </w:tc>
      </w:tr>
      <w:tr>
        <w:trPr>
          <w:cantSplit/>
        </w:trPr>
        <w:tc>
          <w:tcPr>
            <w:tcW w:type="dxa" w:w="5112"/>
            <w:vAlign w:val="center"/>
          </w:tcPr>
          <w:p>
            <w:pPr>
              <w:keepNext w:val="0"/>
              <w:spacing w:after="0" w:line="252" w:lineRule="auto"/>
              <w:jc w:val="left"/>
            </w:pPr>
            <w:r>
              <w:rPr>
                <w:b w:val="0"/>
                <w:sz w:val="21"/>
              </w:rPr>
              <w:t>Original baseline</w:t>
            </w:r>
          </w:p>
        </w:tc>
        <w:tc>
          <w:tcPr>
            <w:tcW w:type="dxa" w:w="1627"/>
            <w:vAlign w:val="center"/>
          </w:tcPr>
          <w:p>
            <w:pPr>
              <w:keepNext w:val="0"/>
              <w:spacing w:after="0" w:line="252" w:lineRule="auto"/>
              <w:jc w:val="center"/>
            </w:pPr>
            <w:r>
              <w:rPr>
                <w:b w:val="0"/>
                <w:sz w:val="21"/>
              </w:rPr>
              <w:t>0.5403</w:t>
            </w:r>
          </w:p>
        </w:tc>
        <w:tc>
          <w:tcPr>
            <w:tcW w:type="dxa" w:w="1627"/>
            <w:vAlign w:val="center"/>
          </w:tcPr>
          <w:p>
            <w:pPr>
              <w:keepNext w:val="0"/>
              <w:spacing w:after="0" w:line="252" w:lineRule="auto"/>
              <w:jc w:val="center"/>
            </w:pPr>
            <w:r>
              <w:rPr>
                <w:b w:val="0"/>
                <w:sz w:val="21"/>
              </w:rPr>
              <w:t>0.4603</w:t>
            </w:r>
          </w:p>
        </w:tc>
        <w:tc>
          <w:tcPr>
            <w:tcW w:type="dxa" w:w="1627"/>
            <w:vAlign w:val="center"/>
          </w:tcPr>
          <w:p>
            <w:pPr>
              <w:keepNext w:val="0"/>
              <w:spacing w:after="0" w:line="252" w:lineRule="auto"/>
              <w:jc w:val="center"/>
            </w:pPr>
            <w:r>
              <w:rPr>
                <w:b w:val="0"/>
                <w:sz w:val="21"/>
              </w:rPr>
              <w:t>0.5445</w:t>
            </w:r>
          </w:p>
        </w:tc>
      </w:tr>
      <w:tr>
        <w:trPr>
          <w:cantSplit/>
        </w:trPr>
        <w:tc>
          <w:tcPr>
            <w:tcW w:type="dxa" w:w="5112"/>
            <w:vAlign w:val="center"/>
          </w:tcPr>
          <w:p>
            <w:pPr>
              <w:keepNext w:val="0"/>
              <w:spacing w:after="0" w:line="252" w:lineRule="auto"/>
              <w:jc w:val="left"/>
            </w:pPr>
            <w:r>
              <w:rPr>
                <w:b w:val="0"/>
                <w:sz w:val="21"/>
              </w:rPr>
              <w:t>V1</w:t>
            </w:r>
          </w:p>
        </w:tc>
        <w:tc>
          <w:tcPr>
            <w:tcW w:type="dxa" w:w="1627"/>
            <w:vAlign w:val="center"/>
          </w:tcPr>
          <w:p>
            <w:pPr>
              <w:keepNext w:val="0"/>
              <w:spacing w:after="0" w:line="252" w:lineRule="auto"/>
              <w:jc w:val="center"/>
            </w:pPr>
            <w:r>
              <w:rPr>
                <w:b w:val="0"/>
                <w:sz w:val="21"/>
              </w:rPr>
              <w:t>0.6142</w:t>
            </w:r>
          </w:p>
        </w:tc>
        <w:tc>
          <w:tcPr>
            <w:tcW w:type="dxa" w:w="1627"/>
            <w:vAlign w:val="center"/>
          </w:tcPr>
          <w:p>
            <w:pPr>
              <w:keepNext w:val="0"/>
              <w:spacing w:after="0" w:line="252" w:lineRule="auto"/>
              <w:jc w:val="center"/>
            </w:pPr>
            <w:r>
              <w:rPr>
                <w:b w:val="0"/>
                <w:sz w:val="21"/>
              </w:rPr>
              <w:t>0.5583</w:t>
            </w:r>
          </w:p>
        </w:tc>
        <w:tc>
          <w:tcPr>
            <w:tcW w:type="dxa" w:w="1627"/>
            <w:vAlign w:val="center"/>
          </w:tcPr>
          <w:p>
            <w:pPr>
              <w:keepNext w:val="0"/>
              <w:spacing w:after="0" w:line="252" w:lineRule="auto"/>
              <w:jc w:val="center"/>
            </w:pPr>
            <w:r>
              <w:rPr>
                <w:b w:val="0"/>
                <w:sz w:val="21"/>
              </w:rPr>
              <w:t>0.6251</w:t>
            </w:r>
          </w:p>
        </w:tc>
      </w:tr>
      <w:tr>
        <w:trPr>
          <w:cantSplit/>
        </w:trPr>
        <w:tc>
          <w:tcPr>
            <w:tcW w:type="dxa" w:w="5112"/>
            <w:vAlign w:val="center"/>
          </w:tcPr>
          <w:p>
            <w:pPr>
              <w:keepNext w:val="0"/>
              <w:spacing w:after="0" w:line="252" w:lineRule="auto"/>
              <w:jc w:val="left"/>
            </w:pPr>
            <w:r>
              <w:rPr>
                <w:b w:val="0"/>
                <w:sz w:val="21"/>
              </w:rPr>
              <w:t>V2 blend</w:t>
            </w:r>
          </w:p>
        </w:tc>
        <w:tc>
          <w:tcPr>
            <w:tcW w:type="dxa" w:w="1627"/>
            <w:vAlign w:val="center"/>
          </w:tcPr>
          <w:p>
            <w:pPr>
              <w:keepNext w:val="0"/>
              <w:spacing w:after="0" w:line="252" w:lineRule="auto"/>
              <w:jc w:val="center"/>
            </w:pPr>
            <w:r>
              <w:rPr>
                <w:b w:val="0"/>
                <w:sz w:val="21"/>
              </w:rPr>
              <w:t>0.6247</w:t>
            </w:r>
          </w:p>
        </w:tc>
        <w:tc>
          <w:tcPr>
            <w:tcW w:type="dxa" w:w="1627"/>
            <w:vAlign w:val="center"/>
          </w:tcPr>
          <w:p>
            <w:pPr>
              <w:keepNext w:val="0"/>
              <w:spacing w:after="0" w:line="252" w:lineRule="auto"/>
              <w:jc w:val="center"/>
            </w:pPr>
            <w:r>
              <w:rPr>
                <w:b w:val="0"/>
                <w:sz w:val="21"/>
              </w:rPr>
              <w:t>0.5658</w:t>
            </w:r>
          </w:p>
        </w:tc>
        <w:tc>
          <w:tcPr>
            <w:tcW w:type="dxa" w:w="1627"/>
            <w:vAlign w:val="center"/>
          </w:tcPr>
          <w:p>
            <w:pPr>
              <w:keepNext w:val="0"/>
              <w:spacing w:after="0" w:line="252" w:lineRule="auto"/>
              <w:jc w:val="center"/>
            </w:pPr>
            <w:r>
              <w:rPr>
                <w:b w:val="0"/>
                <w:sz w:val="21"/>
              </w:rPr>
              <w:t>0.6402</w:t>
            </w:r>
          </w:p>
        </w:tc>
      </w:tr>
      <w:tr>
        <w:trPr>
          <w:cantSplit/>
        </w:trPr>
        <w:tc>
          <w:tcPr>
            <w:tcW w:type="dxa" w:w="5112"/>
            <w:vAlign w:val="center"/>
          </w:tcPr>
          <w:p>
            <w:pPr>
              <w:keepNext w:val="0"/>
              <w:spacing w:after="0" w:line="252" w:lineRule="auto"/>
              <w:jc w:val="left"/>
            </w:pPr>
            <w:r>
              <w:rPr>
                <w:b w:val="0"/>
                <w:sz w:val="21"/>
              </w:rPr>
              <w:t>V2 with fixed decision rule</w:t>
            </w:r>
          </w:p>
        </w:tc>
        <w:tc>
          <w:tcPr>
            <w:tcW w:type="dxa" w:w="1627"/>
            <w:vAlign w:val="center"/>
          </w:tcPr>
          <w:p>
            <w:pPr>
              <w:keepNext w:val="0"/>
              <w:spacing w:after="0" w:line="252" w:lineRule="auto"/>
              <w:jc w:val="center"/>
            </w:pPr>
            <w:r>
              <w:rPr>
                <w:b w:val="0"/>
                <w:sz w:val="21"/>
              </w:rPr>
              <w:t>0.6390</w:t>
            </w:r>
          </w:p>
        </w:tc>
        <w:tc>
          <w:tcPr>
            <w:tcW w:type="dxa" w:w="1627"/>
            <w:vAlign w:val="center"/>
          </w:tcPr>
          <w:p>
            <w:pPr>
              <w:keepNext w:val="0"/>
              <w:spacing w:after="0" w:line="252" w:lineRule="auto"/>
              <w:jc w:val="center"/>
            </w:pPr>
            <w:r>
              <w:rPr>
                <w:b w:val="0"/>
                <w:sz w:val="21"/>
              </w:rPr>
              <w:t>0.5741</w:t>
            </w:r>
          </w:p>
        </w:tc>
        <w:tc>
          <w:tcPr>
            <w:tcW w:type="dxa" w:w="1627"/>
            <w:vAlign w:val="center"/>
          </w:tcPr>
          <w:p>
            <w:pPr>
              <w:keepNext w:val="0"/>
              <w:spacing w:after="0" w:line="252" w:lineRule="auto"/>
              <w:jc w:val="center"/>
            </w:pPr>
            <w:r>
              <w:rPr>
                <w:b w:val="0"/>
                <w:sz w:val="21"/>
              </w:rPr>
              <w:t>0.6692</w:t>
            </w:r>
          </w:p>
        </w:tc>
      </w:tr>
    </w:tbl>
    <w:p>
      <w:pPr>
        <w:spacing w:after="20" w:before="0" w:line="240" w:lineRule="auto"/>
      </w:pPr>
      <w:r>
        <w:rPr>
          <w:sz w:val="4"/>
        </w:rPr>
      </w:r>
    </w:p>
    <w:p>
      <w:r>
        <w:rPr>
          <w:b w:val="0"/>
        </w:rPr>
        <w:t>Final macro-F1 is 0.639033, a gain of +9.870 percentage points over baseline and +1.433 over V2. The decision rule mainly helps typical posts, whose F1 rises from 0.6788 to 0.7223. Above improves from 0.6561 to 0.6586, while below falls from 0.5393 to 0.5362. About 41.0% of true below posts are still classified as typical. Below remains the hardest class to recognise.</w:t>
      </w:r>
    </w:p>
    <w:p>
      <w:pPr>
        <w:pStyle w:val="Heading1"/>
        <w:keepNext/>
      </w:pPr>
      <w:r>
        <w:t>Limitations</w:t>
      </w:r>
    </w:p>
    <w:p>
      <w:r>
        <w:t>The results favour combining author context, text and a tuned decision rule, but they do not establish a universal isolated benefit from E5 or KNN. Reusing OOF predictions for feature and model selection introduces selection optimism. Earlier V1 and V2 test results were already known during later work.</w:t>
      </w:r>
    </w:p>
    <w:p>
      <w:r>
        <w:rPr>
          <w:b w:val="0"/>
        </w:rPr>
        <w:t>Past reaction counts and follower counts are snapshots from collection time. Restricting history and neighbours to earlier posts does not fully reconstruct the information available when a post was published. Author-bootstrap intervals describe fixed predictions and omit uncertainty from training and the full search. The reported results were obtained on Linux CPU with Python 3.12.3. The pipeline also runs on Mac with Python 3.10, but predictions are not guaranteed to match bit for bit across platforms.</w:t>
      </w:r>
    </w:p>
    <w:p>
      <w:pPr>
        <w:pStyle w:val="Heading1"/>
        <w:keepNext/>
        <w:pageBreakBefore/>
      </w:pPr>
      <w:r>
        <w:t>Implementation and reproduction</w:t>
      </w:r>
    </w:p>
    <w:p>
      <w:r>
        <w:t>The modules in kairos/ build the tabular features, prepare text representations, retrieve neighbours and train the models. The final blend is fixed in configs/solution_v2.json, and its decision rule in configs/solution_v2_decision.json. Install the pinned dependencies from requirements-lock.txt and place the extracted core release in data/. Run these commands from the project root:</w:t>
      </w:r>
    </w:p>
    <w:p>
      <w:pPr>
        <w:keepNext/>
        <w:spacing w:after="60"/>
      </w:pPr>
      <w:r>
        <w:rPr>
          <w:rFonts w:ascii="Courier New" w:hAnsi="Courier New"/>
          <w:sz w:val="18"/>
        </w:rPr>
        <w:t>python -m kairos.label</w:t>
      </w:r>
    </w:p>
    <w:p>
      <w:pPr>
        <w:keepNext/>
        <w:spacing w:after="60"/>
      </w:pPr>
      <w:r>
        <w:rPr>
          <w:rFonts w:ascii="Courier New" w:hAnsi="Courier New"/>
          <w:sz w:val="18"/>
        </w:rPr>
        <w:t>python calibrate_decision.py --config configs/solution_v2_decision.json</w:t>
      </w:r>
    </w:p>
    <w:p>
      <w:pPr>
        <w:keepNext w:val="0"/>
        <w:spacing w:after="60"/>
      </w:pPr>
      <w:r>
        <w:rPr>
          <w:rFonts w:ascii="Courier New" w:hAnsi="Courier New"/>
          <w:sz w:val="18"/>
        </w:rPr>
        <w:t>python evaluate.py --predictions results/v2_decision/final/predictions.csv</w:t>
      </w:r>
    </w:p>
    <w:p>
      <w:r>
        <w:t>The first command recomputes the labels and checks them against labels.csv. The second builds the features, trains both selected models on the full train set, blends their probabilities and applies the fixed class multipliers. It reproduces the chosen configuration without repeating the parameter search or requiring the historical fold list. The third command scores the saved test predictions.</w:t>
      </w:r>
    </w:p>
    <w:p>
      <w:pPr/>
      <w:r>
        <w:t>An E5 cache in data/cache/e5/ allows CPU training without Torch. Before reuse, the pipeline checks that the cached vectors match the post keys and text, pinned model revision and encoding settings; it also checks their checksum, dimensions and normalisation. An invalid cache raises an error. If the cache is absent, the fixed configuration calculates vectors with CUDA and requires PyTorch and the dependencies in requirements-gpu.txt.</w:t>
      </w:r>
    </w:p>
    <w:p>
      <w:pPr/>
      <w:r>
        <w:t>The wrapper saves base models and intermediate artifacts in results/v2_decision/base/. Final predictions, decision scores and a checksum manifest go to results/v2_decision/final/. Data, model weights and caches are excluded from Git. The original baseline code is unchanged. Further implementation details and aggregate results are in solution.ipynb and reports/summary.json. Reading the report does not require raw posts or individual identifiers.</w:t>
      </w:r>
    </w:p>
    <w:sectPr w:rsidR="00FC693F" w:rsidRPr="0006063C" w:rsidSect="00034616">
      <w:footerReference w:type="default" r:id="rId9"/>
      <w:pgSz w:w="12240" w:h="15840"/>
      <w:pgMar w:top="979" w:right="1123" w:bottom="979"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eastAsia="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Arial"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230" w:hanging="173"/>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relative post performance</dc:title>
  <dc:subject>Social Media Analytics Lab 1 report</dc:subject>
  <dc:creator/>
  <cp:keywords>Lab 1, KAIROS, author relative performance</cp:keywords>
  <dc:description/>
  <cp:lastModifiedBy/>
  <cp:revision>1</cp:revision>
  <dcterms:created xsi:type="dcterms:W3CDTF">2013-12-23T23:15:00Z</dcterms:created>
  <dcterms:modified xsi:type="dcterms:W3CDTF">2013-12-23T23:15:00Z</dcterms:modified>
  <cp:category/>
</cp:coreProperties>
</file>