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3D"/>
          <w:sz w:val="36"/>
          <w:szCs w:val="36"/>
        </w:rPr>
        <w:t xml:space="preserve">India's Top 20 Environment Startups and WIPO Patent Matching</w:t>
      </w:r>
    </w:p>
    <w:p>
      <w:pPr>
        <w:pBdr>
          <w:bottom w:val="single" w:color="1F4E3D" w:sz="8" w:space="4"/>
        </w:pBdr>
        <w:spacing w:after="200"/>
      </w:pPr>
      <w:r>
        <w:rPr>
          <w:rFonts w:ascii="Arial" w:cs="Arial" w:eastAsia="Arial" w:hAnsi="Arial"/>
          <w:color w:val="555555"/>
          <w:sz w:val="20"/>
          <w:szCs w:val="20"/>
        </w:rPr>
        <w:t xml:space="preserve">Search methodology, ranking justification and matching process  |  19 October 2026</w:t>
      </w:r>
    </w:p>
    <w:p>
      <w:pPr>
        <w:pStyle w:val="Heading1"/>
        <w:spacing w:after="140" w:before="320"/>
      </w:pPr>
      <w:r>
        <w:rPr>
          <w:rFonts w:ascii="Arial" w:cs="Arial" w:eastAsia="Arial" w:hAnsi="Arial"/>
          <w:b/>
          <w:bCs/>
          <w:color w:val="1F4E3D"/>
          <w:sz w:val="28"/>
          <w:szCs w:val="28"/>
        </w:rPr>
        <w:t xml:space="preserve">1. Scope and status</w:t>
      </w:r>
    </w:p>
    <w:p>
      <w:pPr>
        <w:spacing w:after="120" w:line="276"/>
      </w:pPr>
      <w:r>
        <w:rPr>
          <w:rFonts w:ascii="Arial" w:cs="Arial" w:eastAsia="Arial" w:hAnsi="Arial"/>
          <w:sz w:val="21"/>
          <w:szCs w:val="21"/>
        </w:rPr>
        <w:t xml:space="preserve">This note documents how the top-20 list was built and how patent records from the WIPO PATENTSCOPE database should be matched to it. The companion workbook (India_Environment_Startups_Top20_WIPO.xlsx) holds the company data, the alias table, the raw-data template and the merged summary.</w:t>
      </w:r>
    </w:p>
    <w:p>
      <w:pPr>
        <w:spacing w:after="120" w:line="276"/>
      </w:pPr>
      <w:r>
        <w:rPr>
          <w:rFonts w:ascii="Arial" w:cs="Arial" w:eastAsia="Arial" w:hAnsi="Arial"/>
          <w:b/>
          <w:bCs/>
          <w:sz w:val="21"/>
          <w:szCs w:val="21"/>
        </w:rPr>
        <w:t xml:space="preserve">What is complete: </w:t>
      </w:r>
      <w:r>
        <w:rPr>
          <w:rFonts w:ascii="Arial" w:cs="Arial" w:eastAsia="Arial" w:hAnsi="Arial"/>
          <w:sz w:val="21"/>
          <w:szCs w:val="21"/>
        </w:rPr>
        <w:t xml:space="preserve">the search methodology, ranking, startup-level details, exclusion log, alias table and the matching formulas, which I tested on sample rows.</w:t>
      </w:r>
    </w:p>
    <w:p>
      <w:pPr>
        <w:spacing w:after="120" w:line="276"/>
      </w:pPr>
      <w:r>
        <w:rPr>
          <w:rFonts w:ascii="Arial" w:cs="Arial" w:eastAsia="Arial" w:hAnsi="Arial"/>
          <w:b/>
          <w:bCs/>
          <w:sz w:val="21"/>
          <w:szCs w:val="21"/>
        </w:rPr>
        <w:t xml:space="preserve">What is not complete: </w:t>
      </w:r>
      <w:r>
        <w:rPr>
          <w:rFonts w:ascii="Arial" w:cs="Arial" w:eastAsia="Arial" w:hAnsi="Arial"/>
          <w:sz w:val="21"/>
          <w:szCs w:val="21"/>
        </w:rPr>
        <w:t xml:space="preserve">the raw WIPO download. I could not query or export from PATENTSCOPE in my working environment, so the WIPO_Raw sheet is an empty template and Patent_Summary shows zeros. Section 4 gives the exact steps to produce the export in about an hour. Once you paste the rows in, the matching and merge run automatically.</w:t>
      </w:r>
    </w:p>
    <w:p>
      <w:pPr>
        <w:spacing w:after="120" w:line="276"/>
      </w:pPr>
      <w:r>
        <w:rPr>
          <w:rFonts w:ascii="Arial" w:cs="Arial" w:eastAsia="Arial" w:hAnsi="Arial"/>
          <w:b/>
          <w:bCs/>
          <w:sz w:val="21"/>
          <w:szCs w:val="21"/>
        </w:rPr>
        <w:t xml:space="preserve">Data quality: </w:t>
      </w:r>
      <w:r>
        <w:rPr>
          <w:rFonts w:ascii="Arial" w:cs="Arial" w:eastAsia="Arial" w:hAnsi="Arial"/>
          <w:sz w:val="21"/>
          <w:szCs w:val="21"/>
        </w:rPr>
        <w:t xml:space="preserve">every funding figure comes from a secondary aggregator, not from company filings. Several differ between sources, and the workbook flags those. Treat the ranking as a well-documented first pass to be verified, not a final dataset.</w:t>
      </w:r>
    </w:p>
    <w:p>
      <w:pPr>
        <w:pStyle w:val="Heading1"/>
        <w:spacing w:after="140" w:before="320"/>
      </w:pPr>
      <w:r>
        <w:rPr>
          <w:rFonts w:ascii="Arial" w:cs="Arial" w:eastAsia="Arial" w:hAnsi="Arial"/>
          <w:b/>
          <w:bCs/>
          <w:color w:val="1F4E3D"/>
          <w:sz w:val="28"/>
          <w:szCs w:val="28"/>
        </w:rPr>
        <w:t xml:space="preserve">2. Search methodology (Deliverable 1.i)</w:t>
      </w:r>
    </w:p>
    <w:p>
      <w:pPr>
        <w:pStyle w:val="Heading2"/>
        <w:spacing w:after="100" w:before="220"/>
      </w:pPr>
      <w:r>
        <w:rPr>
          <w:rFonts w:ascii="Arial" w:cs="Arial" w:eastAsia="Arial" w:hAnsi="Arial"/>
          <w:b/>
          <w:bCs/>
          <w:color w:val="1F4E3D"/>
          <w:sz w:val="23"/>
          <w:szCs w:val="23"/>
        </w:rPr>
        <w:t xml:space="preserve">2.1 Definition used</w:t>
      </w:r>
    </w:p>
    <w:p>
      <w:pPr>
        <w:spacing w:after="120" w:line="276"/>
      </w:pPr>
      <w:r>
        <w:rPr>
          <w:rFonts w:ascii="Arial" w:cs="Arial" w:eastAsia="Arial" w:hAnsi="Arial"/>
          <w:sz w:val="21"/>
          <w:szCs w:val="21"/>
        </w:rPr>
        <w:t xml:space="preserve">An environment startup here is an India-origin company whose core product reduces emissions, generates clean energy, captures carbon, or manages resources (energy, waste, water, air). Clean mobility is included because the main Indian datasets classify electric vehicles, battery swapping and charging under climate tech. Each company carries a segment tag in the workbook so the list can be filtered to a narrower definition.</w:t>
      </w:r>
    </w:p>
    <w:p>
      <w:pPr>
        <w:pStyle w:val="Heading2"/>
        <w:spacing w:after="100" w:before="220"/>
      </w:pPr>
      <w:r>
        <w:rPr>
          <w:rFonts w:ascii="Arial" w:cs="Arial" w:eastAsia="Arial" w:hAnsi="Arial"/>
          <w:b/>
          <w:bCs/>
          <w:color w:val="1F4E3D"/>
          <w:sz w:val="23"/>
          <w:szCs w:val="23"/>
        </w:rPr>
        <w:t xml:space="preserve">2.2 Sources and process</w:t>
      </w:r>
    </w:p>
    <w:p>
      <w:pPr>
        <w:pStyle w:val="ListParagraph"/>
        <w:numPr>
          <w:ilvl w:val="0"/>
          <w:numId w:val="2"/>
        </w:numPr>
        <w:spacing w:after="80" w:line="264"/>
      </w:pPr>
      <w:r>
        <w:rPr>
          <w:rFonts w:ascii="Arial" w:cs="Arial" w:eastAsia="Arial" w:hAnsi="Arial"/>
          <w:sz w:val="21"/>
          <w:szCs w:val="21"/>
        </w:rPr>
        <w:t xml:space="preserve">Sector sizing. I read the Tracxn India Climate Tech 2026 report coverage, which puts cumulative funding at about $12.8 billion across 1,583 companies, and Tracxn's environment-tech and sustainability-tech sector pages.</w:t>
      </w:r>
    </w:p>
    <w:p>
      <w:pPr>
        <w:pStyle w:val="ListParagraph"/>
        <w:numPr>
          <w:ilvl w:val="0"/>
          <w:numId w:val="2"/>
        </w:numPr>
        <w:spacing w:after="80" w:line="264"/>
      </w:pPr>
      <w:r>
        <w:rPr>
          <w:rFonts w:ascii="Arial" w:cs="Arial" w:eastAsia="Arial" w:hAnsi="Arial"/>
          <w:sz w:val="21"/>
          <w:szCs w:val="21"/>
        </w:rPr>
        <w:t xml:space="preserve">Candidate generation. I searched for 2026 ranked lists of climate-tech, cleantech and energy startups (Inc42 Datalabs, Seedtable, Best Startup India, Business Connect India, Startup Wired) and for funding figures on specific names (Avaada, Greenko, ReNew, Sun Mobility and others).</w:t>
      </w:r>
    </w:p>
    <w:p>
      <w:pPr>
        <w:pStyle w:val="ListParagraph"/>
        <w:numPr>
          <w:ilvl w:val="0"/>
          <w:numId w:val="2"/>
        </w:numPr>
        <w:spacing w:after="80" w:line="264"/>
      </w:pPr>
      <w:r>
        <w:rPr>
          <w:rFonts w:ascii="Arial" w:cs="Arial" w:eastAsia="Arial" w:hAnsi="Arial"/>
          <w:sz w:val="21"/>
          <w:szCs w:val="21"/>
        </w:rPr>
        <w:t xml:space="preserve">Primary ranked source. The Inc42 Datalabs list of the top 30 funded cleantech startups gave a single consistent table (funding, founded year, founders, last stage, employees) for most of the list. Page 1 of its three pages was readable, giving ranks 1 to 25.</w:t>
      </w:r>
    </w:p>
    <w:p>
      <w:pPr>
        <w:pStyle w:val="ListParagraph"/>
        <w:numPr>
          <w:ilvl w:val="0"/>
          <w:numId w:val="2"/>
        </w:numPr>
        <w:spacing w:after="80" w:line="264"/>
      </w:pPr>
      <w:r>
        <w:rPr>
          <w:rFonts w:ascii="Arial" w:cs="Arial" w:eastAsia="Arial" w:hAnsi="Arial"/>
          <w:sz w:val="21"/>
          <w:szCs w:val="21"/>
        </w:rPr>
        <w:t xml:space="preserve">Gap filling. The Inc42 table does not include the large private solar and storage developers, so I added Greenko, Avaada and CleanMax from separate Inc42 pages.</w:t>
      </w:r>
    </w:p>
    <w:p>
      <w:pPr>
        <w:pStyle w:val="ListParagraph"/>
        <w:numPr>
          <w:ilvl w:val="0"/>
          <w:numId w:val="2"/>
        </w:numPr>
        <w:spacing w:after="80" w:line="264"/>
      </w:pPr>
      <w:r>
        <w:rPr>
          <w:rFonts w:ascii="Arial" w:cs="Arial" w:eastAsia="Arial" w:hAnsi="Arial"/>
          <w:sz w:val="21"/>
          <w:szCs w:val="21"/>
        </w:rPr>
        <w:t xml:space="preserve">Cross-checking. Where a second source gave a different figure (Battery Smart, Ecozen, SUN Mobility, Avaada) I kept the primary figure and recorded the alternative in the Verify column.</w:t>
      </w:r>
    </w:p>
    <w:p>
      <w:pPr>
        <w:pStyle w:val="Heading2"/>
        <w:spacing w:after="100" w:before="220"/>
      </w:pPr>
      <w:r>
        <w:rPr>
          <w:rFonts w:ascii="Arial" w:cs="Arial" w:eastAsia="Arial" w:hAnsi="Arial"/>
          <w:b/>
          <w:bCs/>
          <w:color w:val="1F4E3D"/>
          <w:sz w:val="23"/>
          <w:szCs w:val="23"/>
        </w:rPr>
        <w:t xml:space="preserve">2.3 Inclusion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1F4E3D" w:color="auto" w:val="clear"/>
            <w:tcMar>
              <w:top w:type="dxa" w:w="60"/>
              <w:left w:type="dxa" w:w="90"/>
              <w:bottom w:type="dxa" w:w="60"/>
              <w:right w:type="dxa" w:w="90"/>
            </w:tcMar>
          </w:tcPr>
          <w:p>
            <w:r>
              <w:rPr>
                <w:rFonts w:ascii="Arial" w:cs="Arial" w:eastAsia="Arial" w:hAnsi="Arial"/>
                <w:b/>
                <w:bCs/>
                <w:color w:val="FFFFFF"/>
                <w:sz w:val="18"/>
                <w:szCs w:val="18"/>
              </w:rPr>
              <w:t xml:space="preserve">Test</w:t>
            </w:r>
          </w:p>
        </w:tc>
        <w:tc>
          <w:tcPr>
            <w:tcW w:type="dxa" w:w="6626"/>
            <w:tcBorders>
              <w:top w:val="single" w:color="BBBBBB" w:sz="4"/>
              <w:left w:val="single" w:color="BBBBBB" w:sz="4"/>
              <w:bottom w:val="single" w:color="BBBBBB" w:sz="4"/>
              <w:right w:val="single" w:color="BBBBBB" w:sz="4"/>
            </w:tcBorders>
            <w:shd w:fill="1F4E3D" w:color="auto" w:val="clear"/>
            <w:tcMar>
              <w:top w:type="dxa" w:w="60"/>
              <w:left w:type="dxa" w:w="90"/>
              <w:bottom w:type="dxa" w:w="60"/>
              <w:right w:type="dxa" w:w="90"/>
            </w:tcMar>
          </w:tcPr>
          <w:p>
            <w:r>
              <w:rPr>
                <w:rFonts w:ascii="Arial" w:cs="Arial" w:eastAsia="Arial" w:hAnsi="Arial"/>
                <w:b/>
                <w:bCs/>
                <w:color w:val="FFFFFF"/>
                <w:sz w:val="18"/>
                <w:szCs w:val="18"/>
              </w:rPr>
              <w:t xml:space="preserve">Rule applied</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Privately held</w:t>
            </w:r>
          </w:p>
        </w:tc>
        <w:tc>
          <w:tcPr>
            <w:tcW w:type="dxa" w:w="66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Exclude companies listed on a stock exchange (ReNew, Ola Electric, ACME Solar, Ather Energy, Gensol).</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Independent</w:t>
            </w:r>
          </w:p>
        </w:tc>
        <w:tc>
          <w:tcPr>
            <w:tcW w:type="dxa" w:w="66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Exclude subsidiaries of large groups (Agratas of the Tata group).</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Environment relevance</w:t>
            </w:r>
          </w:p>
        </w:tc>
        <w:tc>
          <w:tcPr>
            <w:tcW w:type="dxa" w:w="66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Exclude companies whose core business is outside the definition (Smartron).</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India origin</w:t>
            </w:r>
          </w:p>
        </w:tc>
        <w:tc>
          <w:tcPr>
            <w:tcW w:type="dxa" w:w="66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Keep companies founded in India or with Indian founders and principal operations in India. Carbon Clean Solutions and Bidgely are kept but flagged because their headquarters are abroad.</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Funding disclosed</w:t>
            </w:r>
          </w:p>
        </w:tc>
        <w:tc>
          <w:tcPr>
            <w:tcW w:type="dxa" w:w="66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Companies with no retrievable cumulative total (Inox Clean Energy, Radiance Renewables) are logged but not ranked.</w:t>
            </w:r>
          </w:p>
        </w:tc>
      </w:tr>
    </w:tbl>
    <w:p>
      <w:pPr>
        <w:spacing w:after="100"/>
      </w:pPr>
    </w:p>
    <w:p>
      <w:pPr>
        <w:pStyle w:val="Heading1"/>
        <w:spacing w:after="140" w:before="320"/>
      </w:pPr>
      <w:r>
        <w:rPr>
          <w:rFonts w:ascii="Arial" w:cs="Arial" w:eastAsia="Arial" w:hAnsi="Arial"/>
          <w:b/>
          <w:bCs/>
          <w:color w:val="1F4E3D"/>
          <w:sz w:val="28"/>
          <w:szCs w:val="28"/>
        </w:rPr>
        <w:t xml:space="preserve">3. Ranking justification (Deliverable 1.ii)</w:t>
      </w:r>
    </w:p>
    <w:p>
      <w:pPr>
        <w:spacing w:after="120" w:line="276"/>
      </w:pPr>
      <w:r>
        <w:rPr>
          <w:rFonts w:ascii="Arial" w:cs="Arial" w:eastAsia="Arial" w:hAnsi="Arial"/>
          <w:sz w:val="21"/>
          <w:szCs w:val="21"/>
        </w:rPr>
        <w:t xml:space="preserve">Companies are ranked by total disclosed funding in US dollars. This is the only size measure that is available for nearly every candidate. Revenue and valuation are mostly undisclosed for private Indian companies, and employee counts are not comparable across a software firm and a project developer.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700"/>
        <w:gridCol w:w="1926"/>
      </w:tblGrid>
      <w:tr>
        <w:trPr>
          <w:tblHeader/>
        </w:trPr>
        <w:tc>
          <w:tcPr>
            <w:tcW w:type="dxa" w:w="700"/>
            <w:tcBorders>
              <w:top w:val="single" w:color="BBBBBB" w:sz="4"/>
              <w:left w:val="single" w:color="BBBBBB" w:sz="4"/>
              <w:bottom w:val="single" w:color="BBBBBB" w:sz="4"/>
              <w:right w:val="single" w:color="BBBBBB" w:sz="4"/>
            </w:tcBorders>
            <w:shd w:fill="1F4E3D" w:color="auto" w:val="clear"/>
            <w:tcMar>
              <w:top w:type="dxa" w:w="60"/>
              <w:left w:type="dxa" w:w="90"/>
              <w:bottom w:type="dxa" w:w="60"/>
              <w:right w:type="dxa" w:w="90"/>
            </w:tcMar>
          </w:tcPr>
          <w:p>
            <w:r>
              <w:rPr>
                <w:rFonts w:ascii="Arial" w:cs="Arial" w:eastAsia="Arial" w:hAnsi="Arial"/>
                <w:b/>
                <w:bCs/>
                <w:color w:val="FFFFFF"/>
                <w:sz w:val="18"/>
                <w:szCs w:val="18"/>
              </w:rPr>
              <w:t xml:space="preserve">Rank</w:t>
            </w:r>
          </w:p>
        </w:tc>
        <w:tc>
          <w:tcPr>
            <w:tcW w:type="dxa" w:w="2700"/>
            <w:tcBorders>
              <w:top w:val="single" w:color="BBBBBB" w:sz="4"/>
              <w:left w:val="single" w:color="BBBBBB" w:sz="4"/>
              <w:bottom w:val="single" w:color="BBBBBB" w:sz="4"/>
              <w:right w:val="single" w:color="BBBBBB" w:sz="4"/>
            </w:tcBorders>
            <w:shd w:fill="1F4E3D" w:color="auto" w:val="clear"/>
            <w:tcMar>
              <w:top w:type="dxa" w:w="60"/>
              <w:left w:type="dxa" w:w="90"/>
              <w:bottom w:type="dxa" w:w="60"/>
              <w:right w:type="dxa" w:w="90"/>
            </w:tcMar>
          </w:tcPr>
          <w:p>
            <w:r>
              <w:rPr>
                <w:rFonts w:ascii="Arial" w:cs="Arial" w:eastAsia="Arial" w:hAnsi="Arial"/>
                <w:b/>
                <w:bCs/>
                <w:color w:val="FFFFFF"/>
                <w:sz w:val="18"/>
                <w:szCs w:val="18"/>
              </w:rPr>
              <w:t xml:space="preserve">Company</w:t>
            </w:r>
          </w:p>
        </w:tc>
        <w:tc>
          <w:tcPr>
            <w:tcW w:type="dxa" w:w="3700"/>
            <w:tcBorders>
              <w:top w:val="single" w:color="BBBBBB" w:sz="4"/>
              <w:left w:val="single" w:color="BBBBBB" w:sz="4"/>
              <w:bottom w:val="single" w:color="BBBBBB" w:sz="4"/>
              <w:right w:val="single" w:color="BBBBBB" w:sz="4"/>
            </w:tcBorders>
            <w:shd w:fill="1F4E3D" w:color="auto" w:val="clear"/>
            <w:tcMar>
              <w:top w:type="dxa" w:w="60"/>
              <w:left w:type="dxa" w:w="90"/>
              <w:bottom w:type="dxa" w:w="60"/>
              <w:right w:type="dxa" w:w="90"/>
            </w:tcMar>
          </w:tcPr>
          <w:p>
            <w:r>
              <w:rPr>
                <w:rFonts w:ascii="Arial" w:cs="Arial" w:eastAsia="Arial" w:hAnsi="Arial"/>
                <w:b/>
                <w:bCs/>
                <w:color w:val="FFFFFF"/>
                <w:sz w:val="18"/>
                <w:szCs w:val="18"/>
              </w:rPr>
              <w:t xml:space="preserve">Segment</w:t>
            </w:r>
          </w:p>
        </w:tc>
        <w:tc>
          <w:tcPr>
            <w:tcW w:type="dxa" w:w="1926"/>
            <w:tcBorders>
              <w:top w:val="single" w:color="BBBBBB" w:sz="4"/>
              <w:left w:val="single" w:color="BBBBBB" w:sz="4"/>
              <w:bottom w:val="single" w:color="BBBBBB" w:sz="4"/>
              <w:right w:val="single" w:color="BBBBBB" w:sz="4"/>
            </w:tcBorders>
            <w:shd w:fill="1F4E3D" w:color="auto" w:val="clear"/>
            <w:tcMar>
              <w:top w:type="dxa" w:w="60"/>
              <w:left w:type="dxa" w:w="90"/>
              <w:bottom w:type="dxa" w:w="60"/>
              <w:right w:type="dxa" w:w="90"/>
            </w:tcMar>
          </w:tcPr>
          <w:p>
            <w:r>
              <w:rPr>
                <w:rFonts w:ascii="Arial" w:cs="Arial" w:eastAsia="Arial" w:hAnsi="Arial"/>
                <w:b/>
                <w:bCs/>
                <w:color w:val="FFFFFF"/>
                <w:sz w:val="18"/>
                <w:szCs w:val="18"/>
              </w:rPr>
              <w:t xml:space="preserve">Funding (USD M)</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Greenko Group</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Renewable power and storage</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6,700</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Avaada Group</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Renewable power, green hydrogen</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3,700</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3</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EV Co</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Electric vehicles (entity unclear)</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463.9</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4</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Euler Motors</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Electric commercial three-wheelers</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376.9</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5</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Simple Energy</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Electric two-wheelers</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290.5</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6</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Bounce</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Electric mobility, battery swapping</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238.1</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7</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Battery Smart</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Battery swapping</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228.1</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8</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Ultraviolette Automotive</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Electric motorcycles</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220.9</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9</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Carbon Clean Solutions</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Carbon capture</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190.6</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10</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CleanMax</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Commercial and industrial solar</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188.2</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11</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River</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Electric scooters</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188.0</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12</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SUN Mobility</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Battery swapping, energy infrastructure</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135.0</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13</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SolarSquare</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Rooftop solar</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113.3</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14</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Ecozen Solutions</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Solar cold chain, agri-energy</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107.4</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15</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EKA Mobility</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Electric buses, commercial EVs</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103.9</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16</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Bidgely</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Energy analytics software</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97.7</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17</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Matter</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Electric motorcycles, batteries</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88.0</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18</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ChargeZone</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EV charging</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86.1</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19</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Twenty Two Motors</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Electric two-wheelers</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66.6</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20</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Exponent Energy</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Fast-charging batteries</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65.4</w:t>
            </w:r>
          </w:p>
        </w:tc>
      </w:tr>
    </w:tbl>
    <w:p>
      <w:pPr>
        <w:spacing w:after="100"/>
      </w:pPr>
    </w:p>
    <w:p>
      <w:pPr>
        <w:pStyle w:val="Heading2"/>
        <w:spacing w:after="100" w:before="220"/>
      </w:pPr>
      <w:r>
        <w:rPr>
          <w:rFonts w:ascii="Arial" w:cs="Arial" w:eastAsia="Arial" w:hAnsi="Arial"/>
          <w:b/>
          <w:bCs/>
          <w:color w:val="1F4E3D"/>
          <w:sz w:val="23"/>
          <w:szCs w:val="23"/>
        </w:rPr>
        <w:t xml:space="preserve">3.1 Weaknesses of this ranking</w:t>
      </w:r>
    </w:p>
    <w:p>
      <w:pPr>
        <w:pStyle w:val="ListParagraph"/>
        <w:numPr>
          <w:ilvl w:val="0"/>
          <w:numId w:val="3"/>
        </w:numPr>
        <w:spacing w:after="70" w:line="264"/>
      </w:pPr>
      <w:r>
        <w:rPr>
          <w:rFonts w:ascii="Arial" w:cs="Arial" w:eastAsia="Arial" w:hAnsi="Arial"/>
          <w:b/>
          <w:bCs/>
          <w:sz w:val="21"/>
          <w:szCs w:val="21"/>
        </w:rPr>
        <w:t xml:space="preserve">Debt inflates some totals. </w:t>
      </w:r>
      <w:r>
        <w:rPr>
          <w:rFonts w:ascii="Arial" w:cs="Arial" w:eastAsia="Arial" w:hAnsi="Arial"/>
          <w:sz w:val="21"/>
          <w:szCs w:val="21"/>
        </w:rPr>
        <w:t xml:space="preserve">Greenko, Avaada and CleanMax are project developers whose funding is largely debt. Together they hold about 78% of the combined funding of the 20 companies. Ranking by equity raised would change the order, but equity-only data was not available consistently.</w:t>
      </w:r>
    </w:p>
    <w:p>
      <w:pPr>
        <w:pStyle w:val="ListParagraph"/>
        <w:numPr>
          <w:ilvl w:val="0"/>
          <w:numId w:val="3"/>
        </w:numPr>
        <w:spacing w:after="70" w:line="264"/>
      </w:pPr>
      <w:r>
        <w:rPr>
          <w:rFonts w:ascii="Arial" w:cs="Arial" w:eastAsia="Arial" w:hAnsi="Arial"/>
          <w:b/>
          <w:bCs/>
          <w:sz w:val="21"/>
          <w:szCs w:val="21"/>
        </w:rPr>
        <w:t xml:space="preserve">Mobility dominates. </w:t>
      </w:r>
      <w:r>
        <w:rPr>
          <w:rFonts w:ascii="Arial" w:cs="Arial" w:eastAsia="Arial" w:hAnsi="Arial"/>
          <w:sz w:val="21"/>
          <w:szCs w:val="21"/>
        </w:rPr>
        <w:t xml:space="preserve">Thirteen of the 20 are electric mobility, battery or charging companies. No waste or water company appears, even though Tracxn reports $477 million of cumulative funding in solid waste and $208 million in water. Recykal ($60.2M) is the next company in line at rank 21.</w:t>
      </w:r>
    </w:p>
    <w:p>
      <w:pPr>
        <w:pStyle w:val="ListParagraph"/>
        <w:numPr>
          <w:ilvl w:val="0"/>
          <w:numId w:val="3"/>
        </w:numPr>
        <w:spacing w:after="70" w:line="264"/>
      </w:pPr>
      <w:r>
        <w:rPr>
          <w:rFonts w:ascii="Arial" w:cs="Arial" w:eastAsia="Arial" w:hAnsi="Arial"/>
          <w:b/>
          <w:bCs/>
          <w:sz w:val="21"/>
          <w:szCs w:val="21"/>
        </w:rPr>
        <w:t xml:space="preserve">Source mismatch. </w:t>
      </w:r>
      <w:r>
        <w:rPr>
          <w:rFonts w:ascii="Arial" w:cs="Arial" w:eastAsia="Arial" w:hAnsi="Arial"/>
          <w:sz w:val="21"/>
          <w:szCs w:val="21"/>
        </w:rPr>
        <w:t xml:space="preserve">Figures come from different Inc42 pages and dates. Simple Energy and Ultraviolette raised large rounds in September 2026, so check that those rounds are in the totals.</w:t>
      </w:r>
    </w:p>
    <w:p>
      <w:pPr>
        <w:pStyle w:val="ListParagraph"/>
        <w:numPr>
          <w:ilvl w:val="0"/>
          <w:numId w:val="3"/>
        </w:numPr>
        <w:spacing w:after="70" w:line="264"/>
      </w:pPr>
      <w:r>
        <w:rPr>
          <w:rFonts w:ascii="Arial" w:cs="Arial" w:eastAsia="Arial" w:hAnsi="Arial"/>
          <w:b/>
          <w:bCs/>
          <w:sz w:val="21"/>
          <w:szCs w:val="21"/>
        </w:rPr>
        <w:t xml:space="preserve">Entity uncertainty. </w:t>
      </w:r>
      <w:r>
        <w:rPr>
          <w:rFonts w:ascii="Arial" w:cs="Arial" w:eastAsia="Arial" w:hAnsi="Arial"/>
          <w:sz w:val="21"/>
          <w:szCs w:val="21"/>
        </w:rPr>
        <w:t xml:space="preserve">The record named EV Co could not be tied to a known operating company. Confirm it before using it in the patent search.</w:t>
      </w:r>
    </w:p>
    <w:p>
      <w:pPr>
        <w:pStyle w:val="Heading2"/>
        <w:spacing w:after="100" w:before="220"/>
      </w:pPr>
      <w:r>
        <w:rPr>
          <w:rFonts w:ascii="Arial" w:cs="Arial" w:eastAsia="Arial" w:hAnsi="Arial"/>
          <w:b/>
          <w:bCs/>
          <w:color w:val="1F4E3D"/>
          <w:sz w:val="23"/>
          <w:szCs w:val="23"/>
        </w:rPr>
        <w:t xml:space="preserve">3.2 If your study needs a different cut</w:t>
      </w:r>
    </w:p>
    <w:p>
      <w:pPr>
        <w:spacing w:after="120" w:line="276"/>
      </w:pPr>
      <w:r>
        <w:rPr>
          <w:rFonts w:ascii="Arial" w:cs="Arial" w:eastAsia="Arial" w:hAnsi="Arial"/>
          <w:sz w:val="21"/>
          <w:szCs w:val="21"/>
        </w:rPr>
        <w:t xml:space="preserve">If you want breadth across environmental segments rather than raw size, rank within segments (renewables, mobility, waste, water, carbon, air) and take the top few from each. The Segment column supports this directly. If you want only venture-style startups, drop the three infrastructure developers and promote the next three names.</w:t>
      </w:r>
    </w:p>
    <w:p>
      <w:pPr>
        <w:pStyle w:val="Heading1"/>
        <w:spacing w:after="140" w:before="320"/>
      </w:pPr>
      <w:r>
        <w:rPr>
          <w:rFonts w:ascii="Arial" w:cs="Arial" w:eastAsia="Arial" w:hAnsi="Arial"/>
          <w:b/>
          <w:bCs/>
          <w:color w:val="1F4E3D"/>
          <w:sz w:val="28"/>
          <w:szCs w:val="28"/>
        </w:rPr>
        <w:t xml:space="preserve">4. Downloading patent data from WIPO (Deliverable 2.i)</w:t>
      </w:r>
    </w:p>
    <w:p>
      <w:pPr>
        <w:spacing w:after="120" w:line="276"/>
      </w:pPr>
      <w:r>
        <w:rPr>
          <w:rFonts w:ascii="Arial" w:cs="Arial" w:eastAsia="Arial" w:hAnsi="Arial"/>
          <w:sz w:val="21"/>
          <w:szCs w:val="21"/>
        </w:rPr>
        <w:t xml:space="preserve">PATENTSCOPE is WIPO's free search system for international (PCT) applications and a set of national and regional collections. Check the current list of included offices, including India, on the PATENTSCOPE help pages, since coverage varies.</w:t>
      </w:r>
    </w:p>
    <w:p>
      <w:pPr>
        <w:pStyle w:val="ListParagraph"/>
        <w:numPr>
          <w:ilvl w:val="0"/>
          <w:numId w:val="2"/>
        </w:numPr>
        <w:spacing w:after="80" w:line="264"/>
      </w:pPr>
      <w:r>
        <w:rPr>
          <w:rFonts w:ascii="Arial" w:cs="Arial" w:eastAsia="Arial" w:hAnsi="Arial"/>
          <w:sz w:val="21"/>
          <w:szCs w:val="21"/>
        </w:rPr>
        <w:t xml:space="preserve">Prepare names. For each company, confirm the registered legal name on MCA21 or a company-data site, and note former names. Add them to the Aliases sheet.</w:t>
      </w:r>
    </w:p>
    <w:p>
      <w:pPr>
        <w:pStyle w:val="ListParagraph"/>
        <w:numPr>
          <w:ilvl w:val="0"/>
          <w:numId w:val="2"/>
        </w:numPr>
        <w:spacing w:after="80" w:line="264"/>
      </w:pPr>
      <w:r>
        <w:rPr>
          <w:rFonts w:ascii="Arial" w:cs="Arial" w:eastAsia="Arial" w:hAnsi="Arial"/>
          <w:sz w:val="21"/>
          <w:szCs w:val="21"/>
        </w:rPr>
        <w:t xml:space="preserve">Search by applicant. Use the Advanced Search and the applicant field (field code PA). For example: PA:("Euler Motors"). Run one search per company and per alias. Avoid generic names on their own (Bounce, River, Matter, EV Co) and use the legal entity name instead.</w:t>
      </w:r>
    </w:p>
    <w:p>
      <w:pPr>
        <w:pStyle w:val="ListParagraph"/>
        <w:numPr>
          <w:ilvl w:val="0"/>
          <w:numId w:val="2"/>
        </w:numPr>
        <w:spacing w:after="80" w:line="264"/>
      </w:pPr>
      <w:r>
        <w:rPr>
          <w:rFonts w:ascii="Arial" w:cs="Arial" w:eastAsia="Arial" w:hAnsi="Arial"/>
          <w:sz w:val="21"/>
          <w:szCs w:val="21"/>
        </w:rPr>
        <w:t xml:space="preserve">Set filters. Record the date range you used. Keep all offices unless your study is limited to PCT filings.</w:t>
      </w:r>
    </w:p>
    <w:p>
      <w:pPr>
        <w:pStyle w:val="ListParagraph"/>
        <w:numPr>
          <w:ilvl w:val="0"/>
          <w:numId w:val="2"/>
        </w:numPr>
        <w:spacing w:after="80" w:line="264"/>
      </w:pPr>
      <w:r>
        <w:rPr>
          <w:rFonts w:ascii="Arial" w:cs="Arial" w:eastAsia="Arial" w:hAnsi="Arial"/>
          <w:sz w:val="21"/>
          <w:szCs w:val="21"/>
        </w:rPr>
        <w:t xml:space="preserve">Export. Use the results download option to export to Excel or CSV. Export size is capped per download, so check the current limit and split large result sets by year. Save every file unedited in a folder named raw_wipo, with the query text and the date in the file name.</w:t>
      </w:r>
    </w:p>
    <w:p>
      <w:pPr>
        <w:pStyle w:val="ListParagraph"/>
        <w:numPr>
          <w:ilvl w:val="0"/>
          <w:numId w:val="2"/>
        </w:numPr>
        <w:spacing w:after="80" w:line="264"/>
      </w:pPr>
      <w:r>
        <w:rPr>
          <w:rFonts w:ascii="Arial" w:cs="Arial" w:eastAsia="Arial" w:hAnsi="Arial"/>
          <w:sz w:val="21"/>
          <w:szCs w:val="21"/>
        </w:rPr>
        <w:t xml:space="preserve">Log it. Record each query string, run date, hit count and file name in a short log. This is your audit trail for the raw-data deliverable.</w:t>
      </w:r>
    </w:p>
    <w:p>
      <w:pPr>
        <w:pStyle w:val="ListParagraph"/>
        <w:numPr>
          <w:ilvl w:val="0"/>
          <w:numId w:val="2"/>
        </w:numPr>
        <w:spacing w:after="80" w:line="264"/>
      </w:pPr>
      <w:r>
        <w:rPr>
          <w:rFonts w:ascii="Arial" w:cs="Arial" w:eastAsia="Arial" w:hAnsi="Arial"/>
          <w:sz w:val="21"/>
          <w:szCs w:val="21"/>
        </w:rPr>
        <w:t xml:space="preserve">Paste into WIPO_Raw (columns A to J), starting at row 5.</w:t>
      </w:r>
    </w:p>
    <w:p>
      <w:pPr>
        <w:pStyle w:val="Heading2"/>
        <w:spacing w:after="100" w:before="220"/>
      </w:pPr>
      <w:r>
        <w:rPr>
          <w:rFonts w:ascii="Arial" w:cs="Arial" w:eastAsia="Arial" w:hAnsi="Arial"/>
          <w:b/>
          <w:bCs/>
          <w:color w:val="1F4E3D"/>
          <w:sz w:val="23"/>
          <w:szCs w:val="23"/>
        </w:rPr>
        <w:t xml:space="preserve">4.1 Filed versus granted</w:t>
      </w:r>
    </w:p>
    <w:p>
      <w:pPr>
        <w:spacing w:after="120" w:line="276"/>
      </w:pPr>
      <w:r>
        <w:rPr>
          <w:rFonts w:ascii="Arial" w:cs="Arial" w:eastAsia="Arial" w:hAnsi="Arial"/>
          <w:sz w:val="21"/>
          <w:szCs w:val="21"/>
        </w:rPr>
        <w:t xml:space="preserve">PATENTSCOPE mainly lists published applications. A published application is not a granted patent, and the database does not reliably flag grants. Treat the export as 'filed or published'. To identify grants, use kind codes where the office provides them, or check the national register (for India, the Indian Patent Office's public search). The workbook has a Status column for this, and the summary reports granted and filed counts separately.</w:t>
      </w:r>
    </w:p>
    <w:p>
      <w:pPr>
        <w:pStyle w:val="Heading1"/>
        <w:spacing w:after="140" w:before="320"/>
      </w:pPr>
      <w:r>
        <w:rPr>
          <w:rFonts w:ascii="Arial" w:cs="Arial" w:eastAsia="Arial" w:hAnsi="Arial"/>
          <w:b/>
          <w:bCs/>
          <w:color w:val="1F4E3D"/>
          <w:sz w:val="28"/>
          <w:szCs w:val="28"/>
        </w:rPr>
        <w:t xml:space="preserve">5. Matching process (Deliverable 2.iii)</w:t>
      </w:r>
    </w:p>
    <w:p>
      <w:pPr>
        <w:spacing w:after="120" w:line="276"/>
      </w:pPr>
      <w:r>
        <w:rPr>
          <w:rFonts w:ascii="Arial" w:cs="Arial" w:eastAsia="Arial" w:hAnsi="Arial"/>
          <w:sz w:val="21"/>
          <w:szCs w:val="21"/>
        </w:rPr>
        <w:t xml:space="preserve">The goal is to attach each WIPO record to exactly one company from the top-20 list, with a record of how sure we are. The workbook implements steps 3 to 5.</w:t>
      </w:r>
    </w:p>
    <w:p>
      <w:pPr>
        <w:pStyle w:val="ListParagraph"/>
        <w:numPr>
          <w:ilvl w:val="0"/>
          <w:numId w:val="2"/>
        </w:numPr>
        <w:spacing w:after="80" w:line="264"/>
      </w:pPr>
      <w:r>
        <w:rPr>
          <w:rFonts w:ascii="Arial" w:cs="Arial" w:eastAsia="Arial" w:hAnsi="Arial"/>
          <w:b/>
          <w:bCs/>
          <w:sz w:val="21"/>
          <w:szCs w:val="21"/>
        </w:rPr>
        <w:t xml:space="preserve">Build the alias table. </w:t>
      </w:r>
      <w:r>
        <w:rPr>
          <w:rFonts w:ascii="Arial" w:cs="Arial" w:eastAsia="Arial" w:hAnsi="Arial"/>
          <w:sz w:val="21"/>
          <w:szCs w:val="21"/>
        </w:rPr>
        <w:t xml:space="preserve">One row per name a company might file under: brand name, registered name, former names, common spellings. Each alias maps to a single canonical company name from the Top20 sheet.</w:t>
      </w:r>
    </w:p>
    <w:p>
      <w:pPr>
        <w:pStyle w:val="ListParagraph"/>
        <w:numPr>
          <w:ilvl w:val="0"/>
          <w:numId w:val="2"/>
        </w:numPr>
        <w:spacing w:after="80" w:line="264"/>
      </w:pPr>
      <w:r>
        <w:rPr>
          <w:rFonts w:ascii="Arial" w:cs="Arial" w:eastAsia="Arial" w:hAnsi="Arial"/>
          <w:b/>
          <w:bCs/>
          <w:sz w:val="21"/>
          <w:szCs w:val="21"/>
        </w:rPr>
        <w:t xml:space="preserve">Normalise. </w:t>
      </w:r>
      <w:r>
        <w:rPr>
          <w:rFonts w:ascii="Arial" w:cs="Arial" w:eastAsia="Arial" w:hAnsi="Arial"/>
          <w:sz w:val="21"/>
          <w:szCs w:val="21"/>
        </w:rPr>
        <w:t xml:space="preserve">Matching is case-insensitive. Ignore suffixes such as Pvt, Private, Ltd and Limited by storing aliases without them (for example 'Euler Motors', which matches 'EULER MOTORS PRIVATE LIMITED').</w:t>
      </w:r>
    </w:p>
    <w:p>
      <w:pPr>
        <w:pStyle w:val="ListParagraph"/>
        <w:numPr>
          <w:ilvl w:val="0"/>
          <w:numId w:val="2"/>
        </w:numPr>
        <w:spacing w:after="80" w:line="264"/>
      </w:pPr>
      <w:r>
        <w:rPr>
          <w:rFonts w:ascii="Arial" w:cs="Arial" w:eastAsia="Arial" w:hAnsi="Arial"/>
          <w:b/>
          <w:bCs/>
          <w:sz w:val="21"/>
          <w:szCs w:val="21"/>
        </w:rPr>
        <w:t xml:space="preserve">Match automatically. </w:t>
      </w:r>
      <w:r>
        <w:rPr>
          <w:rFonts w:ascii="Arial" w:cs="Arial" w:eastAsia="Arial" w:hAnsi="Arial"/>
          <w:sz w:val="21"/>
          <w:szCs w:val="21"/>
        </w:rPr>
        <w:t xml:space="preserve">Column L of WIPO_Raw searches the applicant field for each alias and returns the company name of the first alias found, or UNMATCHED. Records with several applicants are matched if any applicant matches.</w:t>
      </w:r>
    </w:p>
    <w:p>
      <w:pPr>
        <w:pStyle w:val="ListParagraph"/>
        <w:numPr>
          <w:ilvl w:val="0"/>
          <w:numId w:val="2"/>
        </w:numPr>
        <w:spacing w:after="80" w:line="264"/>
      </w:pPr>
      <w:r>
        <w:rPr>
          <w:rFonts w:ascii="Arial" w:cs="Arial" w:eastAsia="Arial" w:hAnsi="Arial"/>
          <w:b/>
          <w:bCs/>
          <w:sz w:val="21"/>
          <w:szCs w:val="21"/>
        </w:rPr>
        <w:t xml:space="preserve">Review manually. </w:t>
      </w:r>
      <w:r>
        <w:rPr>
          <w:rFonts w:ascii="Arial" w:cs="Arial" w:eastAsia="Arial" w:hAnsi="Arial"/>
          <w:sz w:val="21"/>
          <w:szCs w:val="21"/>
        </w:rPr>
        <w:t xml:space="preserve">Open every record from a high or medium risk alias (the Aliases sheet rates the risk). Mark each as Confirmed or False positive in column M, using the title, inventors and IPC class to judge. False positives drop out of the counts but stay in the sheet for audit.</w:t>
      </w:r>
    </w:p>
    <w:p>
      <w:pPr>
        <w:pStyle w:val="ListParagraph"/>
        <w:numPr>
          <w:ilvl w:val="0"/>
          <w:numId w:val="2"/>
        </w:numPr>
        <w:spacing w:after="80" w:line="264"/>
      </w:pPr>
      <w:r>
        <w:rPr>
          <w:rFonts w:ascii="Arial" w:cs="Arial" w:eastAsia="Arial" w:hAnsi="Arial"/>
          <w:b/>
          <w:bCs/>
          <w:sz w:val="21"/>
          <w:szCs w:val="21"/>
        </w:rPr>
        <w:t xml:space="preserve">Check recall. </w:t>
      </w:r>
      <w:r>
        <w:rPr>
          <w:rFonts w:ascii="Arial" w:cs="Arial" w:eastAsia="Arial" w:hAnsi="Arial"/>
          <w:sz w:val="21"/>
          <w:szCs w:val="21"/>
        </w:rPr>
        <w:t xml:space="preserve">Search by founder and known inventor names, and look at UNMATCHED records whose applicant looks like a subsidiary or a renamed entity. Add any new names to the alias table and let the formula rerun.</w:t>
      </w:r>
    </w:p>
    <w:p>
      <w:pPr>
        <w:pStyle w:val="ListParagraph"/>
        <w:numPr>
          <w:ilvl w:val="0"/>
          <w:numId w:val="2"/>
        </w:numPr>
        <w:spacing w:after="80" w:line="264"/>
      </w:pPr>
      <w:r>
        <w:rPr>
          <w:rFonts w:ascii="Arial" w:cs="Arial" w:eastAsia="Arial" w:hAnsi="Arial"/>
          <w:b/>
          <w:bCs/>
          <w:sz w:val="21"/>
          <w:szCs w:val="21"/>
        </w:rPr>
        <w:t xml:space="preserve">Merge. </w:t>
      </w:r>
      <w:r>
        <w:rPr>
          <w:rFonts w:ascii="Arial" w:cs="Arial" w:eastAsia="Arial" w:hAnsi="Arial"/>
          <w:sz w:val="21"/>
          <w:szCs w:val="21"/>
        </w:rPr>
        <w:t xml:space="preserve">Patent_Summary joins the match counts to the Top20 details by company name: segment, founding year, funding, granted count, filed count and patents per USD 100M of funding.</w:t>
      </w:r>
    </w:p>
    <w:p>
      <w:pPr>
        <w:pStyle w:val="Heading2"/>
        <w:spacing w:after="100" w:before="220"/>
      </w:pPr>
      <w:r>
        <w:rPr>
          <w:rFonts w:ascii="Arial" w:cs="Arial" w:eastAsia="Arial" w:hAnsi="Arial"/>
          <w:b/>
          <w:bCs/>
          <w:color w:val="1F4E3D"/>
          <w:sz w:val="23"/>
          <w:szCs w:val="23"/>
        </w:rPr>
        <w:t xml:space="preserve">5.1 Decisions to make before you count</w:t>
      </w:r>
    </w:p>
    <w:p>
      <w:pPr>
        <w:pStyle w:val="ListParagraph"/>
        <w:numPr>
          <w:ilvl w:val="0"/>
          <w:numId w:val="3"/>
        </w:numPr>
        <w:spacing w:after="70" w:line="264"/>
      </w:pPr>
      <w:r>
        <w:rPr>
          <w:rFonts w:ascii="Arial" w:cs="Arial" w:eastAsia="Arial" w:hAnsi="Arial"/>
          <w:b/>
          <w:bCs/>
          <w:sz w:val="21"/>
          <w:szCs w:val="21"/>
        </w:rPr>
        <w:t xml:space="preserve">Unit of count. </w:t>
      </w:r>
      <w:r>
        <w:rPr>
          <w:rFonts w:ascii="Arial" w:cs="Arial" w:eastAsia="Arial" w:hAnsi="Arial"/>
          <w:sz w:val="21"/>
          <w:szCs w:val="21"/>
        </w:rPr>
        <w:t xml:space="preserve">The same invention appears as a PCT publication and again as national-phase filings. The workbook counts records. If you want inventions, group by patent family and count once.</w:t>
      </w:r>
    </w:p>
    <w:p>
      <w:pPr>
        <w:pStyle w:val="ListParagraph"/>
        <w:numPr>
          <w:ilvl w:val="0"/>
          <w:numId w:val="3"/>
        </w:numPr>
        <w:spacing w:after="70" w:line="264"/>
      </w:pPr>
      <w:r>
        <w:rPr>
          <w:rFonts w:ascii="Arial" w:cs="Arial" w:eastAsia="Arial" w:hAnsi="Arial"/>
          <w:b/>
          <w:bCs/>
          <w:sz w:val="21"/>
          <w:szCs w:val="21"/>
        </w:rPr>
        <w:t xml:space="preserve">Name changes and acquisitions. </w:t>
      </w:r>
      <w:r>
        <w:rPr>
          <w:rFonts w:ascii="Arial" w:cs="Arial" w:eastAsia="Arial" w:hAnsi="Arial"/>
          <w:sz w:val="21"/>
          <w:szCs w:val="21"/>
        </w:rPr>
        <w:t xml:space="preserve">Decide whether patents filed before a company was founded, or by a predecessor entity, count.</w:t>
      </w:r>
    </w:p>
    <w:p>
      <w:pPr>
        <w:pStyle w:val="ListParagraph"/>
        <w:numPr>
          <w:ilvl w:val="0"/>
          <w:numId w:val="3"/>
        </w:numPr>
        <w:spacing w:after="70" w:line="264"/>
      </w:pPr>
      <w:r>
        <w:rPr>
          <w:rFonts w:ascii="Arial" w:cs="Arial" w:eastAsia="Arial" w:hAnsi="Arial"/>
          <w:b/>
          <w:bCs/>
          <w:sz w:val="21"/>
          <w:szCs w:val="21"/>
        </w:rPr>
        <w:t xml:space="preserve">Subsidiaries. </w:t>
      </w:r>
      <w:r>
        <w:rPr>
          <w:rFonts w:ascii="Arial" w:cs="Arial" w:eastAsia="Arial" w:hAnsi="Arial"/>
          <w:sz w:val="21"/>
          <w:szCs w:val="21"/>
        </w:rPr>
        <w:t xml:space="preserve">Decide whether foreign subsidiaries (for example Carbon Clean's UK entity) count toward the Indian startup.</w:t>
      </w:r>
    </w:p>
    <w:p>
      <w:pPr>
        <w:pStyle w:val="Heading2"/>
        <w:spacing w:after="100" w:before="220"/>
      </w:pPr>
      <w:r>
        <w:rPr>
          <w:rFonts w:ascii="Arial" w:cs="Arial" w:eastAsia="Arial" w:hAnsi="Arial"/>
          <w:b/>
          <w:bCs/>
          <w:color w:val="1F4E3D"/>
          <w:sz w:val="23"/>
          <w:szCs w:val="23"/>
        </w:rPr>
        <w:t xml:space="preserve">5.2 Matching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BBBBBB" w:sz="4"/>
              <w:left w:val="single" w:color="BBBBBB" w:sz="4"/>
              <w:bottom w:val="single" w:color="BBBBBB" w:sz="4"/>
              <w:right w:val="single" w:color="BBBBBB" w:sz="4"/>
            </w:tcBorders>
            <w:shd w:fill="1F4E3D" w:color="auto" w:val="clear"/>
            <w:tcMar>
              <w:top w:type="dxa" w:w="60"/>
              <w:left w:type="dxa" w:w="90"/>
              <w:bottom w:type="dxa" w:w="60"/>
              <w:right w:type="dxa" w:w="90"/>
            </w:tcMar>
          </w:tcPr>
          <w:p>
            <w:r>
              <w:rPr>
                <w:rFonts w:ascii="Arial" w:cs="Arial" w:eastAsia="Arial" w:hAnsi="Arial"/>
                <w:b/>
                <w:bCs/>
                <w:color w:val="FFFFFF"/>
                <w:sz w:val="18"/>
                <w:szCs w:val="18"/>
              </w:rPr>
              <w:t xml:space="preserve">Company or alias</w:t>
            </w:r>
          </w:p>
        </w:tc>
        <w:tc>
          <w:tcPr>
            <w:tcW w:type="dxa" w:w="1500"/>
            <w:tcBorders>
              <w:top w:val="single" w:color="BBBBBB" w:sz="4"/>
              <w:left w:val="single" w:color="BBBBBB" w:sz="4"/>
              <w:bottom w:val="single" w:color="BBBBBB" w:sz="4"/>
              <w:right w:val="single" w:color="BBBBBB" w:sz="4"/>
            </w:tcBorders>
            <w:shd w:fill="1F4E3D" w:color="auto" w:val="clear"/>
            <w:tcMar>
              <w:top w:type="dxa" w:w="60"/>
              <w:left w:type="dxa" w:w="90"/>
              <w:bottom w:type="dxa" w:w="60"/>
              <w:right w:type="dxa" w:w="90"/>
            </w:tcMar>
          </w:tcPr>
          <w:p>
            <w:r>
              <w:rPr>
                <w:rFonts w:ascii="Arial" w:cs="Arial" w:eastAsia="Arial" w:hAnsi="Arial"/>
                <w:b/>
                <w:bCs/>
                <w:color w:val="FFFFFF"/>
                <w:sz w:val="18"/>
                <w:szCs w:val="18"/>
              </w:rPr>
              <w:t xml:space="preserve">Risk</w:t>
            </w:r>
          </w:p>
        </w:tc>
        <w:tc>
          <w:tcPr>
            <w:tcW w:type="dxa" w:w="5226"/>
            <w:tcBorders>
              <w:top w:val="single" w:color="BBBBBB" w:sz="4"/>
              <w:left w:val="single" w:color="BBBBBB" w:sz="4"/>
              <w:bottom w:val="single" w:color="BBBBBB" w:sz="4"/>
              <w:right w:val="single" w:color="BBBBBB" w:sz="4"/>
            </w:tcBorders>
            <w:shd w:fill="1F4E3D" w:color="auto" w:val="clear"/>
            <w:tcMar>
              <w:top w:type="dxa" w:w="60"/>
              <w:left w:type="dxa" w:w="90"/>
              <w:bottom w:type="dxa" w:w="60"/>
              <w:right w:type="dxa" w:w="90"/>
            </w:tcMar>
          </w:tcPr>
          <w:p>
            <w:r>
              <w:rPr>
                <w:rFonts w:ascii="Arial" w:cs="Arial" w:eastAsia="Arial" w:hAnsi="Arial"/>
                <w:b/>
                <w:bCs/>
                <w:color w:val="FFFFFF"/>
                <w:sz w:val="18"/>
                <w:szCs w:val="18"/>
              </w:rPr>
              <w:t xml:space="preserve">Reason</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Bounce, River, Matter, EV Co</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High</w:t>
            </w:r>
          </w:p>
        </w:tc>
        <w:tc>
          <w:tcPr>
            <w:tcW w:type="dxa" w:w="5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Common words that match unrelated applicants. Use legal entity names; alias table already uses working names for River and Matter that need confirming.</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Simple Energy, SUN Mobility, Battery Smart</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Medium</w:t>
            </w:r>
          </w:p>
        </w:tc>
        <w:tc>
          <w:tcPr>
            <w:tcW w:type="dxa" w:w="5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Descriptive phrases that other firms may use.</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Greenko, Avaada, CleanMax</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Low (name) / Medium (scope)</w:t>
            </w:r>
          </w:p>
        </w:tc>
        <w:tc>
          <w:tcPr>
            <w:tcW w:type="dxa" w:w="5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Distinct names, but many group entities. Capture all of them.</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Carbon Clean, Bidgely</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Medium</w:t>
            </w:r>
          </w:p>
        </w:tc>
        <w:tc>
          <w:tcPr>
            <w:tcW w:type="dxa" w:w="5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Files mainly through non-Indian entities.</w:t>
            </w:r>
          </w:p>
        </w:tc>
      </w:tr>
    </w:tbl>
    <w:p>
      <w:pPr>
        <w:spacing w:after="100"/>
      </w:pPr>
    </w:p>
    <w:p>
      <w:pPr>
        <w:pStyle w:val="Heading1"/>
        <w:spacing w:after="140" w:before="320"/>
      </w:pPr>
      <w:r>
        <w:rPr>
          <w:rFonts w:ascii="Arial" w:cs="Arial" w:eastAsia="Arial" w:hAnsi="Arial"/>
          <w:b/>
          <w:bCs/>
          <w:color w:val="1F4E3D"/>
          <w:sz w:val="28"/>
          <w:szCs w:val="28"/>
        </w:rPr>
        <w:t xml:space="preserve">6. Limitations and next steps</w:t>
      </w:r>
    </w:p>
    <w:p>
      <w:pPr>
        <w:pStyle w:val="ListParagraph"/>
        <w:numPr>
          <w:ilvl w:val="0"/>
          <w:numId w:val="3"/>
        </w:numPr>
        <w:spacing w:after="70" w:line="264"/>
      </w:pPr>
      <w:r>
        <w:rPr>
          <w:rFonts w:ascii="Arial" w:cs="Arial" w:eastAsia="Arial" w:hAnsi="Arial"/>
          <w:sz w:val="21"/>
          <w:szCs w:val="21"/>
        </w:rPr>
        <w:t xml:space="preserve">Verify every funding figure and company identity against a second source before publishing. The Verify column in the Top20 sheet lists the specific doubts.</w:t>
      </w:r>
    </w:p>
    <w:p>
      <w:pPr>
        <w:pStyle w:val="ListParagraph"/>
        <w:numPr>
          <w:ilvl w:val="0"/>
          <w:numId w:val="3"/>
        </w:numPr>
        <w:spacing w:after="70" w:line="264"/>
      </w:pPr>
      <w:r>
        <w:rPr>
          <w:rFonts w:ascii="Arial" w:cs="Arial" w:eastAsia="Arial" w:hAnsi="Arial"/>
          <w:sz w:val="21"/>
          <w:szCs w:val="21"/>
        </w:rPr>
        <w:t xml:space="preserve">Run the PATENTSCOPE searches in section 4, paste the data in, and complete the manual review. Until then Patent_Summary is blank.</w:t>
      </w:r>
    </w:p>
    <w:p>
      <w:pPr>
        <w:pStyle w:val="ListParagraph"/>
        <w:numPr>
          <w:ilvl w:val="0"/>
          <w:numId w:val="3"/>
        </w:numPr>
        <w:spacing w:after="70" w:line="264"/>
      </w:pPr>
      <w:r>
        <w:rPr>
          <w:rFonts w:ascii="Arial" w:cs="Arial" w:eastAsia="Arial" w:hAnsi="Arial"/>
          <w:sz w:val="21"/>
          <w:szCs w:val="21"/>
        </w:rPr>
        <w:t xml:space="preserve">Decide the definition questions in section 3.2 and 5.1 early, since they change the list and the counts.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Un-named</cp:lastModifiedBy>
  <cp:revision>1</cp:revision>
  <dcterms:created xsi:type="dcterms:W3CDTF">2026-10-19T15:01:50.951Z</dcterms:created>
  <dcterms:modified xsi:type="dcterms:W3CDTF">2026-10-19T15:01:50.967Z</dcterms:modified>
</cp:coreProperties>
</file>

<file path=docProps/custom.xml><?xml version="1.0" encoding="utf-8"?>
<Properties xmlns="http://schemas.openxmlformats.org/officeDocument/2006/custom-properties" xmlns:vt="http://schemas.openxmlformats.org/officeDocument/2006/docPropsVTypes"/>
</file>