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DB58" w14:textId="77777777" w:rsidR="00B30A83" w:rsidRPr="002C49A9" w:rsidRDefault="00B30A83" w:rsidP="00CB7F70">
      <w:pPr>
        <w:pStyle w:val="Heading2"/>
        <w:spacing w:line="240" w:lineRule="auto"/>
        <w:rPr>
          <w:rFonts w:ascii="Nunito Sans" w:hAnsi="Nunito Sans"/>
          <w:b/>
          <w:bCs/>
          <w:color w:val="0137A6"/>
          <w:sz w:val="18"/>
          <w:szCs w:val="18"/>
        </w:rPr>
      </w:pPr>
      <w:r w:rsidRPr="002C49A9">
        <w:rPr>
          <w:rFonts w:ascii="Nunito Sans" w:hAnsi="Nunito Sans"/>
          <w:b/>
          <w:bCs/>
          <w:color w:val="0137A6"/>
          <w:sz w:val="18"/>
          <w:szCs w:val="18"/>
        </w:rPr>
        <w:t>Learning Exercises</w:t>
      </w:r>
    </w:p>
    <w:p w14:paraId="028D6943" w14:textId="77777777" w:rsidR="009B6B40" w:rsidRPr="00790D51" w:rsidRDefault="00B30A83" w:rsidP="00276742">
      <w:pPr>
        <w:pStyle w:val="ListParagraph"/>
        <w:numPr>
          <w:ilvl w:val="0"/>
          <w:numId w:val="1"/>
        </w:numPr>
        <w:spacing w:after="0"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790D51">
        <w:rPr>
          <w:rFonts w:ascii="Nunito Sans" w:hAnsi="Nunito Sans"/>
          <w:kern w:val="0"/>
          <w:sz w:val="18"/>
          <w:szCs w:val="18"/>
          <w14:ligatures w14:val="none"/>
        </w:rPr>
        <w:t>Which insurance liability component represents the cost of running off the unexpired portion of the insurer's policies?</w:t>
      </w:r>
    </w:p>
    <w:p w14:paraId="11A1E4AA" w14:textId="77777777" w:rsidR="009B6B40" w:rsidRPr="00790D51" w:rsidRDefault="00B30A83" w:rsidP="00CB7F70">
      <w:pPr>
        <w:pStyle w:val="ListParagraph"/>
        <w:numPr>
          <w:ilvl w:val="0"/>
          <w:numId w:val="3"/>
        </w:numPr>
        <w:spacing w:before="240" w:after="0"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790D51">
        <w:rPr>
          <w:rFonts w:ascii="Nunito Sans" w:hAnsi="Nunito Sans"/>
          <w:kern w:val="0"/>
          <w:sz w:val="18"/>
          <w:szCs w:val="18"/>
          <w14:ligatures w14:val="none"/>
        </w:rPr>
        <w:t>Liability for Incurred Claims (LIC)</w:t>
      </w:r>
    </w:p>
    <w:p w14:paraId="7D83F046" w14:textId="77777777" w:rsidR="009B6B40" w:rsidRPr="00790D51" w:rsidRDefault="00B30A83" w:rsidP="00CB7F70">
      <w:pPr>
        <w:pStyle w:val="ListParagraph"/>
        <w:numPr>
          <w:ilvl w:val="0"/>
          <w:numId w:val="3"/>
        </w:numPr>
        <w:spacing w:after="0"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790D51">
        <w:rPr>
          <w:rFonts w:ascii="Nunito Sans" w:hAnsi="Nunito Sans"/>
          <w:kern w:val="0"/>
          <w:sz w:val="18"/>
          <w:szCs w:val="18"/>
          <w14:ligatures w14:val="none"/>
        </w:rPr>
        <w:t>Risk Adjustment (RA)</w:t>
      </w:r>
    </w:p>
    <w:p w14:paraId="5D89AD24" w14:textId="77777777" w:rsidR="009B6B40" w:rsidRPr="00790D51" w:rsidRDefault="00B30A83" w:rsidP="00CB7F70">
      <w:pPr>
        <w:pStyle w:val="ListParagraph"/>
        <w:numPr>
          <w:ilvl w:val="0"/>
          <w:numId w:val="3"/>
        </w:numPr>
        <w:spacing w:after="0"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790D51">
        <w:rPr>
          <w:rFonts w:ascii="Nunito Sans" w:hAnsi="Nunito Sans"/>
          <w:kern w:val="0"/>
          <w:sz w:val="18"/>
          <w:szCs w:val="18"/>
          <w14:ligatures w14:val="none"/>
        </w:rPr>
        <w:t>Liability for Remaining Coverage (LRC)</w:t>
      </w:r>
    </w:p>
    <w:p w14:paraId="1707B8DD" w14:textId="28B39D94" w:rsidR="00B30A83" w:rsidRPr="00790D51" w:rsidRDefault="00B30A83" w:rsidP="00CB7F70">
      <w:pPr>
        <w:pStyle w:val="ListParagraph"/>
        <w:numPr>
          <w:ilvl w:val="0"/>
          <w:numId w:val="3"/>
        </w:numPr>
        <w:spacing w:after="0"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790D51">
        <w:rPr>
          <w:rFonts w:ascii="Nunito Sans" w:hAnsi="Nunito Sans"/>
          <w:kern w:val="0"/>
          <w:sz w:val="18"/>
          <w:szCs w:val="18"/>
          <w14:ligatures w14:val="none"/>
        </w:rPr>
        <w:t>Outstanding Claims Reported (OCR)</w:t>
      </w:r>
    </w:p>
    <w:p w14:paraId="195D5164" w14:textId="77777777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kern w:val="0"/>
          <w:sz w:val="18"/>
          <w:szCs w:val="18"/>
          <w:lang w:val="en-GB"/>
          <w14:ligatures w14:val="none"/>
        </w:rPr>
        <w:t>Correct Answer: C</w:t>
      </w:r>
    </w:p>
    <w:p w14:paraId="1E4BB933" w14:textId="2A339EBC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LRC reflects the value of unexpired insurance </w:t>
      </w:r>
      <w:proofErr w:type="gramStart"/>
      <w:r w:rsidRPr="00B30A83">
        <w:rPr>
          <w:rFonts w:ascii="Nunito Sans" w:hAnsi="Nunito Sans"/>
          <w:sz w:val="18"/>
          <w:szCs w:val="18"/>
        </w:rPr>
        <w:t>contracts</w:t>
      </w:r>
      <w:r w:rsidR="002C49A9">
        <w:rPr>
          <w:rFonts w:ascii="Nunito Sans" w:hAnsi="Nunito Sans"/>
          <w:sz w:val="18"/>
          <w:szCs w:val="18"/>
        </w:rPr>
        <w:t xml:space="preserve"> ,</w:t>
      </w:r>
      <w:proofErr w:type="gramEnd"/>
      <w:r w:rsidRPr="00B30A83">
        <w:rPr>
          <w:rFonts w:ascii="Nunito Sans" w:hAnsi="Nunito Sans"/>
          <w:sz w:val="18"/>
          <w:szCs w:val="18"/>
        </w:rPr>
        <w:t xml:space="preserve"> the cost of providing coverage for the remaining policy period.</w:t>
      </w:r>
    </w:p>
    <w:p w14:paraId="51B827AF" w14:textId="77777777" w:rsidR="00CB7F70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Which IFRS 17 measurement model is typically considered the most suitable for Group Life business, given its short-term coverage?</w:t>
      </w:r>
    </w:p>
    <w:p w14:paraId="74FE9A6C" w14:textId="77777777" w:rsidR="00CB7F70" w:rsidRDefault="00B30A83" w:rsidP="00CB7F70">
      <w:pPr>
        <w:pStyle w:val="ListParagraph"/>
        <w:numPr>
          <w:ilvl w:val="0"/>
          <w:numId w:val="4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CB7F70">
        <w:rPr>
          <w:rFonts w:ascii="Nunito Sans" w:hAnsi="Nunito Sans"/>
          <w:kern w:val="0"/>
          <w:sz w:val="18"/>
          <w:szCs w:val="18"/>
          <w14:ligatures w14:val="none"/>
        </w:rPr>
        <w:t>General Measurement Model (GMM)</w:t>
      </w:r>
    </w:p>
    <w:p w14:paraId="5FA05DAE" w14:textId="77777777" w:rsidR="00CB7F70" w:rsidRDefault="00B30A83" w:rsidP="00CB7F70">
      <w:pPr>
        <w:pStyle w:val="ListParagraph"/>
        <w:numPr>
          <w:ilvl w:val="0"/>
          <w:numId w:val="4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CB7F70">
        <w:rPr>
          <w:rFonts w:ascii="Nunito Sans" w:hAnsi="Nunito Sans"/>
          <w:kern w:val="0"/>
          <w:sz w:val="18"/>
          <w:szCs w:val="18"/>
          <w14:ligatures w14:val="none"/>
        </w:rPr>
        <w:t>Premium Allocation Approach (PAA)</w:t>
      </w:r>
    </w:p>
    <w:p w14:paraId="6A67795B" w14:textId="77777777" w:rsidR="00CB7F70" w:rsidRDefault="00B30A83" w:rsidP="00CB7F70">
      <w:pPr>
        <w:pStyle w:val="ListParagraph"/>
        <w:numPr>
          <w:ilvl w:val="0"/>
          <w:numId w:val="4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CB7F70">
        <w:rPr>
          <w:rFonts w:ascii="Nunito Sans" w:hAnsi="Nunito Sans"/>
          <w:kern w:val="0"/>
          <w:sz w:val="18"/>
          <w:szCs w:val="18"/>
          <w14:ligatures w14:val="none"/>
        </w:rPr>
        <w:t>Loss Component Model (LCM)</w:t>
      </w:r>
    </w:p>
    <w:p w14:paraId="2FB80375" w14:textId="1F571258" w:rsidR="00B30A83" w:rsidRPr="00CB7F70" w:rsidRDefault="00B30A83" w:rsidP="00CB7F70">
      <w:pPr>
        <w:pStyle w:val="ListParagraph"/>
        <w:numPr>
          <w:ilvl w:val="0"/>
          <w:numId w:val="4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CB7F70">
        <w:rPr>
          <w:rFonts w:ascii="Nunito Sans" w:hAnsi="Nunito Sans"/>
          <w:kern w:val="0"/>
          <w:sz w:val="18"/>
          <w:szCs w:val="18"/>
          <w14:ligatures w14:val="none"/>
        </w:rPr>
        <w:t>Variable Fee Approach (VFA)</w:t>
      </w:r>
    </w:p>
    <w:p w14:paraId="7806B0C0" w14:textId="77777777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41696E2E" w14:textId="560E274E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Group Life contracts are usually less than 12 months, so the simplified PAA model is most suitable under IFRS 17.</w:t>
      </w:r>
    </w:p>
    <w:p w14:paraId="21E72943" w14:textId="720850E5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Which of the following is not a sub-component of the Liability for Incurred Claims (LIC)?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Outstanding Claims Reported (OCR)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Incurred but not Reported (IBNR)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Unearned Premium Reserve (UPR)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Risk Adjustment (RA)</w:t>
      </w:r>
    </w:p>
    <w:p w14:paraId="0C187255" w14:textId="6BBF4580" w:rsidR="002C49A9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3C26AC1B" w14:textId="1945213A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UPR belongs to </w:t>
      </w:r>
      <w:r w:rsidRPr="00B30A83">
        <w:rPr>
          <w:rFonts w:ascii="Nunito Sans" w:hAnsi="Nunito Sans"/>
          <w:b/>
          <w:bCs/>
          <w:sz w:val="18"/>
          <w:szCs w:val="18"/>
        </w:rPr>
        <w:t>LRC</w:t>
      </w:r>
      <w:r w:rsidRPr="00B30A83">
        <w:rPr>
          <w:rFonts w:ascii="Nunito Sans" w:hAnsi="Nunito Sans"/>
          <w:sz w:val="18"/>
          <w:szCs w:val="18"/>
        </w:rPr>
        <w:t>, not LIC. LIC only covers claims already incurred (OCR + IBNR + RA).</w:t>
      </w:r>
    </w:p>
    <w:p w14:paraId="0F68FA6B" w14:textId="6A774BDF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The primary non-financial risks for which the Risk Adjustment (RA) is calculated in Group Life business are: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Market and Credit risk.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Pricing and Expense risk.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Mortality and Morbidity risk.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Liquidity and Operational risk.</w:t>
      </w:r>
    </w:p>
    <w:p w14:paraId="204123F1" w14:textId="77777777" w:rsidR="002C49A9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495B8AD3" w14:textId="083CC699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RA under IFRS 17 compensates for uncertainties in non-financial risks mainly death (mortality) and health (morbidity).</w:t>
      </w:r>
    </w:p>
    <w:p w14:paraId="394894E4" w14:textId="4FA19B8C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According to the training, before starting the liability valuation, an actuary must pay close attention to which documents from the last three years?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Cash Flow Statements and Balance Sheets.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Previous valuation reports, focusing on assumptions and recommendations.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Regulatory filing forms and tax reports.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Internal audit reports on IT systems.</w:t>
      </w:r>
    </w:p>
    <w:p w14:paraId="6E2F4C7D" w14:textId="27963F43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3084D1CF" w14:textId="0B559B31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lastRenderedPageBreak/>
        <w:t>Explanation:</w:t>
      </w:r>
      <w:r w:rsidRPr="00B30A83">
        <w:rPr>
          <w:rFonts w:ascii="Nunito Sans" w:hAnsi="Nunito Sans"/>
          <w:sz w:val="18"/>
          <w:szCs w:val="18"/>
        </w:rPr>
        <w:t xml:space="preserve"> Reviewing past valuation reports helps ensure consistency and checks if earlier assumptions remain valid.</w:t>
      </w:r>
    </w:p>
    <w:p w14:paraId="00D9F7C2" w14:textId="20B6BA32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For Group Life policies measured under the PAA, why is interest accretion on the LRC balance typically not required?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The company has no debt.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The interest rate is assumed to be zero.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The coverage terms are generally short-term (less than 12 months).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IFRS 17 prohibits interest accretion on all PAA contracts.</w:t>
      </w:r>
    </w:p>
    <w:p w14:paraId="773B6DE9" w14:textId="2000EC3B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45027231" w14:textId="6945939D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Because policies are short-term, the time value of money is immaterial</w:t>
      </w:r>
      <w:r w:rsidR="00EE4C58">
        <w:rPr>
          <w:rFonts w:ascii="Nunito Sans" w:hAnsi="Nunito Sans"/>
          <w:sz w:val="18"/>
          <w:szCs w:val="18"/>
        </w:rPr>
        <w:t>,</w:t>
      </w:r>
      <w:r w:rsidRPr="00B30A83">
        <w:rPr>
          <w:rFonts w:ascii="Nunito Sans" w:hAnsi="Nunito Sans"/>
          <w:sz w:val="18"/>
          <w:szCs w:val="18"/>
        </w:rPr>
        <w:t xml:space="preserve"> no interest accretion is needed.</w:t>
      </w:r>
    </w:p>
    <w:p w14:paraId="7BDC7F74" w14:textId="3DEEFF55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How is the Gross Unearned Premium Reserve (UPR) for Group Life typically calculated?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As a percentage of total claims paid.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 xml:space="preserve">B. Using the </w:t>
      </w:r>
      <w:proofErr w:type="spellStart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Bornhuetter</w:t>
      </w:r>
      <w:proofErr w:type="spellEnd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-Ferguson method.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Using the 365ths method.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As 50% of the total premium written.</w:t>
      </w:r>
    </w:p>
    <w:p w14:paraId="39339F6D" w14:textId="77777777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  <w:r w:rsidR="002C49A9" w:rsidRPr="00B30A83">
        <w:rPr>
          <w:rFonts w:ascii="Nunito Sans" w:hAnsi="Nunito Sans"/>
          <w:sz w:val="18"/>
          <w:szCs w:val="18"/>
        </w:rPr>
        <w:t xml:space="preserve"> </w:t>
      </w:r>
    </w:p>
    <w:p w14:paraId="551274A2" w14:textId="700CE17E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The 365ths method allocates premium evenly across each day of the contract.</w:t>
      </w:r>
    </w:p>
    <w:p w14:paraId="7322F959" w14:textId="2AB700B0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 portfolio of insurance contracts is considered "onerous" if: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The Liability for Incurred Claims (LIC) exceeds the premiums written.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The total assets are less than the total liabilities.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The expected future outflows exceed the expected future inflows (premiums) for the remaining coverage.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The IBNR reserve is calculated to be zero.</w:t>
      </w:r>
    </w:p>
    <w:p w14:paraId="7A3A2D0C" w14:textId="20B66B5E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1FC4B91B" w14:textId="54707B61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Onerous contracts are loss-making because claims and expenses are expected to exceed premiums.</w:t>
      </w:r>
    </w:p>
    <w:p w14:paraId="222C9F36" w14:textId="291F872E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When is a Loss Component assigned to an insurance portfolio?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When the Net Premium is negative.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When the utilisation rate of IBNR is too high.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 xml:space="preserve">C. When a loss event has occurred but </w:t>
      </w:r>
      <w:proofErr w:type="gramStart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not</w:t>
      </w:r>
      <w:proofErr w:type="gramEnd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 xml:space="preserve"> been settled.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When the combined ratio of the portfolio exceeds 100%.</w:t>
      </w:r>
    </w:p>
    <w:p w14:paraId="4F149999" w14:textId="77777777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D. When the combined ratio of the portfolio exceeds 100%</w:t>
      </w:r>
    </w:p>
    <w:p w14:paraId="24E4954A" w14:textId="19904786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A combined ratio above 100% means losses exceed premiums, so a Loss Component is required.</w:t>
      </w:r>
    </w:p>
    <w:p w14:paraId="607F8B38" w14:textId="41499F69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For reinsurance, which cash flow is recognized under the Liability for Incurred Claims (LIC)?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Reinsurance Premiums.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Reinsurance Debtors (recoveries) because they are claims-related cash flows.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Reinsurance Creditors (payables).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The total ceded claims amount.</w:t>
      </w:r>
    </w:p>
    <w:p w14:paraId="4926746F" w14:textId="77777777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180CD59D" w14:textId="2F040AFE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Reinsurance recoveries reduce claim costs, so they are part of LIC, not LRC.</w:t>
      </w:r>
    </w:p>
    <w:p w14:paraId="1724C79F" w14:textId="2898D67D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What is the primary purpose of conducting a Claims Reserves Utilisation Analysis?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To determine the company’s current liquidity ratio.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To check if regulatory solvency requirements were met.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lastRenderedPageBreak/>
        <w:t>C. To validate and refine current reserving assumptions by tracking past estimates.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To forecast the total earned premium for the next year.</w:t>
      </w:r>
    </w:p>
    <w:p w14:paraId="76C284C5" w14:textId="4B82EAD3" w:rsidR="002C49A9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790AED5C" w14:textId="2718A018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Utilisation analysis checks whether past reserves were accurate and helps improve future estimates.</w:t>
      </w:r>
    </w:p>
    <w:p w14:paraId="589F6430" w14:textId="022CEDDF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 consistently high utilisation rate for the IBNR reserve might indicate: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A problem with policy underwriting.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The IBNR was consistently overestimated.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A systemic issue with late claims reporting.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That too many outliers were excluded.</w:t>
      </w:r>
    </w:p>
    <w:p w14:paraId="72128068" w14:textId="4AD51C21" w:rsidR="00CB7F70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75D36831" w14:textId="7EA74517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If many claims are reported late, the IBNR reserve is heavily used.</w:t>
      </w:r>
    </w:p>
    <w:p w14:paraId="21D5FFB0" w14:textId="230460D9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The Utilisation Analysis is performed on claims reserves held from which period?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The current valuation period only.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The next five forecasted years.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The past three years.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Only the reserves related to the largest loss event.</w:t>
      </w:r>
    </w:p>
    <w:p w14:paraId="29BEB7FD" w14:textId="2F58DC72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  <w:r w:rsidRPr="00B30A83">
        <w:rPr>
          <w:rFonts w:ascii="Nunito Sans" w:hAnsi="Nunito Sans"/>
          <w:sz w:val="18"/>
          <w:szCs w:val="18"/>
        </w:rPr>
        <w:br/>
      </w: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Reviewing three years gives a balanced view of reserve accuracy and consistency.</w:t>
      </w:r>
    </w:p>
    <w:p w14:paraId="201AB7CE" w14:textId="4570A500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 xml:space="preserve">In the OCR Utilisation analysis, if the difference between the initial OCR </w:t>
      </w:r>
      <w:proofErr w:type="gramStart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estimate</w:t>
      </w:r>
      <w:proofErr w:type="gramEnd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 xml:space="preserve"> and the actual final payment is consistently positive, what does this generally signal about the initial estimate?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The estimate was consistently underestimated.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The estimate was consistently overestimated (a reserve release).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The IBNR reserve should be increased.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The claim development is highly stable.</w:t>
      </w:r>
    </w:p>
    <w:p w14:paraId="03273ADB" w14:textId="77777777" w:rsidR="00CB7F70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3C0A2FEE" w14:textId="01E9D89A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Positive differences mean reserves were higher than actual claims, leading to reserve releases.</w:t>
      </w:r>
    </w:p>
    <w:p w14:paraId="096EBBEB" w14:textId="3C937ADB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If a small insurer is estimating claims liabilities for a new product, what type of data should be incorporated to improve credibility?</w:t>
      </w:r>
      <w:r w:rsidRPr="00B30A83">
        <w:rPr>
          <w:rFonts w:ascii="Nunito Sans" w:hAnsi="Nunito Sans"/>
          <w:sz w:val="18"/>
          <w:szCs w:val="18"/>
        </w:rPr>
        <w:br/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A. Claims data from the previous ten years for the old product.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External data from similar-sized insurers or industry benchmarks.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Projected premium data for the next year.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Only the data from the first six months of the new product.</w:t>
      </w:r>
    </w:p>
    <w:p w14:paraId="52599B4B" w14:textId="1FC506A7" w:rsidR="00CB7F70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782BE95B" w14:textId="520CDBD0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External benchmarks help improve reliability when internal data is insufficient.</w:t>
      </w:r>
    </w:p>
    <w:p w14:paraId="00EE6CB3" w14:textId="1DD9EA84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What should an actuary do after identifying and removing an "extreme value" (outlier) from the run-off triangles?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Forget the value, as it should not recur.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Adjust the total earned premium downwards.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Incorporate a loading to the final claims reserves based on the observed proportion of large losses.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Immediately increase the Risk Adjustment.</w:t>
      </w:r>
    </w:p>
    <w:p w14:paraId="487746BB" w14:textId="77777777" w:rsidR="00CB7F70" w:rsidRDefault="00CB7F70" w:rsidP="00CB7F70">
      <w:pPr>
        <w:spacing w:line="240" w:lineRule="auto"/>
        <w:rPr>
          <w:rFonts w:ascii="Segoe UI Emoji" w:hAnsi="Segoe UI Emoji" w:cs="Segoe UI Emoji"/>
          <w:sz w:val="18"/>
          <w:szCs w:val="18"/>
        </w:rPr>
      </w:pPr>
    </w:p>
    <w:p w14:paraId="3069E3B5" w14:textId="77777777" w:rsidR="00CB7F70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55CCBEAE" w14:textId="3B7C738E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lastRenderedPageBreak/>
        <w:t>Explanation:</w:t>
      </w:r>
      <w:r w:rsidRPr="00B30A83">
        <w:rPr>
          <w:rFonts w:ascii="Nunito Sans" w:hAnsi="Nunito Sans"/>
          <w:sz w:val="18"/>
          <w:szCs w:val="18"/>
        </w:rPr>
        <w:t xml:space="preserve"> Outliers are excluded for modeling accuracy but must still be allowed for via loadings.</w:t>
      </w:r>
    </w:p>
    <w:p w14:paraId="0A6A7434" w14:textId="01BBDF5F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In the context of run-off triangles, which term describes the number of periods until a payment is made?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Accident/Loss Period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Development Period (or Delay Period)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Reporting Period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Underwriting Period</w:t>
      </w:r>
    </w:p>
    <w:p w14:paraId="60B33493" w14:textId="55F4D2A7" w:rsidR="00CB7F70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B</w:t>
      </w:r>
    </w:p>
    <w:p w14:paraId="30F8A1FE" w14:textId="06F42EC7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The development (delay) period measures the time between when a claim occurs and when it is paid.</w:t>
      </w:r>
    </w:p>
    <w:p w14:paraId="2BAD5D3A" w14:textId="1EB496C7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 xml:space="preserve">Which IBNR method is a blend of the Chain Ladder method and </w:t>
      </w:r>
      <w:proofErr w:type="gramStart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an a</w:t>
      </w:r>
      <w:proofErr w:type="gramEnd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 xml:space="preserve"> priori estimate, and is favored when there is uncertainty in claims development trends?</w:t>
      </w:r>
      <w:r w:rsidRPr="00B30A83">
        <w:rPr>
          <w:rFonts w:ascii="Nunito Sans" w:hAnsi="Nunito Sans"/>
          <w:sz w:val="18"/>
          <w:szCs w:val="18"/>
        </w:rPr>
        <w:br/>
        <w:t>A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. Basic Chain Ladder (BCL)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Expected Loss Ratio (LR)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 xml:space="preserve">C. </w:t>
      </w:r>
      <w:proofErr w:type="spellStart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Bornhuetter</w:t>
      </w:r>
      <w:proofErr w:type="spellEnd"/>
      <w:r w:rsidRPr="00B30A83">
        <w:rPr>
          <w:rFonts w:ascii="Nunito Sans" w:hAnsi="Nunito Sans"/>
          <w:kern w:val="0"/>
          <w:sz w:val="18"/>
          <w:szCs w:val="18"/>
          <w14:ligatures w14:val="none"/>
        </w:rPr>
        <w:t>-Ferguson (BF)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Cape Cod (Standard-Buhlmann)</w:t>
      </w:r>
    </w:p>
    <w:p w14:paraId="5D1E1C38" w14:textId="77777777" w:rsidR="00CB7F70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34DE466C" w14:textId="14ECD7C3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BF combines historical development (Chain Ladder) with an external expected loss ratio to reduce volatility.</w:t>
      </w:r>
    </w:p>
    <w:p w14:paraId="1AABFF80" w14:textId="48CDD8C9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The second phase of the four-phase reserving approach focuses on:</w:t>
      </w:r>
      <w:r w:rsidRPr="00B30A83">
        <w:rPr>
          <w:rFonts w:ascii="Nunito Sans" w:hAnsi="Nunito Sans"/>
          <w:sz w:val="18"/>
          <w:szCs w:val="18"/>
        </w:rPr>
        <w:br/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A. Validating and balancing the claims data against accounts.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Monitoring projections of claims development.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Comparing results from different methods.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Applying at least two suitable methods for each homogenous group.</w:t>
      </w:r>
    </w:p>
    <w:p w14:paraId="527DB033" w14:textId="3A605436" w:rsidR="00CB7F70" w:rsidRDefault="00B30A83" w:rsidP="00CB7F70">
      <w:pPr>
        <w:spacing w:line="240" w:lineRule="auto"/>
        <w:rPr>
          <w:rFonts w:ascii="Nunito Sans" w:hAnsi="Nunito Sans"/>
          <w:b/>
          <w:bCs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D</w:t>
      </w:r>
    </w:p>
    <w:p w14:paraId="537582A7" w14:textId="044126E4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Phase 2 is about applying reserving methods after data validation.</w:t>
      </w:r>
    </w:p>
    <w:p w14:paraId="5E45B48D" w14:textId="69155F1B" w:rsidR="00B30A83" w:rsidRPr="00B30A83" w:rsidRDefault="00B30A83" w:rsidP="00CB7F70">
      <w:pPr>
        <w:pStyle w:val="ListParagraph"/>
        <w:numPr>
          <w:ilvl w:val="0"/>
          <w:numId w:val="1"/>
        </w:numPr>
        <w:spacing w:line="240" w:lineRule="auto"/>
        <w:ind w:right="288"/>
        <w:rPr>
          <w:rFonts w:ascii="Nunito Sans" w:hAnsi="Nunito Sans"/>
          <w:kern w:val="0"/>
          <w:sz w:val="18"/>
          <w:szCs w:val="18"/>
          <w14:ligatures w14:val="none"/>
        </w:rPr>
      </w:pPr>
      <w:r w:rsidRPr="00B30A83">
        <w:rPr>
          <w:rFonts w:ascii="Nunito Sans" w:hAnsi="Nunito Sans"/>
          <w:kern w:val="0"/>
          <w:sz w:val="18"/>
          <w:szCs w:val="18"/>
          <w14:ligatures w14:val="none"/>
        </w:rPr>
        <w:t>When calculating the Risk Adjustment using the Bootstrapping method, how is the RA value derived?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A. It is the simple average of the BCL and BF estimates.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B. It is a fixed percentage set by the regulator.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C. It is the difference between the 75th percentile reserve and the mean IBNR estimate.</w:t>
      </w:r>
      <w:r w:rsidRPr="00B30A83">
        <w:rPr>
          <w:rFonts w:ascii="Nunito Sans" w:hAnsi="Nunito Sans"/>
          <w:kern w:val="0"/>
          <w:sz w:val="18"/>
          <w:szCs w:val="18"/>
          <w14:ligatures w14:val="none"/>
        </w:rPr>
        <w:br/>
        <w:t>D. It is the total of all claims paid in the last year.</w:t>
      </w:r>
    </w:p>
    <w:p w14:paraId="42AF8DAA" w14:textId="30F100D3" w:rsidR="00CB7F70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Correct Answer: C</w:t>
      </w:r>
    </w:p>
    <w:p w14:paraId="332C6E33" w14:textId="241131C8" w:rsidR="00B30A83" w:rsidRPr="00B30A83" w:rsidRDefault="00B30A83" w:rsidP="00CB7F70">
      <w:pPr>
        <w:spacing w:line="240" w:lineRule="auto"/>
        <w:rPr>
          <w:rFonts w:ascii="Nunito Sans" w:hAnsi="Nunito Sans"/>
          <w:sz w:val="18"/>
          <w:szCs w:val="18"/>
        </w:rPr>
      </w:pPr>
      <w:r w:rsidRPr="00B30A83">
        <w:rPr>
          <w:rFonts w:ascii="Nunito Sans" w:hAnsi="Nunito Sans"/>
          <w:b/>
          <w:bCs/>
          <w:sz w:val="18"/>
          <w:szCs w:val="18"/>
        </w:rPr>
        <w:t>Explanation:</w:t>
      </w:r>
      <w:r w:rsidRPr="00B30A83">
        <w:rPr>
          <w:rFonts w:ascii="Nunito Sans" w:hAnsi="Nunito Sans"/>
          <w:sz w:val="18"/>
          <w:szCs w:val="18"/>
        </w:rPr>
        <w:t xml:space="preserve"> The Risk Adjustment is measured as the margin between the average reserve and a higher confidence level (75th percentile).</w:t>
      </w:r>
    </w:p>
    <w:p w14:paraId="6513AD03" w14:textId="77777777" w:rsidR="00F45C15" w:rsidRPr="00790D51" w:rsidRDefault="00F45C15" w:rsidP="00CB7F70">
      <w:pPr>
        <w:spacing w:line="240" w:lineRule="auto"/>
        <w:rPr>
          <w:rFonts w:ascii="Nunito Sans" w:hAnsi="Nunito Sans"/>
          <w:sz w:val="18"/>
          <w:szCs w:val="18"/>
        </w:rPr>
      </w:pPr>
    </w:p>
    <w:sectPr w:rsidR="00F45C15" w:rsidRPr="00790D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65B21"/>
    <w:multiLevelType w:val="hybridMultilevel"/>
    <w:tmpl w:val="A306950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C0D2E4A"/>
    <w:multiLevelType w:val="hybridMultilevel"/>
    <w:tmpl w:val="FE8873C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DFF1479"/>
    <w:multiLevelType w:val="hybridMultilevel"/>
    <w:tmpl w:val="76643B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92D7B"/>
    <w:multiLevelType w:val="hybridMultilevel"/>
    <w:tmpl w:val="E2DA743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6897219">
    <w:abstractNumId w:val="2"/>
  </w:num>
  <w:num w:numId="2" w16cid:durableId="1565407213">
    <w:abstractNumId w:val="1"/>
  </w:num>
  <w:num w:numId="3" w16cid:durableId="1531642683">
    <w:abstractNumId w:val="0"/>
  </w:num>
  <w:num w:numId="4" w16cid:durableId="15233929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A83"/>
    <w:rsid w:val="00276742"/>
    <w:rsid w:val="002C49A9"/>
    <w:rsid w:val="0066375D"/>
    <w:rsid w:val="006B1855"/>
    <w:rsid w:val="006F7B98"/>
    <w:rsid w:val="00784D00"/>
    <w:rsid w:val="00790D51"/>
    <w:rsid w:val="009B6B40"/>
    <w:rsid w:val="00B30A83"/>
    <w:rsid w:val="00B4443E"/>
    <w:rsid w:val="00B91156"/>
    <w:rsid w:val="00CB7F70"/>
    <w:rsid w:val="00EE4C58"/>
    <w:rsid w:val="00F45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F0A3"/>
  <w15:chartTrackingRefBased/>
  <w15:docId w15:val="{B6F94384-7F3D-4AE8-A31E-597C1411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A83"/>
    <w:rPr>
      <w:i/>
      <w:iCs/>
      <w:color w:val="404040" w:themeColor="text1" w:themeTint="BF"/>
    </w:rPr>
  </w:style>
  <w:style w:type="paragraph" w:styleId="ListParagraph">
    <w:name w:val="List Paragraph"/>
    <w:aliases w:val="Citation List,본문(내용),List Paragraph (numbered (a)),符号列表,List Paragraph1,bk paragraph,Bullet List,FooterText,numbered,Paragraphe de liste1,Bulletr List Paragraph,列出段落,列出段落1,Use Case List Paragraph,Page Titles,List Paragraph2,Dot pt"/>
    <w:basedOn w:val="Normal"/>
    <w:link w:val="ListParagraphChar"/>
    <w:uiPriority w:val="34"/>
    <w:qFormat/>
    <w:rsid w:val="00B30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A83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Citation List Char,본문(내용) Char,List Paragraph (numbered (a)) Char,符号列表 Char,List Paragraph1 Char,bk paragraph Char,Bullet List Char,FooterText Char,numbered Char,Paragraphe de liste1 Char,Bulletr List Paragraph Char,列出段落 Char"/>
    <w:basedOn w:val="DefaultParagraphFont"/>
    <w:link w:val="ListParagraph"/>
    <w:uiPriority w:val="34"/>
    <w:qFormat/>
    <w:rsid w:val="00B30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a8f1fb657bf2cd47f0fde71b10fd2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d4b3e96af636654b9533073474238ce3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51D638-E41E-4C34-8E63-E042E30D81EC}"/>
</file>

<file path=customXml/itemProps2.xml><?xml version="1.0" encoding="utf-8"?>
<ds:datastoreItem xmlns:ds="http://schemas.openxmlformats.org/officeDocument/2006/customXml" ds:itemID="{1CB62CF8-AD9E-41FE-8E51-383DF5C23708}"/>
</file>

<file path=customXml/itemProps3.xml><?xml version="1.0" encoding="utf-8"?>
<ds:datastoreItem xmlns:ds="http://schemas.openxmlformats.org/officeDocument/2006/customXml" ds:itemID="{91E1148D-A22A-4250-B1CE-1A0A153EBE4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4</Pages>
  <Words>1256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Rosemary Nyawira</dc:creator>
  <cp:keywords/>
  <dc:description/>
  <cp:lastModifiedBy>Rosemary Nyawira</cp:lastModifiedBy>
  <cp:revision>3</cp:revision>
  <dcterms:created xsi:type="dcterms:W3CDTF">2025-10-02T09:44:00Z</dcterms:created>
  <dcterms:modified xsi:type="dcterms:W3CDTF">2025-11-28T13:32:00Z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</Properties>
</file>