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7322" w14:textId="77777777" w:rsidR="000468E9" w:rsidRPr="000468E9" w:rsidRDefault="000468E9" w:rsidP="000468E9">
      <w:pPr>
        <w:rPr>
          <w:b/>
          <w:bCs/>
        </w:rPr>
      </w:pPr>
      <w:r w:rsidRPr="000468E9">
        <w:rPr>
          <w:b/>
          <w:bCs/>
        </w:rPr>
        <w:t>1. Under a DA Scheme, who bears the investment risk?</w:t>
      </w:r>
    </w:p>
    <w:p w14:paraId="3A64C4F4" w14:textId="77777777" w:rsidR="000468E9" w:rsidRPr="000468E9" w:rsidRDefault="000468E9" w:rsidP="000468E9">
      <w:r w:rsidRPr="000468E9">
        <w:t>A. The employer</w:t>
      </w:r>
      <w:r w:rsidRPr="000468E9">
        <w:br/>
        <w:t xml:space="preserve">B. The insurance company </w:t>
      </w:r>
      <w:r w:rsidRPr="000468E9">
        <w:rPr>
          <w:rFonts w:ascii="Segoe UI Emoji" w:hAnsi="Segoe UI Emoji" w:cs="Segoe UI Emoji"/>
        </w:rPr>
        <w:t>✅</w:t>
      </w:r>
      <w:r w:rsidRPr="000468E9">
        <w:br/>
        <w:t>C. The members collectively</w:t>
      </w:r>
      <w:r w:rsidRPr="000468E9">
        <w:br/>
        <w:t>D. The Retirement Benefits Authority (RBA)</w:t>
      </w:r>
    </w:p>
    <w:p w14:paraId="46E4AA2B" w14:textId="77777777" w:rsidR="000468E9" w:rsidRPr="000468E9" w:rsidRDefault="000468E9" w:rsidP="000468E9">
      <w:r w:rsidRPr="000468E9">
        <w:rPr>
          <w:b/>
          <w:bCs/>
        </w:rPr>
        <w:t>Explanation:</w:t>
      </w:r>
      <w:r w:rsidRPr="000468E9">
        <w:br/>
        <w:t xml:space="preserve">In Deposit Administration (DA) schemes, the </w:t>
      </w:r>
      <w:r w:rsidRPr="000468E9">
        <w:rPr>
          <w:b/>
          <w:bCs/>
        </w:rPr>
        <w:t>insurer</w:t>
      </w:r>
      <w:r w:rsidRPr="000468E9">
        <w:t xml:space="preserve"> manages and invests the pooled fund and guarantees the declared return; hence, the </w:t>
      </w:r>
      <w:r w:rsidRPr="000468E9">
        <w:rPr>
          <w:b/>
          <w:bCs/>
        </w:rPr>
        <w:t>investment risk lies with the insurer</w:t>
      </w:r>
      <w:r w:rsidRPr="000468E9">
        <w:t>, not the employer or members</w:t>
      </w:r>
    </w:p>
    <w:p w14:paraId="1BA06BAF" w14:textId="77777777" w:rsidR="000468E9" w:rsidRPr="000468E9" w:rsidRDefault="000468E9" w:rsidP="000468E9">
      <w:pPr>
        <w:rPr>
          <w:b/>
          <w:bCs/>
        </w:rPr>
      </w:pPr>
      <w:r w:rsidRPr="000468E9">
        <w:rPr>
          <w:b/>
          <w:bCs/>
        </w:rPr>
        <w:t>2. What does the insurer deduct from the fund’s investment returns to cover administrative and operational expenses?</w:t>
      </w:r>
    </w:p>
    <w:p w14:paraId="744FC647" w14:textId="77777777" w:rsidR="000468E9" w:rsidRPr="000468E9" w:rsidRDefault="000468E9" w:rsidP="000468E9">
      <w:r w:rsidRPr="000468E9">
        <w:t>A. Transfer fee</w:t>
      </w:r>
      <w:r w:rsidRPr="000468E9">
        <w:br/>
        <w:t>B. Withdrawal levy</w:t>
      </w:r>
      <w:r w:rsidRPr="000468E9">
        <w:br/>
        <w:t xml:space="preserve">C. Management fee </w:t>
      </w:r>
      <w:r w:rsidRPr="000468E9">
        <w:rPr>
          <w:rFonts w:ascii="Segoe UI Emoji" w:hAnsi="Segoe UI Emoji" w:cs="Segoe UI Emoji"/>
        </w:rPr>
        <w:t>✅</w:t>
      </w:r>
      <w:r w:rsidRPr="000468E9">
        <w:br/>
        <w:t>D. Trustee commission</w:t>
      </w:r>
    </w:p>
    <w:p w14:paraId="33768A5B" w14:textId="77777777" w:rsidR="000468E9" w:rsidRPr="000468E9" w:rsidRDefault="000468E9" w:rsidP="000468E9">
      <w:r w:rsidRPr="000468E9">
        <w:rPr>
          <w:b/>
          <w:bCs/>
        </w:rPr>
        <w:t>Explanation:</w:t>
      </w:r>
      <w:r w:rsidRPr="000468E9">
        <w:br/>
        <w:t xml:space="preserve">The manual states that </w:t>
      </w:r>
      <w:r w:rsidRPr="000468E9">
        <w:rPr>
          <w:b/>
          <w:bCs/>
        </w:rPr>
        <w:t>management fees</w:t>
      </w:r>
      <w:r w:rsidRPr="000468E9">
        <w:t xml:space="preserve"> are deducted from investment returns to cover administrative, investment, and operational costs</w:t>
      </w:r>
    </w:p>
    <w:p w14:paraId="5F759972" w14:textId="77777777" w:rsidR="000468E9" w:rsidRPr="000468E9" w:rsidRDefault="000468E9" w:rsidP="000468E9">
      <w:pPr>
        <w:rPr>
          <w:b/>
          <w:bCs/>
        </w:rPr>
      </w:pPr>
      <w:r w:rsidRPr="000468E9">
        <w:rPr>
          <w:b/>
          <w:bCs/>
        </w:rPr>
        <w:t>3. In an IPP, each member’s fund value reflects:</w:t>
      </w:r>
    </w:p>
    <w:p w14:paraId="3D8C90FE" w14:textId="77777777" w:rsidR="000468E9" w:rsidRPr="000468E9" w:rsidRDefault="000468E9" w:rsidP="000468E9">
      <w:r w:rsidRPr="000468E9">
        <w:t>A. The pooled balance of all members</w:t>
      </w:r>
      <w:r w:rsidRPr="000468E9">
        <w:br/>
        <w:t>B. The insurer’s declared bonus rate only</w:t>
      </w:r>
      <w:r w:rsidRPr="000468E9">
        <w:br/>
        <w:t xml:space="preserve">C. The member’s individual account value at valuation date </w:t>
      </w:r>
      <w:r w:rsidRPr="000468E9">
        <w:rPr>
          <w:rFonts w:ascii="Segoe UI Emoji" w:hAnsi="Segoe UI Emoji" w:cs="Segoe UI Emoji"/>
        </w:rPr>
        <w:t>✅</w:t>
      </w:r>
      <w:r w:rsidRPr="000468E9">
        <w:br/>
        <w:t>D. The average of all scheme balances</w:t>
      </w:r>
    </w:p>
    <w:p w14:paraId="54A32D4C" w14:textId="77777777" w:rsidR="000468E9" w:rsidRPr="000468E9" w:rsidRDefault="000468E9" w:rsidP="000468E9">
      <w:r w:rsidRPr="000468E9">
        <w:rPr>
          <w:b/>
          <w:bCs/>
        </w:rPr>
        <w:t>Explanation:</w:t>
      </w:r>
      <w:r w:rsidRPr="000468E9">
        <w:br/>
        <w:t xml:space="preserve">IPP liabilities equal the </w:t>
      </w:r>
      <w:r w:rsidRPr="000468E9">
        <w:rPr>
          <w:b/>
          <w:bCs/>
        </w:rPr>
        <w:t>member’s own account balance</w:t>
      </w:r>
      <w:r w:rsidRPr="000468E9">
        <w:t xml:space="preserve"> (units × unit price) at the valuation date rather than a pooled fund</w:t>
      </w:r>
    </w:p>
    <w:p w14:paraId="02A88F48" w14:textId="77777777" w:rsidR="000468E9" w:rsidRPr="000468E9" w:rsidRDefault="000468E9" w:rsidP="000468E9">
      <w:pPr>
        <w:rPr>
          <w:b/>
          <w:bCs/>
        </w:rPr>
      </w:pPr>
      <w:r w:rsidRPr="000468E9">
        <w:rPr>
          <w:b/>
          <w:bCs/>
        </w:rPr>
        <w:t>4. Which authority regulates both DA and IPP schemes in Kenya?</w:t>
      </w:r>
    </w:p>
    <w:p w14:paraId="178D5CDB" w14:textId="77777777" w:rsidR="000468E9" w:rsidRPr="000468E9" w:rsidRDefault="000468E9" w:rsidP="000468E9">
      <w:r w:rsidRPr="000468E9">
        <w:t>A. Central Bank of Kenya</w:t>
      </w:r>
      <w:r w:rsidRPr="000468E9">
        <w:br/>
        <w:t>B. Capital Markets Authority</w:t>
      </w:r>
      <w:r w:rsidRPr="000468E9">
        <w:br/>
        <w:t xml:space="preserve">C. Retirement Benefits Authority (RBA) </w:t>
      </w:r>
      <w:r w:rsidRPr="000468E9">
        <w:rPr>
          <w:rFonts w:ascii="Segoe UI Emoji" w:hAnsi="Segoe UI Emoji" w:cs="Segoe UI Emoji"/>
        </w:rPr>
        <w:t>✅</w:t>
      </w:r>
      <w:r w:rsidRPr="000468E9">
        <w:br/>
        <w:t>D. Insurance Regulatory Authority (IRA)</w:t>
      </w:r>
    </w:p>
    <w:p w14:paraId="252FEAAB" w14:textId="77777777" w:rsidR="000468E9" w:rsidRPr="000468E9" w:rsidRDefault="000468E9" w:rsidP="000468E9">
      <w:r w:rsidRPr="000468E9">
        <w:rPr>
          <w:b/>
          <w:bCs/>
        </w:rPr>
        <w:t>Explanation:</w:t>
      </w:r>
      <w:r w:rsidRPr="000468E9">
        <w:br/>
        <w:t xml:space="preserve">Both DA and IPP schemes are governed by the </w:t>
      </w:r>
      <w:r w:rsidRPr="000468E9">
        <w:rPr>
          <w:b/>
          <w:bCs/>
        </w:rPr>
        <w:t>Retirement Benefits Authority (RBA)</w:t>
      </w:r>
      <w:r w:rsidRPr="000468E9">
        <w:t xml:space="preserve"> under the Retirement Benefits Act (Kenya)</w:t>
      </w:r>
    </w:p>
    <w:p w14:paraId="052F61EF" w14:textId="77777777" w:rsidR="000468E9" w:rsidRPr="000468E9" w:rsidRDefault="000468E9" w:rsidP="000468E9">
      <w:pPr>
        <w:rPr>
          <w:b/>
          <w:bCs/>
        </w:rPr>
      </w:pPr>
      <w:r w:rsidRPr="000468E9">
        <w:rPr>
          <w:b/>
          <w:bCs/>
        </w:rPr>
        <w:t xml:space="preserve">5. Which of the following is </w:t>
      </w:r>
      <w:r w:rsidRPr="000468E9">
        <w:rPr>
          <w:b/>
          <w:bCs/>
          <w:i/>
          <w:iCs/>
        </w:rPr>
        <w:t>not</w:t>
      </w:r>
      <w:r w:rsidRPr="000468E9">
        <w:rPr>
          <w:b/>
          <w:bCs/>
        </w:rPr>
        <w:t xml:space="preserve"> listed as required data for a DA valuation?</w:t>
      </w:r>
    </w:p>
    <w:p w14:paraId="05CCC593" w14:textId="77777777" w:rsidR="000468E9" w:rsidRPr="000468E9" w:rsidRDefault="000468E9" w:rsidP="000468E9">
      <w:r w:rsidRPr="000468E9">
        <w:lastRenderedPageBreak/>
        <w:t>A. Detailed product descriptions</w:t>
      </w:r>
      <w:r w:rsidRPr="000468E9">
        <w:br/>
        <w:t>B. Contributions and withdrawals data</w:t>
      </w:r>
      <w:r w:rsidRPr="000468E9">
        <w:br/>
        <w:t>C. Declared interest rates</w:t>
      </w:r>
      <w:r w:rsidRPr="000468E9">
        <w:br/>
        <w:t xml:space="preserve">D. Staff payroll records </w:t>
      </w:r>
      <w:r w:rsidRPr="000468E9">
        <w:rPr>
          <w:rFonts w:ascii="Segoe UI Emoji" w:hAnsi="Segoe UI Emoji" w:cs="Segoe UI Emoji"/>
        </w:rPr>
        <w:t>✅</w:t>
      </w:r>
    </w:p>
    <w:p w14:paraId="1BC45147" w14:textId="77777777" w:rsidR="000468E9" w:rsidRPr="000468E9" w:rsidRDefault="000468E9" w:rsidP="000468E9">
      <w:r w:rsidRPr="000468E9">
        <w:rPr>
          <w:b/>
          <w:bCs/>
        </w:rPr>
        <w:t>Explanation:</w:t>
      </w:r>
      <w:r w:rsidRPr="000468E9">
        <w:br/>
        <w:t>Data requirements include product descriptions, contributions, withdrawals, and declared interest rates — not payroll records</w:t>
      </w:r>
    </w:p>
    <w:p w14:paraId="7F3605B6" w14:textId="6DB3117B" w:rsidR="000468E9" w:rsidRPr="000468E9" w:rsidRDefault="000468E9" w:rsidP="000468E9">
      <w:r w:rsidRPr="000468E9">
        <w:rPr>
          <w:b/>
          <w:bCs/>
        </w:rPr>
        <w:t>6. One of the main goals of the data-checks phase is to confirm:</w:t>
      </w:r>
    </w:p>
    <w:p w14:paraId="56860C74" w14:textId="77777777" w:rsidR="000468E9" w:rsidRPr="000468E9" w:rsidRDefault="000468E9" w:rsidP="000468E9">
      <w:r w:rsidRPr="000468E9">
        <w:t>A. Future contribution rates</w:t>
      </w:r>
      <w:r w:rsidRPr="000468E9">
        <w:br/>
        <w:t xml:space="preserve">B. Credibility, consistency, and completeness of the data </w:t>
      </w:r>
      <w:r w:rsidRPr="000468E9">
        <w:rPr>
          <w:rFonts w:ascii="Segoe UI Emoji" w:hAnsi="Segoe UI Emoji" w:cs="Segoe UI Emoji"/>
        </w:rPr>
        <w:t>✅</w:t>
      </w:r>
      <w:r w:rsidRPr="000468E9">
        <w:br/>
        <w:t>C. Company profitability</w:t>
      </w:r>
      <w:r w:rsidRPr="000468E9">
        <w:br/>
        <w:t>D. Market share of pension schemes</w:t>
      </w:r>
    </w:p>
    <w:p w14:paraId="6F98A95C" w14:textId="77777777" w:rsidR="000468E9" w:rsidRPr="000468E9" w:rsidRDefault="000468E9" w:rsidP="000468E9">
      <w:r w:rsidRPr="000468E9">
        <w:rPr>
          <w:b/>
          <w:bCs/>
        </w:rPr>
        <w:t>Explanation:</w:t>
      </w:r>
      <w:r w:rsidRPr="000468E9">
        <w:br/>
        <w:t xml:space="preserve">Data checks aim to verify </w:t>
      </w:r>
      <w:r w:rsidRPr="000468E9">
        <w:rPr>
          <w:b/>
          <w:bCs/>
        </w:rPr>
        <w:t>credibility, consistency, and completeness</w:t>
      </w:r>
      <w:r w:rsidRPr="000468E9">
        <w:t>, ensuring reliable inputs for valuation</w:t>
      </w:r>
    </w:p>
    <w:p w14:paraId="043E6102" w14:textId="1F5BDB88" w:rsidR="000468E9" w:rsidRPr="000468E9" w:rsidRDefault="000E25A9" w:rsidP="000468E9">
      <w:pPr>
        <w:rPr>
          <w:b/>
          <w:bCs/>
        </w:rPr>
      </w:pPr>
      <w:r>
        <w:rPr>
          <w:b/>
          <w:bCs/>
        </w:rPr>
        <w:t>7</w:t>
      </w:r>
      <w:r w:rsidR="000468E9" w:rsidRPr="000468E9">
        <w:rPr>
          <w:b/>
          <w:bCs/>
        </w:rPr>
        <w:t xml:space="preserve">. Reasonability checks include all the following </w:t>
      </w:r>
      <w:r w:rsidR="000468E9" w:rsidRPr="000468E9">
        <w:rPr>
          <w:b/>
          <w:bCs/>
          <w:i/>
          <w:iCs/>
        </w:rPr>
        <w:t>except</w:t>
      </w:r>
      <w:r w:rsidR="000468E9" w:rsidRPr="000468E9">
        <w:rPr>
          <w:b/>
          <w:bCs/>
        </w:rPr>
        <w:t>:</w:t>
      </w:r>
    </w:p>
    <w:p w14:paraId="681C3F13" w14:textId="77777777" w:rsidR="000468E9" w:rsidRPr="000468E9" w:rsidRDefault="000468E9" w:rsidP="000468E9">
      <w:r w:rsidRPr="000468E9">
        <w:t>A. Checking data formats</w:t>
      </w:r>
      <w:r w:rsidRPr="000468E9">
        <w:br/>
        <w:t xml:space="preserve">B. Comparing declared bonuses across insurers </w:t>
      </w:r>
      <w:r w:rsidRPr="000468E9">
        <w:rPr>
          <w:rFonts w:ascii="Segoe UI Emoji" w:hAnsi="Segoe UI Emoji" w:cs="Segoe UI Emoji"/>
        </w:rPr>
        <w:t>✅</w:t>
      </w:r>
      <w:r w:rsidRPr="000468E9">
        <w:br/>
        <w:t>C. Identifying blanks or unreasonable values</w:t>
      </w:r>
      <w:r w:rsidRPr="000468E9">
        <w:br/>
        <w:t>D. Confirming entry ages meet eligibility</w:t>
      </w:r>
    </w:p>
    <w:p w14:paraId="1EACA255" w14:textId="77777777" w:rsidR="000468E9" w:rsidRPr="000468E9" w:rsidRDefault="000468E9" w:rsidP="000468E9">
      <w:r w:rsidRPr="000468E9">
        <w:rPr>
          <w:b/>
          <w:bCs/>
        </w:rPr>
        <w:t>Explanation:</w:t>
      </w:r>
      <w:r w:rsidRPr="000468E9">
        <w:br/>
        <w:t>Reasonability checks relate to internal data integrity, not external benchmarking such as comparing industry bonus rates</w:t>
      </w:r>
    </w:p>
    <w:p w14:paraId="381278CD" w14:textId="4D386EC2" w:rsidR="000468E9" w:rsidRPr="000468E9" w:rsidRDefault="000E25A9" w:rsidP="000468E9">
      <w:pPr>
        <w:rPr>
          <w:b/>
          <w:bCs/>
        </w:rPr>
      </w:pPr>
      <w:r>
        <w:rPr>
          <w:b/>
          <w:bCs/>
        </w:rPr>
        <w:t>8</w:t>
      </w:r>
      <w:r w:rsidR="000468E9" w:rsidRPr="000468E9">
        <w:rPr>
          <w:b/>
          <w:bCs/>
        </w:rPr>
        <w:t>. What is the purpose of performing completeness and accuracy checks?</w:t>
      </w:r>
    </w:p>
    <w:p w14:paraId="37B10F1D" w14:textId="77777777" w:rsidR="000468E9" w:rsidRPr="000468E9" w:rsidRDefault="000468E9" w:rsidP="000468E9">
      <w:r w:rsidRPr="000468E9">
        <w:t>A. To verify interest-rate projections</w:t>
      </w:r>
      <w:r w:rsidRPr="000468E9">
        <w:br/>
        <w:t xml:space="preserve">B. To compare total contributions and withdrawals with financial statements </w:t>
      </w:r>
      <w:r w:rsidRPr="000468E9">
        <w:rPr>
          <w:rFonts w:ascii="Segoe UI Emoji" w:hAnsi="Segoe UI Emoji" w:cs="Segoe UI Emoji"/>
        </w:rPr>
        <w:t>✅</w:t>
      </w:r>
      <w:r w:rsidRPr="000468E9">
        <w:br/>
        <w:t>C. To audit actuarial assumptions</w:t>
      </w:r>
      <w:r w:rsidRPr="000468E9">
        <w:br/>
        <w:t>D. To ensure pension-law compliance</w:t>
      </w:r>
    </w:p>
    <w:p w14:paraId="1E9D9FAF" w14:textId="77777777" w:rsidR="000468E9" w:rsidRPr="000468E9" w:rsidRDefault="000468E9" w:rsidP="000468E9">
      <w:r w:rsidRPr="000468E9">
        <w:rPr>
          <w:b/>
          <w:bCs/>
        </w:rPr>
        <w:t>Explanation:</w:t>
      </w:r>
      <w:r w:rsidRPr="000468E9">
        <w:br/>
        <w:t xml:space="preserve">Completeness and accuracy checks confirm that </w:t>
      </w:r>
      <w:r w:rsidRPr="000468E9">
        <w:rPr>
          <w:b/>
          <w:bCs/>
        </w:rPr>
        <w:t>aggregate policy data</w:t>
      </w:r>
      <w:r w:rsidRPr="000468E9">
        <w:t xml:space="preserve"> reconcile with the insurer’s audited or management accounts</w:t>
      </w:r>
    </w:p>
    <w:p w14:paraId="70D20207" w14:textId="327A00F0" w:rsidR="000468E9" w:rsidRPr="000468E9" w:rsidRDefault="000E25A9" w:rsidP="000468E9">
      <w:pPr>
        <w:rPr>
          <w:b/>
          <w:bCs/>
        </w:rPr>
      </w:pPr>
      <w:r>
        <w:rPr>
          <w:b/>
          <w:bCs/>
        </w:rPr>
        <w:t>9</w:t>
      </w:r>
      <w:r w:rsidR="000468E9" w:rsidRPr="000468E9">
        <w:rPr>
          <w:b/>
          <w:bCs/>
        </w:rPr>
        <w:t>. The liability for DA &amp; IPP business represents:</w:t>
      </w:r>
    </w:p>
    <w:p w14:paraId="43A4B211" w14:textId="77777777" w:rsidR="000468E9" w:rsidRPr="000468E9" w:rsidRDefault="000468E9" w:rsidP="000468E9">
      <w:r w:rsidRPr="000468E9">
        <w:t>A. Expected future premiums</w:t>
      </w:r>
      <w:r w:rsidRPr="000468E9">
        <w:br/>
        <w:t xml:space="preserve">B. Accumulated contributions and transfers plus declared interest </w:t>
      </w:r>
      <w:r w:rsidRPr="000468E9">
        <w:rPr>
          <w:rFonts w:ascii="Segoe UI Emoji" w:hAnsi="Segoe UI Emoji" w:cs="Segoe UI Emoji"/>
        </w:rPr>
        <w:t>✅</w:t>
      </w:r>
      <w:r w:rsidRPr="000468E9">
        <w:br/>
      </w:r>
      <w:r w:rsidRPr="000468E9">
        <w:lastRenderedPageBreak/>
        <w:t>C. Profit margin retained by insurer</w:t>
      </w:r>
      <w:r w:rsidRPr="000468E9">
        <w:br/>
        <w:t>D. Regulatory solvency capital</w:t>
      </w:r>
    </w:p>
    <w:p w14:paraId="205002D4" w14:textId="77777777" w:rsidR="000468E9" w:rsidRPr="000468E9" w:rsidRDefault="000468E9" w:rsidP="000468E9">
      <w:r w:rsidRPr="000468E9">
        <w:rPr>
          <w:b/>
          <w:bCs/>
        </w:rPr>
        <w:t>Explanation:</w:t>
      </w:r>
      <w:r w:rsidRPr="000468E9">
        <w:br/>
        <w:t xml:space="preserve">The </w:t>
      </w:r>
      <w:r w:rsidRPr="000468E9">
        <w:rPr>
          <w:b/>
          <w:bCs/>
        </w:rPr>
        <w:t>fund liability</w:t>
      </w:r>
      <w:r w:rsidRPr="000468E9">
        <w:t xml:space="preserve"> equals the accumulated value of contributions + transfers + declared interest credited over the period</w:t>
      </w:r>
    </w:p>
    <w:p w14:paraId="0C0EED06" w14:textId="6A443D22" w:rsidR="000468E9" w:rsidRPr="000468E9" w:rsidRDefault="000468E9" w:rsidP="000468E9">
      <w:pPr>
        <w:rPr>
          <w:b/>
          <w:bCs/>
        </w:rPr>
      </w:pPr>
      <w:r w:rsidRPr="000468E9">
        <w:rPr>
          <w:b/>
          <w:bCs/>
        </w:rPr>
        <w:t>1</w:t>
      </w:r>
      <w:r w:rsidR="000E25A9">
        <w:rPr>
          <w:b/>
          <w:bCs/>
        </w:rPr>
        <w:t>0</w:t>
      </w:r>
      <w:r w:rsidRPr="000468E9">
        <w:rPr>
          <w:b/>
          <w:bCs/>
        </w:rPr>
        <w:t xml:space="preserve">. Which of the following is </w:t>
      </w:r>
      <w:r w:rsidRPr="000468E9">
        <w:rPr>
          <w:b/>
          <w:bCs/>
          <w:i/>
          <w:iCs/>
        </w:rPr>
        <w:t>included</w:t>
      </w:r>
      <w:r w:rsidRPr="000468E9">
        <w:rPr>
          <w:b/>
          <w:bCs/>
        </w:rPr>
        <w:t xml:space="preserve"> in the fund-balance formula?</w:t>
      </w:r>
    </w:p>
    <w:p w14:paraId="33A7B92D" w14:textId="77777777" w:rsidR="000468E9" w:rsidRPr="000468E9" w:rsidRDefault="000468E9" w:rsidP="000468E9">
      <w:r w:rsidRPr="000468E9">
        <w:t>A. Premium receivable</w:t>
      </w:r>
      <w:r w:rsidRPr="000468E9">
        <w:br/>
        <w:t xml:space="preserve">B. Management fees </w:t>
      </w:r>
      <w:r w:rsidRPr="000468E9">
        <w:rPr>
          <w:rFonts w:ascii="Segoe UI Emoji" w:hAnsi="Segoe UI Emoji" w:cs="Segoe UI Emoji"/>
        </w:rPr>
        <w:t>✅</w:t>
      </w:r>
      <w:r w:rsidRPr="000468E9">
        <w:br/>
        <w:t>C. Deferred tax</w:t>
      </w:r>
      <w:r w:rsidRPr="000468E9">
        <w:br/>
        <w:t>D. Claims reserves</w:t>
      </w:r>
    </w:p>
    <w:p w14:paraId="4477BD74" w14:textId="77777777" w:rsidR="000468E9" w:rsidRPr="000468E9" w:rsidRDefault="000468E9" w:rsidP="000468E9">
      <w:r w:rsidRPr="000468E9">
        <w:rPr>
          <w:b/>
          <w:bCs/>
        </w:rPr>
        <w:t>Explanation:</w:t>
      </w:r>
      <w:r w:rsidRPr="000468E9">
        <w:br/>
        <w:t xml:space="preserve">The formula for year-end fund balance explicitly deducts </w:t>
      </w:r>
      <w:r w:rsidRPr="000468E9">
        <w:rPr>
          <w:b/>
          <w:bCs/>
        </w:rPr>
        <w:t>management fees</w:t>
      </w:r>
      <w:r w:rsidRPr="000468E9">
        <w:t xml:space="preserve"> before applying interest:</w:t>
      </w:r>
      <w:r w:rsidRPr="000468E9">
        <w:br/>
      </w:r>
      <w:r w:rsidRPr="000468E9">
        <w:rPr>
          <w:i/>
          <w:iCs/>
        </w:rPr>
        <w:t>Opening + Contributions − Withdrawals − Fees + Interest</w:t>
      </w:r>
    </w:p>
    <w:p w14:paraId="00F50A9A" w14:textId="77777777" w:rsidR="000468E9" w:rsidRDefault="000468E9"/>
    <w:sectPr w:rsidR="00046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E9"/>
    <w:rsid w:val="000468E9"/>
    <w:rsid w:val="000E25A9"/>
    <w:rsid w:val="00123C52"/>
    <w:rsid w:val="00650398"/>
    <w:rsid w:val="00A9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CA5F"/>
  <w15:chartTrackingRefBased/>
  <w15:docId w15:val="{D4C0DA2B-D693-4911-B9B9-440AE555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5c53b8d1197c3235cdc6c189ef004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a29a5f0316c59eb85eeff55e63480feb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F12B96-220E-411C-AF8D-88D473962793}"/>
</file>

<file path=customXml/itemProps2.xml><?xml version="1.0" encoding="utf-8"?>
<ds:datastoreItem xmlns:ds="http://schemas.openxmlformats.org/officeDocument/2006/customXml" ds:itemID="{5CCA4E79-D5DC-44A1-9D27-9A332932E033}"/>
</file>

<file path=customXml/itemProps3.xml><?xml version="1.0" encoding="utf-8"?>
<ds:datastoreItem xmlns:ds="http://schemas.openxmlformats.org/officeDocument/2006/customXml" ds:itemID="{CD6F9084-88E4-41CE-8432-32046EB844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Akello</dc:creator>
  <cp:keywords/>
  <dc:description/>
  <cp:lastModifiedBy>Leslie Akello</cp:lastModifiedBy>
  <cp:revision>4</cp:revision>
  <dcterms:created xsi:type="dcterms:W3CDTF">2025-10-07T10:57:00Z</dcterms:created>
  <dcterms:modified xsi:type="dcterms:W3CDTF">2025-10-07T11:01:00Z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</Properties>
</file>