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5C18" w14:textId="6DF7439E" w:rsidR="000B259E" w:rsidRPr="000B259E" w:rsidRDefault="000B259E" w:rsidP="000B259E">
      <w:pPr>
        <w:tabs>
          <w:tab w:val="num" w:pos="720"/>
        </w:tabs>
        <w:ind w:left="720" w:hanging="360"/>
        <w:jc w:val="center"/>
        <w:rPr>
          <w:rFonts w:ascii="Nunito Sans" w:hAnsi="Nunito Sans"/>
          <w:b/>
          <w:bCs/>
          <w:color w:val="0137A6"/>
          <w:sz w:val="18"/>
          <w:szCs w:val="18"/>
        </w:rPr>
      </w:pPr>
      <w:r w:rsidRPr="000B259E">
        <w:rPr>
          <w:rFonts w:ascii="Nunito Sans" w:hAnsi="Nunito Sans"/>
          <w:b/>
          <w:bCs/>
          <w:color w:val="0137A6"/>
          <w:sz w:val="18"/>
          <w:szCs w:val="18"/>
        </w:rPr>
        <w:t>Quizzes</w:t>
      </w:r>
    </w:p>
    <w:p w14:paraId="6C818ECB" w14:textId="644D236A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 xml:space="preserve">Which of the following is </w:t>
      </w:r>
      <w:r w:rsidR="00EF7498">
        <w:rPr>
          <w:rFonts w:ascii="Nunito Sans" w:hAnsi="Nunito Sans"/>
          <w:b/>
          <w:bCs/>
          <w:sz w:val="18"/>
          <w:szCs w:val="18"/>
        </w:rPr>
        <w:t>not</w:t>
      </w:r>
      <w:r w:rsidRPr="000B259E">
        <w:rPr>
          <w:rFonts w:ascii="Nunito Sans" w:hAnsi="Nunito Sans"/>
          <w:b/>
          <w:bCs/>
          <w:sz w:val="18"/>
          <w:szCs w:val="18"/>
        </w:rPr>
        <w:t xml:space="preserve"> an objective of the IPS?</w:t>
      </w:r>
      <w:r w:rsidRPr="000B259E">
        <w:rPr>
          <w:rFonts w:ascii="Nunito Sans" w:hAnsi="Nunito Sans"/>
          <w:sz w:val="18"/>
          <w:szCs w:val="18"/>
        </w:rPr>
        <w:br/>
        <w:t>a. Prescribe principles governing investment decisions</w:t>
      </w:r>
      <w:r w:rsidRPr="000B259E">
        <w:rPr>
          <w:rFonts w:ascii="Nunito Sans" w:hAnsi="Nunito Sans"/>
          <w:sz w:val="18"/>
          <w:szCs w:val="18"/>
        </w:rPr>
        <w:br/>
        <w:t>b. Guide appointment of investment managers</w:t>
      </w:r>
      <w:r w:rsidRPr="000B259E">
        <w:rPr>
          <w:rFonts w:ascii="Nunito Sans" w:hAnsi="Nunito Sans"/>
          <w:sz w:val="18"/>
          <w:szCs w:val="18"/>
        </w:rPr>
        <w:br/>
        <w:t>c. Guarantee member pension amounts regardless of scheme type</w:t>
      </w:r>
      <w:r w:rsidRPr="000B259E">
        <w:rPr>
          <w:rFonts w:ascii="Nunito Sans" w:hAnsi="Nunito Sans"/>
          <w:sz w:val="18"/>
          <w:szCs w:val="18"/>
        </w:rPr>
        <w:br/>
        <w:t>d. Provide clear performance benchmarks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c</w:t>
      </w:r>
    </w:p>
    <w:p w14:paraId="3CBEAC33" w14:textId="77777777" w:rsidR="000B259E" w:rsidRPr="000B259E" w:rsidRDefault="000B259E" w:rsidP="000B259E">
      <w:pPr>
        <w:ind w:left="720"/>
        <w:rPr>
          <w:rFonts w:ascii="Nunito Sans" w:hAnsi="Nunito Sans"/>
          <w:sz w:val="18"/>
          <w:szCs w:val="18"/>
        </w:rPr>
      </w:pPr>
    </w:p>
    <w:p w14:paraId="34032910" w14:textId="77777777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Which type of pension scheme places investment and longevity risk primarily on the member?</w:t>
      </w:r>
      <w:r w:rsidRPr="000B259E">
        <w:rPr>
          <w:rFonts w:ascii="Nunito Sans" w:hAnsi="Nunito Sans"/>
          <w:sz w:val="18"/>
          <w:szCs w:val="18"/>
        </w:rPr>
        <w:br/>
        <w:t>a. Defined Benefit (DB)</w:t>
      </w:r>
      <w:r w:rsidRPr="000B259E">
        <w:rPr>
          <w:rFonts w:ascii="Nunito Sans" w:hAnsi="Nunito Sans"/>
          <w:sz w:val="18"/>
          <w:szCs w:val="18"/>
        </w:rPr>
        <w:br/>
        <w:t>b. Defined Contribution (DC)</w:t>
      </w:r>
      <w:r w:rsidRPr="000B259E">
        <w:rPr>
          <w:rFonts w:ascii="Nunito Sans" w:hAnsi="Nunito Sans"/>
          <w:sz w:val="18"/>
          <w:szCs w:val="18"/>
        </w:rPr>
        <w:br/>
        <w:t>c. Guaranteed Scheme</w:t>
      </w:r>
      <w:r w:rsidRPr="000B259E">
        <w:rPr>
          <w:rFonts w:ascii="Nunito Sans" w:hAnsi="Nunito Sans"/>
          <w:sz w:val="18"/>
          <w:szCs w:val="18"/>
        </w:rPr>
        <w:br/>
        <w:t>d. Provident Fund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b</w:t>
      </w:r>
    </w:p>
    <w:p w14:paraId="1408C49C" w14:textId="77777777" w:rsidR="000B259E" w:rsidRPr="000B259E" w:rsidRDefault="000B259E" w:rsidP="000B259E">
      <w:pPr>
        <w:rPr>
          <w:rFonts w:ascii="Nunito Sans" w:hAnsi="Nunito Sans"/>
          <w:sz w:val="18"/>
          <w:szCs w:val="18"/>
        </w:rPr>
      </w:pPr>
    </w:p>
    <w:p w14:paraId="12117241" w14:textId="77777777" w:rsidR="000B259E" w:rsidRPr="000B259E" w:rsidRDefault="000B259E" w:rsidP="00CF7A0B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Which of the following is a key purpose of the IPS related to governance?</w:t>
      </w:r>
    </w:p>
    <w:p w14:paraId="4258D0AD" w14:textId="77777777" w:rsidR="000B259E" w:rsidRDefault="000B259E" w:rsidP="00CF7A0B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a. Ensuring fund managers choose only high-risk assets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Providing clarity on roles and responsibilities of involved parties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Eliminating the need for statutory submissions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Allowing unlimited tactical shifts</w:t>
      </w:r>
    </w:p>
    <w:p w14:paraId="644A4500" w14:textId="77777777" w:rsidR="000B259E" w:rsidRDefault="000B259E" w:rsidP="000B259E">
      <w:pPr>
        <w:pStyle w:val="ListParagraph"/>
        <w:spacing w:before="100" w:beforeAutospacing="1"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b</w:t>
      </w:r>
    </w:p>
    <w:p w14:paraId="44D55222" w14:textId="77777777" w:rsidR="000B259E" w:rsidRPr="000B259E" w:rsidRDefault="000B259E" w:rsidP="000B259E">
      <w:pPr>
        <w:rPr>
          <w:rFonts w:ascii="Nunito Sans" w:hAnsi="Nunito Sans"/>
          <w:sz w:val="18"/>
          <w:szCs w:val="18"/>
        </w:rPr>
      </w:pPr>
    </w:p>
    <w:p w14:paraId="784B1118" w14:textId="45BFB7F5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Which investment type typically guarantees capital or a minimum return and is often managed by approved issuers?</w:t>
      </w:r>
      <w:r w:rsidRPr="000B259E">
        <w:rPr>
          <w:rFonts w:ascii="Nunito Sans" w:hAnsi="Nunito Sans"/>
          <w:sz w:val="18"/>
          <w:szCs w:val="18"/>
        </w:rPr>
        <w:br/>
        <w:t>a. Segregated Schemes</w:t>
      </w:r>
      <w:r w:rsidRPr="000B259E">
        <w:rPr>
          <w:rFonts w:ascii="Nunito Sans" w:hAnsi="Nunito Sans"/>
          <w:sz w:val="18"/>
          <w:szCs w:val="18"/>
        </w:rPr>
        <w:br/>
        <w:t>b. Guaranteed Schemes</w:t>
      </w:r>
      <w:r w:rsidRPr="000B259E">
        <w:rPr>
          <w:rFonts w:ascii="Nunito Sans" w:hAnsi="Nunito Sans"/>
          <w:sz w:val="18"/>
          <w:szCs w:val="18"/>
        </w:rPr>
        <w:br/>
        <w:t>c. Private Equity</w:t>
      </w:r>
      <w:r w:rsidRPr="000B259E">
        <w:rPr>
          <w:rFonts w:ascii="Nunito Sans" w:hAnsi="Nunito Sans"/>
          <w:sz w:val="18"/>
          <w:szCs w:val="18"/>
        </w:rPr>
        <w:br/>
        <w:t>d. Offshore Funds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b</w:t>
      </w:r>
    </w:p>
    <w:p w14:paraId="6EEB31D9" w14:textId="77777777" w:rsidR="000B259E" w:rsidRPr="000B259E" w:rsidRDefault="000B259E" w:rsidP="000B259E">
      <w:pPr>
        <w:rPr>
          <w:rFonts w:ascii="Nunito Sans" w:hAnsi="Nunito Sans"/>
          <w:sz w:val="18"/>
          <w:szCs w:val="18"/>
        </w:rPr>
      </w:pPr>
    </w:p>
    <w:p w14:paraId="47729A1F" w14:textId="77777777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Under RBA limits, what is the maximum percentage permitted for immovable property in Kenya?</w:t>
      </w:r>
      <w:r w:rsidRPr="000B259E">
        <w:rPr>
          <w:rFonts w:ascii="Nunito Sans" w:hAnsi="Nunito Sans"/>
          <w:sz w:val="18"/>
          <w:szCs w:val="18"/>
        </w:rPr>
        <w:br/>
        <w:t>a. 10%</w:t>
      </w:r>
      <w:r w:rsidRPr="000B259E">
        <w:rPr>
          <w:rFonts w:ascii="Nunito Sans" w:hAnsi="Nunito Sans"/>
          <w:sz w:val="18"/>
          <w:szCs w:val="18"/>
        </w:rPr>
        <w:br/>
        <w:t>b. 30%</w:t>
      </w:r>
      <w:r w:rsidRPr="000B259E">
        <w:rPr>
          <w:rFonts w:ascii="Nunito Sans" w:hAnsi="Nunito Sans"/>
          <w:sz w:val="18"/>
          <w:szCs w:val="18"/>
        </w:rPr>
        <w:br/>
        <w:t>c. 50%</w:t>
      </w:r>
      <w:r w:rsidRPr="000B259E">
        <w:rPr>
          <w:rFonts w:ascii="Nunito Sans" w:hAnsi="Nunito Sans"/>
          <w:sz w:val="18"/>
          <w:szCs w:val="18"/>
        </w:rPr>
        <w:br/>
        <w:t>d. 70%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b</w:t>
      </w:r>
    </w:p>
    <w:p w14:paraId="74F14162" w14:textId="77777777" w:rsidR="000B259E" w:rsidRPr="000B259E" w:rsidRDefault="000B259E" w:rsidP="000B259E">
      <w:pPr>
        <w:ind w:left="720"/>
        <w:rPr>
          <w:rFonts w:ascii="Nunito Sans" w:hAnsi="Nunito Sans"/>
          <w:sz w:val="18"/>
          <w:szCs w:val="18"/>
        </w:rPr>
      </w:pPr>
    </w:p>
    <w:p w14:paraId="23464BE1" w14:textId="03126D21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Which portfolio risk profile is most appropriate for a scheme with the majority of members having 10 years and below to retirement?</w:t>
      </w:r>
      <w:r w:rsidRPr="000B259E">
        <w:rPr>
          <w:rFonts w:ascii="Nunito Sans" w:hAnsi="Nunito Sans"/>
          <w:sz w:val="18"/>
          <w:szCs w:val="18"/>
        </w:rPr>
        <w:br/>
        <w:t>a. Aggressive</w:t>
      </w:r>
      <w:r w:rsidRPr="000B259E">
        <w:rPr>
          <w:rFonts w:ascii="Nunito Sans" w:hAnsi="Nunito Sans"/>
          <w:sz w:val="18"/>
          <w:szCs w:val="18"/>
        </w:rPr>
        <w:br/>
        <w:t>b. Moderate</w:t>
      </w:r>
      <w:r w:rsidRPr="000B259E">
        <w:rPr>
          <w:rFonts w:ascii="Nunito Sans" w:hAnsi="Nunito Sans"/>
          <w:sz w:val="18"/>
          <w:szCs w:val="18"/>
        </w:rPr>
        <w:br/>
        <w:t>c. Conservative</w:t>
      </w:r>
      <w:r w:rsidRPr="000B259E">
        <w:rPr>
          <w:rFonts w:ascii="Nunito Sans" w:hAnsi="Nunito Sans"/>
          <w:sz w:val="18"/>
          <w:szCs w:val="18"/>
        </w:rPr>
        <w:br/>
        <w:t>d. Very Aggressive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c</w:t>
      </w:r>
    </w:p>
    <w:p w14:paraId="7CDFAC0B" w14:textId="77777777" w:rsidR="000B259E" w:rsidRDefault="000B259E" w:rsidP="000B259E">
      <w:pPr>
        <w:ind w:left="720"/>
        <w:rPr>
          <w:rFonts w:ascii="Nunito Sans" w:hAnsi="Nunito Sans"/>
          <w:b/>
          <w:bCs/>
          <w:sz w:val="18"/>
          <w:szCs w:val="18"/>
          <w:lang w:eastAsia="en-KE"/>
        </w:rPr>
      </w:pPr>
    </w:p>
    <w:p w14:paraId="5EEC82C7" w14:textId="42142F66" w:rsidR="000B259E" w:rsidRPr="000B259E" w:rsidRDefault="000B259E" w:rsidP="00DB005F">
      <w:pPr>
        <w:numPr>
          <w:ilvl w:val="0"/>
          <w:numId w:val="1"/>
        </w:numPr>
        <w:spacing w:after="0"/>
        <w:rPr>
          <w:rFonts w:ascii="Nunito Sans" w:hAnsi="Nunito Sans"/>
          <w:b/>
          <w:bCs/>
          <w:sz w:val="18"/>
          <w:szCs w:val="18"/>
          <w:lang w:eastAsia="en-KE"/>
        </w:rPr>
      </w:pPr>
      <w:r w:rsidRPr="000B259E">
        <w:rPr>
          <w:rFonts w:ascii="Nunito Sans" w:hAnsi="Nunito Sans"/>
          <w:b/>
          <w:bCs/>
          <w:sz w:val="18"/>
          <w:szCs w:val="18"/>
          <w:lang w:eastAsia="en-KE"/>
        </w:rPr>
        <w:lastRenderedPageBreak/>
        <w:t>Which of the following best differentiates Strategic Asset Allocation from Tactical Asset Allocation?</w:t>
      </w:r>
    </w:p>
    <w:p w14:paraId="3262060D" w14:textId="571DD5AC" w:rsidR="000B259E" w:rsidRDefault="000B259E" w:rsidP="00DB005F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a. SAA focuses on short-term opportunities while TAA focuses on long-term stability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SAA is fixed long-term</w:t>
      </w:r>
      <w:r w:rsidR="00DB005F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 xml:space="preserve">, 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TAA adjusts within set limits based on market conditions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SAA permits unlimited risk-taking</w:t>
      </w:r>
      <w:r w:rsidR="00DB005F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,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 xml:space="preserve"> TAA bans all changes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SAA applies only to guaranteed schemes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b</w:t>
      </w:r>
    </w:p>
    <w:p w14:paraId="52711BDA" w14:textId="77777777" w:rsidR="001D42E9" w:rsidRPr="000B259E" w:rsidRDefault="001D42E9" w:rsidP="000B259E">
      <w:pPr>
        <w:pStyle w:val="ListParagraph"/>
        <w:spacing w:before="100" w:beforeAutospacing="1"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</w:p>
    <w:p w14:paraId="5AD9BAD9" w14:textId="6FD59BD8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Tactical Asset Allocation (TAA) is best described as:</w:t>
      </w:r>
      <w:r w:rsidRPr="000B259E">
        <w:rPr>
          <w:rFonts w:ascii="Nunito Sans" w:hAnsi="Nunito Sans"/>
          <w:sz w:val="18"/>
          <w:szCs w:val="18"/>
        </w:rPr>
        <w:br/>
        <w:t>a. A permanent redefinition of the strategic target</w:t>
      </w:r>
      <w:r w:rsidR="001D42E9">
        <w:rPr>
          <w:rFonts w:ascii="Nunito Sans" w:hAnsi="Nunito Sans"/>
          <w:sz w:val="18"/>
          <w:szCs w:val="18"/>
        </w:rPr>
        <w:t>ed allocations</w:t>
      </w:r>
      <w:r w:rsidRPr="000B259E">
        <w:rPr>
          <w:rFonts w:ascii="Nunito Sans" w:hAnsi="Nunito Sans"/>
          <w:sz w:val="18"/>
          <w:szCs w:val="18"/>
        </w:rPr>
        <w:br/>
        <w:t>b. Short-term adjustments around the strategic allocation to take advantage of market conditions</w:t>
      </w:r>
      <w:r w:rsidRPr="000B259E">
        <w:rPr>
          <w:rFonts w:ascii="Nunito Sans" w:hAnsi="Nunito Sans"/>
          <w:sz w:val="18"/>
          <w:szCs w:val="18"/>
        </w:rPr>
        <w:br/>
        <w:t>c. A method to ignore benchmarks</w:t>
      </w:r>
      <w:r w:rsidRPr="000B259E">
        <w:rPr>
          <w:rFonts w:ascii="Nunito Sans" w:hAnsi="Nunito Sans"/>
          <w:sz w:val="18"/>
          <w:szCs w:val="18"/>
        </w:rPr>
        <w:br/>
        <w:t>d. Only used to increase risk without limits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b</w:t>
      </w:r>
    </w:p>
    <w:p w14:paraId="1CBBFAD4" w14:textId="77777777" w:rsidR="000B259E" w:rsidRDefault="000B259E" w:rsidP="000B259E">
      <w:pPr>
        <w:ind w:left="720"/>
        <w:rPr>
          <w:rFonts w:ascii="Nunito Sans" w:hAnsi="Nunito Sans"/>
          <w:sz w:val="18"/>
          <w:szCs w:val="18"/>
        </w:rPr>
      </w:pPr>
    </w:p>
    <w:p w14:paraId="107EA0CA" w14:textId="0FA176C2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A scheme has three member groups with the following Accumulated Fund Credits and Years to Retirement: Group A AFC = 100, YTR = 30; Group B AFC = 200, YTR = 20; Group C AFC = 700, YTR = 5. What is the investment horizon</w:t>
      </w:r>
      <w:r w:rsidR="0021544C">
        <w:rPr>
          <w:rFonts w:ascii="Nunito Sans" w:hAnsi="Nunito Sans"/>
          <w:b/>
          <w:bCs/>
          <w:sz w:val="18"/>
          <w:szCs w:val="18"/>
        </w:rPr>
        <w:t>?</w:t>
      </w:r>
      <w:r w:rsidRPr="000B259E">
        <w:rPr>
          <w:rFonts w:ascii="Nunito Sans" w:hAnsi="Nunito Sans"/>
          <w:sz w:val="18"/>
          <w:szCs w:val="18"/>
        </w:rPr>
        <w:br/>
        <w:t>a. 9</w:t>
      </w:r>
      <w:r>
        <w:rPr>
          <w:rFonts w:ascii="Nunito Sans" w:hAnsi="Nunito Sans"/>
          <w:sz w:val="18"/>
          <w:szCs w:val="18"/>
        </w:rPr>
        <w:t xml:space="preserve"> </w:t>
      </w:r>
      <w:r w:rsidRPr="000B259E">
        <w:rPr>
          <w:rFonts w:ascii="Nunito Sans" w:hAnsi="Nunito Sans"/>
          <w:sz w:val="18"/>
          <w:szCs w:val="18"/>
        </w:rPr>
        <w:t>years</w:t>
      </w:r>
      <w:r w:rsidRPr="000B259E">
        <w:rPr>
          <w:rFonts w:ascii="Nunito Sans" w:hAnsi="Nunito Sans"/>
          <w:sz w:val="18"/>
          <w:szCs w:val="18"/>
        </w:rPr>
        <w:br/>
        <w:t>b. 10 years</w:t>
      </w:r>
      <w:r w:rsidRPr="000B259E">
        <w:rPr>
          <w:rFonts w:ascii="Nunito Sans" w:hAnsi="Nunito Sans"/>
          <w:sz w:val="18"/>
          <w:szCs w:val="18"/>
        </w:rPr>
        <w:br/>
        <w:t>c. 10 years</w:t>
      </w:r>
      <w:r w:rsidRPr="000B259E">
        <w:rPr>
          <w:rFonts w:ascii="Nunito Sans" w:hAnsi="Nunito Sans"/>
          <w:sz w:val="18"/>
          <w:szCs w:val="18"/>
        </w:rPr>
        <w:br/>
        <w:t>d. 11 years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c</w:t>
      </w:r>
      <w:r w:rsidRPr="000B259E">
        <w:rPr>
          <w:rFonts w:ascii="Nunito Sans" w:hAnsi="Nunito Sans"/>
          <w:sz w:val="18"/>
          <w:szCs w:val="18"/>
        </w:rPr>
        <w:br/>
      </w:r>
    </w:p>
    <w:p w14:paraId="64EB13C3" w14:textId="77777777" w:rsidR="000B259E" w:rsidRPr="000B259E" w:rsidRDefault="000B259E" w:rsidP="000B259E">
      <w:pPr>
        <w:numPr>
          <w:ilvl w:val="0"/>
          <w:numId w:val="1"/>
        </w:numPr>
        <w:rPr>
          <w:rFonts w:ascii="Nunito Sans" w:hAnsi="Nunito Sans"/>
          <w:sz w:val="18"/>
          <w:szCs w:val="18"/>
        </w:rPr>
      </w:pPr>
      <w:r w:rsidRPr="000B259E">
        <w:rPr>
          <w:rFonts w:ascii="Nunito Sans" w:hAnsi="Nunito Sans"/>
          <w:b/>
          <w:bCs/>
          <w:sz w:val="18"/>
          <w:szCs w:val="18"/>
        </w:rPr>
        <w:t>Which of the following is a reasonability check recommended when receiving membership data?</w:t>
      </w:r>
      <w:r w:rsidRPr="000B259E">
        <w:rPr>
          <w:rFonts w:ascii="Nunito Sans" w:hAnsi="Nunito Sans"/>
          <w:sz w:val="18"/>
          <w:szCs w:val="18"/>
        </w:rPr>
        <w:br/>
        <w:t>a. Allowing duplicate member numbers to improve data flexibility</w:t>
      </w:r>
      <w:r w:rsidRPr="000B259E">
        <w:rPr>
          <w:rFonts w:ascii="Nunito Sans" w:hAnsi="Nunito Sans"/>
          <w:sz w:val="18"/>
          <w:szCs w:val="18"/>
        </w:rPr>
        <w:br/>
        <w:t>b. Verifying currency and units of reported salaries (e.g., monthly vs annual)</w:t>
      </w:r>
      <w:r w:rsidRPr="000B259E">
        <w:rPr>
          <w:rFonts w:ascii="Nunito Sans" w:hAnsi="Nunito Sans"/>
          <w:sz w:val="18"/>
          <w:szCs w:val="18"/>
        </w:rPr>
        <w:br/>
        <w:t>c. Ignoring unusual ages as outliers without verification</w:t>
      </w:r>
      <w:r w:rsidRPr="000B259E">
        <w:rPr>
          <w:rFonts w:ascii="Nunito Sans" w:hAnsi="Nunito Sans"/>
          <w:sz w:val="18"/>
          <w:szCs w:val="18"/>
        </w:rPr>
        <w:br/>
        <w:t>d. Removing employee contribution records entirely</w:t>
      </w:r>
      <w:r w:rsidRPr="000B259E">
        <w:rPr>
          <w:rFonts w:ascii="Nunito Sans" w:hAnsi="Nunito Sans"/>
          <w:sz w:val="18"/>
          <w:szCs w:val="18"/>
        </w:rPr>
        <w:br/>
      </w:r>
      <w:r w:rsidRPr="000B259E">
        <w:rPr>
          <w:rFonts w:ascii="Nunito Sans" w:hAnsi="Nunito Sans"/>
          <w:b/>
          <w:bCs/>
          <w:sz w:val="18"/>
          <w:szCs w:val="18"/>
        </w:rPr>
        <w:t>Answer: b</w:t>
      </w:r>
    </w:p>
    <w:p w14:paraId="726AC504" w14:textId="77777777" w:rsidR="000B259E" w:rsidRDefault="000B259E" w:rsidP="000B259E">
      <w:pPr>
        <w:ind w:left="72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</w:p>
    <w:p w14:paraId="5AEC5B32" w14:textId="77777777" w:rsidR="00997591" w:rsidRPr="00997591" w:rsidRDefault="00997591" w:rsidP="00997591">
      <w:pPr>
        <w:numPr>
          <w:ilvl w:val="0"/>
          <w:numId w:val="1"/>
        </w:numP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</w:pPr>
      <w:r w:rsidRPr="00997591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>Which of the following best describes a guaranteed interest rate in a pension or insurance fund?</w:t>
      </w:r>
    </w:p>
    <w:p w14:paraId="38737983" w14:textId="42CB7902" w:rsidR="00997591" w:rsidRPr="00997591" w:rsidRDefault="00997591" w:rsidP="00997591">
      <w:pPr>
        <w:ind w:left="720"/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</w:pP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a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A minimum return that members will receive regardless of market performance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b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A return declared annually based on investment performance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c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A benchmark set for fund managers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d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A projected return used in actuarial valuations</w:t>
      </w:r>
    </w:p>
    <w:p w14:paraId="41096318" w14:textId="5187F3A9" w:rsidR="00997591" w:rsidRPr="00997591" w:rsidRDefault="00997591" w:rsidP="00997591">
      <w:pPr>
        <w:ind w:left="72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</w:pPr>
      <w:r w:rsidRPr="00997591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 xml:space="preserve">Correct Answer: </w:t>
      </w: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>a</w:t>
      </w:r>
    </w:p>
    <w:p w14:paraId="202B54A8" w14:textId="09E1DEA9" w:rsidR="00997591" w:rsidRPr="00997591" w:rsidRDefault="00997591" w:rsidP="00997591">
      <w:pPr>
        <w:ind w:left="72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</w:pPr>
    </w:p>
    <w:p w14:paraId="02CC99A9" w14:textId="77777777" w:rsidR="00997591" w:rsidRPr="00997591" w:rsidRDefault="00997591" w:rsidP="00997591">
      <w:pPr>
        <w:numPr>
          <w:ilvl w:val="0"/>
          <w:numId w:val="1"/>
        </w:numP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</w:pPr>
      <w:r w:rsidRPr="00997591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>The declared interest rate credited in a deposit administration or guaranteed fund is primarily determined by:</w:t>
      </w:r>
    </w:p>
    <w:p w14:paraId="7E2F9AD1" w14:textId="513CAD87" w:rsidR="00997591" w:rsidRPr="00997591" w:rsidRDefault="00997591" w:rsidP="00997591">
      <w:pPr>
        <w:ind w:left="720"/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</w:pPr>
      <w:r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a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The guaranteed minimum rate only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b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The trust deed of the scheme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c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Annual investment performance and the provider’s</w:t>
      </w:r>
      <w:r w:rsidR="006937A4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 xml:space="preserve"> bonus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 xml:space="preserve"> smoothing policy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br/>
      </w:r>
      <w:r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d</w:t>
      </w:r>
      <w:r w:rsidRPr="00997591">
        <w:rPr>
          <w:rFonts w:ascii="Nunito Sans" w:eastAsia="Times New Roman" w:hAnsi="Nunito Sans" w:cs="Times New Roman"/>
          <w:kern w:val="0"/>
          <w:sz w:val="18"/>
          <w:szCs w:val="18"/>
          <w:lang w:val="en-KE" w:eastAsia="en-KE"/>
          <w14:ligatures w14:val="none"/>
        </w:rPr>
        <w:t>. Trustee discretion</w:t>
      </w:r>
    </w:p>
    <w:p w14:paraId="03534D80" w14:textId="24FB5041" w:rsidR="00997591" w:rsidRPr="00997591" w:rsidRDefault="00997591" w:rsidP="00997591">
      <w:pPr>
        <w:ind w:left="72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</w:pPr>
      <w:r w:rsidRPr="00997591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 xml:space="preserve">Correct Answer: </w:t>
      </w: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val="en-KE" w:eastAsia="en-KE"/>
          <w14:ligatures w14:val="none"/>
        </w:rPr>
        <w:t>c</w:t>
      </w:r>
    </w:p>
    <w:p w14:paraId="5963A67F" w14:textId="77777777" w:rsidR="00997591" w:rsidRDefault="00997591" w:rsidP="000B259E">
      <w:pPr>
        <w:ind w:left="72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</w:p>
    <w:p w14:paraId="1FE300F5" w14:textId="23957C37" w:rsidR="000B259E" w:rsidRPr="000B259E" w:rsidRDefault="009D47F0" w:rsidP="009146BF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W</w:t>
      </w:r>
      <w:r w:rsidR="000B259E"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hich age band is </w:t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most </w:t>
      </w:r>
      <w:r w:rsidR="000B259E"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likely to be assigned a moderate risk strategy?</w:t>
      </w:r>
    </w:p>
    <w:p w14:paraId="62A87019" w14:textId="62ADCC52" w:rsidR="000B259E" w:rsidRDefault="000B259E" w:rsidP="000B259E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 xml:space="preserve">a. </w:t>
      </w:r>
      <w:r w:rsidR="009146BF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 xml:space="preserve">below 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25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 xml:space="preserve">b. </w:t>
      </w:r>
      <w:r w:rsidR="009146BF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2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5–3</w:t>
      </w:r>
      <w:r w:rsidR="009D47F0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0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40–</w:t>
      </w:r>
      <w:r w:rsidR="00162164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45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55–60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c</w:t>
      </w:r>
    </w:p>
    <w:p w14:paraId="00B22B9F" w14:textId="77777777" w:rsidR="000B259E" w:rsidRPr="0021544C" w:rsidRDefault="000B259E" w:rsidP="0021544C">
      <w:pPr>
        <w:spacing w:before="100" w:beforeAutospacing="1"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</w:p>
    <w:p w14:paraId="065276BB" w14:textId="172EC8BC" w:rsidR="000B259E" w:rsidRPr="000B259E" w:rsidRDefault="000B259E" w:rsidP="000B259E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A pension scheme has 70% of its liabilities in members aged </w:t>
      </w: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3</w:t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0 and </w:t>
      </w: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below</w:t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. Which investment strategy is </w:t>
      </w:r>
      <w:r w:rsidR="0021544C"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most</w:t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 appropriate?</w:t>
      </w:r>
    </w:p>
    <w:p w14:paraId="24A1922B" w14:textId="672D738A" w:rsidR="000B259E" w:rsidRPr="000B259E" w:rsidRDefault="000B259E" w:rsidP="0021544C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a. Aggressive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High-risk growth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Moderate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Conservative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Answer: </w:t>
      </w:r>
      <w: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</w:t>
      </w:r>
    </w:p>
    <w:p w14:paraId="78327B6A" w14:textId="0CE8B5B1" w:rsidR="00160388" w:rsidRDefault="00160388">
      <w:pPr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</w:p>
    <w:p w14:paraId="66D5CD11" w14:textId="35EA4A55" w:rsidR="000B259E" w:rsidRPr="000B259E" w:rsidRDefault="000B259E" w:rsidP="0021544C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 DB scheme with an ageing membership is most exposed to which investment risk?</w:t>
      </w:r>
    </w:p>
    <w:p w14:paraId="3328FD5D" w14:textId="77777777" w:rsidR="000B259E" w:rsidRDefault="000B259E" w:rsidP="0021544C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a. Inflation risk decreasing due to fewer active members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Longevity risk and reinvestment risk increasing as benefit payments rise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Concentration risk declining naturally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Market risk becoming irrelevant</w:t>
      </w:r>
      <w:r w:rsidRPr="000B259E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</w:r>
      <w:r w:rsidRPr="000B259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b</w:t>
      </w:r>
    </w:p>
    <w:p w14:paraId="0B935B12" w14:textId="77777777" w:rsidR="0021544C" w:rsidRPr="000B259E" w:rsidRDefault="0021544C" w:rsidP="0021544C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</w:p>
    <w:p w14:paraId="1770D7FD" w14:textId="035A7C3F" w:rsidR="000B259E" w:rsidRPr="004B734D" w:rsidRDefault="000B259E" w:rsidP="0021544C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A pension scheme is evaluating an investment in infrastructure debt. Which IPS principle is </w:t>
      </w:r>
      <w:r w:rsidR="0021544C"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most</w:t>
      </w:r>
      <w:r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 relevant before approval?</w:t>
      </w:r>
    </w:p>
    <w:p w14:paraId="5F1AC6C5" w14:textId="77777777" w:rsidR="000B259E" w:rsidRPr="00607B1E" w:rsidRDefault="000B259E" w:rsidP="0021544C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a. Capital preservation and matching profile to long-term liabilities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Ensuring it has the highest historical return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Avoiding any regulatory reporting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Guaranteeing benefits irrespective of asset performance</w:t>
      </w:r>
      <w:r w:rsidRPr="000B259E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br/>
      </w:r>
      <w:r w:rsidRPr="00607B1E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a</w:t>
      </w:r>
    </w:p>
    <w:p w14:paraId="75804D91" w14:textId="77777777" w:rsidR="00F25F68" w:rsidRPr="004B734D" w:rsidRDefault="00F25F68" w:rsidP="0021544C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</w:p>
    <w:p w14:paraId="248DD76D" w14:textId="5D88B275" w:rsidR="004B734D" w:rsidRPr="004B734D" w:rsidRDefault="004B734D" w:rsidP="00F25F68">
      <w:pPr>
        <w:numPr>
          <w:ilvl w:val="0"/>
          <w:numId w:val="1"/>
        </w:numPr>
        <w:spacing w:after="0"/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</w:pPr>
      <w:r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Which of the following scenarios </w:t>
      </w:r>
      <w:r w:rsidR="00EF7498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would most</w:t>
      </w:r>
      <w:r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 xml:space="preserve"> likely trigger a requirement to revise the IPS?</w:t>
      </w:r>
    </w:p>
    <w:p w14:paraId="78AAAB02" w14:textId="4B45C06F" w:rsidR="000B259E" w:rsidRPr="000B259E" w:rsidRDefault="004B734D" w:rsidP="00F25F68">
      <w:pPr>
        <w:pStyle w:val="ListParagraph"/>
        <w:spacing w:after="100" w:afterAutospacing="1" w:line="240" w:lineRule="auto"/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</w:pP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</w:t>
      </w:r>
      <w:r w:rsidRPr="004B734D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. 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t>A minor underperformance over one financial quarter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b. Change in custodian reporting templates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c. A merger of the sponsoring employer causing structural changes in membership profile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  <w:t>d. Appointment of a new trustee who prefers lower equity exposure</w:t>
      </w:r>
      <w:r w:rsidRPr="004B734D">
        <w:rPr>
          <w:rFonts w:ascii="Nunito Sans" w:eastAsia="Times New Roman" w:hAnsi="Nunito Sans" w:cs="Times New Roman"/>
          <w:kern w:val="0"/>
          <w:sz w:val="18"/>
          <w:szCs w:val="18"/>
          <w:lang w:eastAsia="en-KE"/>
          <w14:ligatures w14:val="none"/>
        </w:rPr>
        <w:br/>
      </w:r>
      <w:r w:rsidRPr="004B734D">
        <w:rPr>
          <w:rFonts w:ascii="Nunito Sans" w:eastAsia="Times New Roman" w:hAnsi="Nunito Sans" w:cs="Times New Roman"/>
          <w:b/>
          <w:bCs/>
          <w:kern w:val="0"/>
          <w:sz w:val="18"/>
          <w:szCs w:val="18"/>
          <w:lang w:eastAsia="en-KE"/>
          <w14:ligatures w14:val="none"/>
        </w:rPr>
        <w:t>Answer: c</w:t>
      </w:r>
    </w:p>
    <w:p w14:paraId="29620A64" w14:textId="77777777" w:rsidR="00A646C3" w:rsidRPr="000B259E" w:rsidRDefault="00A646C3">
      <w:pPr>
        <w:rPr>
          <w:rFonts w:ascii="Nunito Sans" w:hAnsi="Nunito Sans"/>
          <w:sz w:val="18"/>
          <w:szCs w:val="18"/>
        </w:rPr>
      </w:pPr>
    </w:p>
    <w:sectPr w:rsidR="00A646C3" w:rsidRPr="000B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C57AA"/>
    <w:multiLevelType w:val="multilevel"/>
    <w:tmpl w:val="10E0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29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9E"/>
    <w:rsid w:val="000B259E"/>
    <w:rsid w:val="00160388"/>
    <w:rsid w:val="00162164"/>
    <w:rsid w:val="001D42E9"/>
    <w:rsid w:val="0021544C"/>
    <w:rsid w:val="002B18E6"/>
    <w:rsid w:val="004B734D"/>
    <w:rsid w:val="00607B1E"/>
    <w:rsid w:val="006937A4"/>
    <w:rsid w:val="008E3BF1"/>
    <w:rsid w:val="009146BF"/>
    <w:rsid w:val="00956C7F"/>
    <w:rsid w:val="00997591"/>
    <w:rsid w:val="009B21F6"/>
    <w:rsid w:val="009D47F0"/>
    <w:rsid w:val="00A646C3"/>
    <w:rsid w:val="00B05AC9"/>
    <w:rsid w:val="00B23D43"/>
    <w:rsid w:val="00CF7A0B"/>
    <w:rsid w:val="00DB005F"/>
    <w:rsid w:val="00EF7498"/>
    <w:rsid w:val="00F2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1C17"/>
  <w15:chartTrackingRefBased/>
  <w15:docId w15:val="{F605A165-2EF6-4BB4-8002-8C426595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9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9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9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B259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B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5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F6B21A-CFD7-4E84-A4B3-DE9383288D69}"/>
</file>

<file path=customXml/itemProps2.xml><?xml version="1.0" encoding="utf-8"?>
<ds:datastoreItem xmlns:ds="http://schemas.openxmlformats.org/officeDocument/2006/customXml" ds:itemID="{600AEA76-AD2D-4A50-8284-EE5A18EB318F}"/>
</file>

<file path=customXml/itemProps3.xml><?xml version="1.0" encoding="utf-8"?>
<ds:datastoreItem xmlns:ds="http://schemas.openxmlformats.org/officeDocument/2006/customXml" ds:itemID="{0513B89A-BB58-440A-9F67-C208C50723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735</Words>
  <Characters>3854</Characters>
  <Application>Microsoft Office Word</Application>
  <DocSecurity>0</DocSecurity>
  <Lines>128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Mbula</dc:creator>
  <cp:keywords/>
  <dc:description/>
  <cp:lastModifiedBy>Faith Mbula</cp:lastModifiedBy>
  <cp:revision>16</cp:revision>
  <dcterms:created xsi:type="dcterms:W3CDTF">2025-11-27T13:23:00Z</dcterms:created>
  <dcterms:modified xsi:type="dcterms:W3CDTF">2025-11-28T06:31:00Z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