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5555" w14:textId="26E4F0D7" w:rsidR="00407D27" w:rsidRPr="00407D27" w:rsidRDefault="00300147" w:rsidP="00407D27">
      <w:pPr>
        <w:spacing w:after="0" w:line="240" w:lineRule="auto"/>
        <w:ind w:right="720"/>
        <w:outlineLvl w:val="0"/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</w:pPr>
      <w:r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>MODULE 3_EXERCISES</w:t>
      </w:r>
      <w:r w:rsidR="00E41FBF"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>_GI LRC</w:t>
      </w:r>
    </w:p>
    <w:p w14:paraId="59A5ED33" w14:textId="0C52209F" w:rsidR="001D7177" w:rsidRPr="001D7177" w:rsidRDefault="001D7177" w:rsidP="009E1A85">
      <w:pPr>
        <w:pStyle w:val="ListParagraph"/>
        <w:numPr>
          <w:ilvl w:val="0"/>
          <w:numId w:val="3"/>
        </w:numPr>
        <w:spacing w:before="24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What does the Liability for Remaining Coverage (LRC) represent under IFRS 17?</w:t>
      </w:r>
    </w:p>
    <w:p w14:paraId="4D89945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Claims that have already been reported</w:t>
      </w:r>
    </w:p>
    <w:p w14:paraId="320DC7FF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Obligation to provide coverage for future insured events</w:t>
      </w:r>
    </w:p>
    <w:p w14:paraId="55BE400D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Premiums that have been fully earned</w:t>
      </w:r>
    </w:p>
    <w:p w14:paraId="7EAC1852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Reinsurance recoveries from ceded business</w:t>
      </w:r>
    </w:p>
    <w:p w14:paraId="20CFAAD9" w14:textId="21C10E66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59DA0A1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 xml:space="preserve">Explanation: 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LRC represents the obligation for unexpired coverage, i.e., the insurer’s liability to provide services for future </w:t>
      </w:r>
      <w:proofErr w:type="gramStart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insured</w:t>
      </w:r>
      <w:proofErr w:type="gramEnd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events </w:t>
      </w:r>
      <w:proofErr w:type="gramStart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not</w:t>
      </w:r>
      <w:proofErr w:type="gramEnd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yet occurred.</w:t>
      </w:r>
    </w:p>
    <w:p w14:paraId="7FC0AED4" w14:textId="5F1649BB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Which IFRS 17 paragraph directly requires measurement of the LRC as the obligation to provide future coverage?</w:t>
      </w:r>
    </w:p>
    <w:p w14:paraId="1DFFF1E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Paragraph 38</w:t>
      </w:r>
    </w:p>
    <w:p w14:paraId="7EF0F52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Paragraph 44</w:t>
      </w:r>
    </w:p>
    <w:p w14:paraId="7CF8B945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Paragraph 55(a)</w:t>
      </w:r>
    </w:p>
    <w:p w14:paraId="6CE87497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Paragraph B126</w:t>
      </w:r>
    </w:p>
    <w:p w14:paraId="698CCA8B" w14:textId="4E674543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A</w:t>
      </w:r>
    </w:p>
    <w:p w14:paraId="59432AA2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IFRS 17 paragraph 38 requires the measurement of LRC as the obligation to provide coverage for insured events in future periods.</w:t>
      </w:r>
    </w:p>
    <w:p w14:paraId="7F410E04" w14:textId="75F25C97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According to IFRS 17, which component is deducted from premiums received when measuring LRC?</w:t>
      </w:r>
    </w:p>
    <w:p w14:paraId="7DC3B473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Risk adjustment</w:t>
      </w:r>
    </w:p>
    <w:p w14:paraId="57EE950A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Claims liability</w:t>
      </w:r>
    </w:p>
    <w:p w14:paraId="76D884CF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Insurance revenue already recognized</w:t>
      </w:r>
    </w:p>
    <w:p w14:paraId="6B6BF3C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Acquisition cash flows</w:t>
      </w:r>
    </w:p>
    <w:p w14:paraId="2CF46406" w14:textId="6D621335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D</w:t>
      </w:r>
    </w:p>
    <w:p w14:paraId="36ADF347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IFRS 17 paragraph 55(b)(</w:t>
      </w:r>
      <w:proofErr w:type="spellStart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i</w:t>
      </w:r>
      <w:proofErr w:type="spellEnd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) requires </w:t>
      </w:r>
      <w:proofErr w:type="gramStart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deducting acquisition</w:t>
      </w:r>
      <w:proofErr w:type="gramEnd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cash flows from premiums received when calculating LRC.</w:t>
      </w:r>
    </w:p>
    <w:p w14:paraId="79110587" w14:textId="1CC85646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At initial recognition, LRC is measured as:</w:t>
      </w:r>
    </w:p>
    <w:p w14:paraId="1D0DF386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Expected claims plus expenses</w:t>
      </w:r>
    </w:p>
    <w:p w14:paraId="3B44203D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Premiums received minus acquisition cash flows</w:t>
      </w:r>
    </w:p>
    <w:p w14:paraId="3F95A5B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Unearned premiums only</w:t>
      </w:r>
    </w:p>
    <w:p w14:paraId="6B034A59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lastRenderedPageBreak/>
        <w:t>D) Risk adjustment plus CSM</w:t>
      </w:r>
    </w:p>
    <w:p w14:paraId="053D967D" w14:textId="60AAB4EF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26C2F3C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 xml:space="preserve">Explanation: 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At initial recognition, LRC = premiums received (or receivable) minus acquisition cash flows.</w:t>
      </w:r>
    </w:p>
    <w:p w14:paraId="7B6F300B" w14:textId="7C6F22FC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At subsequent measurement, which of the following is subtracted from LRC?</w:t>
      </w:r>
    </w:p>
    <w:p w14:paraId="739306AF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Unearned Premium Reserve (UPR)</w:t>
      </w:r>
    </w:p>
    <w:p w14:paraId="6A746EF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Insurance revenue recognized for services provided</w:t>
      </w:r>
    </w:p>
    <w:p w14:paraId="0FD202A1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Risk margin</w:t>
      </w:r>
    </w:p>
    <w:p w14:paraId="06BB888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Reinsurance recoveries</w:t>
      </w:r>
    </w:p>
    <w:p w14:paraId="631B2CCA" w14:textId="6798986E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24921AA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As coverage is provided, revenue is recognized and deducted from the LRC balance.</w:t>
      </w:r>
    </w:p>
    <w:p w14:paraId="6B29BC47" w14:textId="3AAD60B3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The roll-forward of LRC starts with:</w:t>
      </w:r>
    </w:p>
    <w:p w14:paraId="3B28ED86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Opening LRC</w:t>
      </w:r>
    </w:p>
    <w:p w14:paraId="2C2CFFBA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Closing liability for incurred claims</w:t>
      </w:r>
    </w:p>
    <w:p w14:paraId="555B587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Premium receivables only</w:t>
      </w:r>
    </w:p>
    <w:p w14:paraId="2C5CA0AC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Cash collected</w:t>
      </w:r>
    </w:p>
    <w:p w14:paraId="48E676E7" w14:textId="4638DFC1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A</w:t>
      </w:r>
    </w:p>
    <w:p w14:paraId="4C6C68F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Roll-forward starts with opening LRC, then adjusts for premiums, revenue, and acquisition cash flows.</w:t>
      </w:r>
    </w:p>
    <w:p w14:paraId="5E5C0034" w14:textId="0A018330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In the component view, Unearned Premium Reserve (UPR) represents:</w:t>
      </w:r>
    </w:p>
    <w:p w14:paraId="0A80AC6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Claims already paid</w:t>
      </w:r>
    </w:p>
    <w:p w14:paraId="05619E6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Future coverage yet to be provided</w:t>
      </w:r>
    </w:p>
    <w:p w14:paraId="0D07238D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Risk adjustment on incurred claims</w:t>
      </w:r>
    </w:p>
    <w:p w14:paraId="65EB7FEF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D) Reinsurance </w:t>
      </w:r>
      <w:proofErr w:type="spellStart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recoverables</w:t>
      </w:r>
      <w:proofErr w:type="spellEnd"/>
    </w:p>
    <w:p w14:paraId="5A467295" w14:textId="0CA41B20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5BA69E43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UPR represents the portion of premiums allocated to unexpired risk, i.e., coverage yet to be provided.</w:t>
      </w:r>
    </w:p>
    <w:p w14:paraId="6241D329" w14:textId="559FBE28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How should premium receivables be treated under IFRS 17 when measuring LRC?</w:t>
      </w:r>
    </w:p>
    <w:p w14:paraId="124EB9B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Excluded completely</w:t>
      </w:r>
    </w:p>
    <w:p w14:paraId="71386C7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Counted only when cash is received</w:t>
      </w:r>
    </w:p>
    <w:p w14:paraId="1CA4EA4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Included as part of total premiums due</w:t>
      </w:r>
    </w:p>
    <w:p w14:paraId="7DBCFE6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lastRenderedPageBreak/>
        <w:t>D) Treated as a reinsurance asset</w:t>
      </w:r>
    </w:p>
    <w:p w14:paraId="76513C38" w14:textId="4653EE42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25802097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IFRS 17 allows inclusion of both received premiums and receivables in measuring LRC.</w:t>
      </w:r>
    </w:p>
    <w:p w14:paraId="1F35ABD4" w14:textId="5FF39C82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Which of the following increases LRC?</w:t>
      </w:r>
    </w:p>
    <w:p w14:paraId="690DA6ED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Premiums received in cash</w:t>
      </w:r>
    </w:p>
    <w:p w14:paraId="4BC9B3C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Insurance revenue recognized</w:t>
      </w:r>
    </w:p>
    <w:p w14:paraId="1403BA4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Expired coverage period</w:t>
      </w:r>
    </w:p>
    <w:p w14:paraId="6E0E2AD4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Claims paid</w:t>
      </w:r>
    </w:p>
    <w:p w14:paraId="521F9374" w14:textId="329008E5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A</w:t>
      </w:r>
    </w:p>
    <w:p w14:paraId="2068B33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 xml:space="preserve">Explanation: 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Premiums received increase the liability for remaining coverage until they are earned.</w:t>
      </w:r>
    </w:p>
    <w:p w14:paraId="0244953A" w14:textId="1CC2A6C8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proofErr w:type="gramStart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Acquisition cash</w:t>
      </w:r>
      <w:proofErr w:type="gramEnd"/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flows affect LRC by:</w:t>
      </w:r>
    </w:p>
    <w:p w14:paraId="1C1D7EA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Increasing it</w:t>
      </w:r>
    </w:p>
    <w:p w14:paraId="3290A96F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Decreasing it</w:t>
      </w:r>
    </w:p>
    <w:p w14:paraId="72C0CCD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Having no effect</w:t>
      </w:r>
    </w:p>
    <w:p w14:paraId="697FDCFA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Shifting it to LIC</w:t>
      </w:r>
    </w:p>
    <w:p w14:paraId="53B26A57" w14:textId="5292F2D4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7EA674E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Acquisition cash flows (commissions, expenses) are deducted from LRC per IFRS 17 paragraph 38.</w:t>
      </w:r>
    </w:p>
    <w:p w14:paraId="65AB4CC7" w14:textId="62BCD12B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 negative LRC balance typically arises when:</w:t>
      </w:r>
    </w:p>
    <w:p w14:paraId="77AD6E5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Premium receivables are higher than gross written premiums</w:t>
      </w:r>
    </w:p>
    <w:p w14:paraId="536F1011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Claims exceed premiums</w:t>
      </w:r>
    </w:p>
    <w:p w14:paraId="66C83DCE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Acquisition costs are refunded</w:t>
      </w:r>
    </w:p>
    <w:p w14:paraId="2AF7FBAD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Premium allocation approach is not applied</w:t>
      </w:r>
    </w:p>
    <w:p w14:paraId="4E95FEC4" w14:textId="349A431A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A</w:t>
      </w:r>
    </w:p>
    <w:p w14:paraId="6B5B8256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A negative LRC can arise if receivables exceed the recognized premiums.</w:t>
      </w:r>
    </w:p>
    <w:p w14:paraId="21C59EDA" w14:textId="10A43EAB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How should negative LRC be interpreted?</w:t>
      </w:r>
    </w:p>
    <w:p w14:paraId="356BD77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It is an error and must be corrected</w:t>
      </w:r>
    </w:p>
    <w:p w14:paraId="05364BB3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It reflects an asset position from premium receivables</w:t>
      </w:r>
    </w:p>
    <w:p w14:paraId="0F02C67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It means claims are under-reserved</w:t>
      </w:r>
    </w:p>
    <w:p w14:paraId="788515DA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lastRenderedPageBreak/>
        <w:t>D) It requires immediate profit recognition</w:t>
      </w:r>
    </w:p>
    <w:p w14:paraId="4BBAF1E8" w14:textId="6E3F9B44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5DDF238D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 xml:space="preserve">Explanation: 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Negative LRC indicates an asset position when premium receivables are greater than premiums due.</w:t>
      </w:r>
    </w:p>
    <w:p w14:paraId="4BCB03BD" w14:textId="40306292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Given: Policy Start = Jan 1, 2025; End = Dec 31, 2025; Valuation Date = Mar 31, 2025.</w:t>
      </w:r>
    </w:p>
    <w:p w14:paraId="465B3F27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Expired Period = ?</w:t>
      </w:r>
    </w:p>
    <w:p w14:paraId="35929EAC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30 days</w:t>
      </w:r>
    </w:p>
    <w:p w14:paraId="54DE0EB7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60 days</w:t>
      </w:r>
    </w:p>
    <w:p w14:paraId="65E76156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90 days</w:t>
      </w:r>
    </w:p>
    <w:p w14:paraId="788E1EC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365 days</w:t>
      </w:r>
    </w:p>
    <w:p w14:paraId="606116C9" w14:textId="69C650BA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07B40972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Using formula Expired = max(0, min(Valuation Date, End Date) – Start Date + 1) </w:t>
      </w:r>
      <w:r w:rsidRPr="001D717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(Mar 31 – Jan 1 + 1) = 90 days.</w:t>
      </w:r>
    </w:p>
    <w:p w14:paraId="0DBC607F" w14:textId="0382C3BB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Policy duration is calculated as:</w:t>
      </w:r>
    </w:p>
    <w:p w14:paraId="0ECEA030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End Date – Start Date</w:t>
      </w:r>
    </w:p>
    <w:p w14:paraId="27E3FFD2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End Date – Start Date + 1</w:t>
      </w:r>
    </w:p>
    <w:p w14:paraId="70D9DF79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Expired Period ÷ 2</w:t>
      </w:r>
    </w:p>
    <w:p w14:paraId="715F0A08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Premium ÷ Days</w:t>
      </w:r>
    </w:p>
    <w:p w14:paraId="2F002298" w14:textId="2D898BA2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333BDDC3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Policy duration = Policy End Date – Policy Start Date + 1.</w:t>
      </w:r>
    </w:p>
    <w:p w14:paraId="05EC0368" w14:textId="1CB7A87D" w:rsidR="001D7177" w:rsidRPr="001D7177" w:rsidRDefault="001D7177" w:rsidP="001D7177">
      <w:pPr>
        <w:pStyle w:val="ListParagraph"/>
        <w:numPr>
          <w:ilvl w:val="0"/>
          <w:numId w:val="3"/>
        </w:numPr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If total premium is 120,000 for a 12-month policy, and 3 months have expired, what is the Unearned Premium Reserve (UPR)?</w:t>
      </w:r>
    </w:p>
    <w:p w14:paraId="4A4B5B9C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A) 30,000</w:t>
      </w:r>
    </w:p>
    <w:p w14:paraId="48065DAB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B) 90,000</w:t>
      </w:r>
    </w:p>
    <w:p w14:paraId="37443579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C) 120,000</w:t>
      </w:r>
    </w:p>
    <w:p w14:paraId="4EC44051" w14:textId="77777777" w:rsidR="001D717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D) 60,000</w:t>
      </w:r>
    </w:p>
    <w:p w14:paraId="25EC55E9" w14:textId="524A0824" w:rsidR="001D7177" w:rsidRPr="009E1A85" w:rsidRDefault="001D7177" w:rsidP="001D7177">
      <w:pPr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9E1A85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347078B3" w14:textId="76A8851D" w:rsidR="008A2837" w:rsidRPr="001D7177" w:rsidRDefault="001D7177" w:rsidP="001D7177">
      <w:pPr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EF1894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</w:t>
      </w:r>
      <w:r w:rsidRPr="001D7177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: Earned premium = 120,000 × (3/12) = 30,000. UPR = 120,000 – 30,000 = 90,000.</w:t>
      </w:r>
    </w:p>
    <w:sectPr w:rsidR="008A2837" w:rsidRPr="001D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372D"/>
    <w:multiLevelType w:val="hybridMultilevel"/>
    <w:tmpl w:val="E638B3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0F7434"/>
    <w:multiLevelType w:val="hybridMultilevel"/>
    <w:tmpl w:val="5BE831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3E72DC"/>
    <w:multiLevelType w:val="hybridMultilevel"/>
    <w:tmpl w:val="5930E1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8572418">
    <w:abstractNumId w:val="0"/>
  </w:num>
  <w:num w:numId="2" w16cid:durableId="1905943440">
    <w:abstractNumId w:val="2"/>
  </w:num>
  <w:num w:numId="3" w16cid:durableId="81900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19"/>
    <w:rsid w:val="000925C0"/>
    <w:rsid w:val="000B54F9"/>
    <w:rsid w:val="001A619D"/>
    <w:rsid w:val="001D7177"/>
    <w:rsid w:val="002F0ECE"/>
    <w:rsid w:val="00300147"/>
    <w:rsid w:val="00407D27"/>
    <w:rsid w:val="00436312"/>
    <w:rsid w:val="005E2EC2"/>
    <w:rsid w:val="00653F6A"/>
    <w:rsid w:val="00683CC0"/>
    <w:rsid w:val="00750992"/>
    <w:rsid w:val="008A2837"/>
    <w:rsid w:val="008E7119"/>
    <w:rsid w:val="009C6515"/>
    <w:rsid w:val="009E1A85"/>
    <w:rsid w:val="00CA3E88"/>
    <w:rsid w:val="00E41FBF"/>
    <w:rsid w:val="00EF1894"/>
    <w:rsid w:val="00F5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96E"/>
  <w15:chartTrackingRefBased/>
  <w15:docId w15:val="{47227A08-0F8A-4C5F-928F-A0BAABF0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71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withParagraphs">
    <w:name w:val="Normal with Paragraphs"/>
    <w:next w:val="Normal"/>
    <w:qFormat/>
    <w:rsid w:val="00407D27"/>
    <w:pPr>
      <w:tabs>
        <w:tab w:val="num" w:pos="1863"/>
      </w:tabs>
      <w:spacing w:before="240" w:after="240" w:line="276" w:lineRule="auto"/>
      <w:ind w:left="1557" w:hanging="567"/>
      <w:jc w:val="both"/>
    </w:pPr>
    <w:rPr>
      <w:rFonts w:ascii="Gilroy" w:eastAsia="Arial" w:hAnsi="Gilroy"/>
      <w:color w:val="000000"/>
      <w:kern w:val="0"/>
      <w:sz w:val="18"/>
      <w:szCs w:val="40"/>
      <w:lang w:eastAsia="en-GB"/>
      <w14:ligatures w14:val="none"/>
    </w:rPr>
  </w:style>
  <w:style w:type="paragraph" w:customStyle="1" w:styleId="Style2">
    <w:name w:val="Style2"/>
    <w:basedOn w:val="NormalwithParagraphs"/>
    <w:qFormat/>
    <w:rsid w:val="00407D27"/>
    <w:pPr>
      <w:tabs>
        <w:tab w:val="clear" w:pos="1863"/>
        <w:tab w:val="num" w:pos="360"/>
      </w:tabs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5888DF-28CF-43C3-A921-F084AB6CC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2d9f5-199c-4212-8ee5-c011be210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47CE69-5BCD-4E24-A174-04061C119BB0}">
  <ds:schemaRefs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dfa2d9f5-199c-4212-8ee5-c011be210f49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83E3A682-03F3-4C08-BF03-F4F564D3CD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707</Words>
  <Characters>3826</Characters>
  <Application>Microsoft Office Word</Application>
  <DocSecurity>0</DocSecurity>
  <Lines>294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Musyoka</dc:creator>
  <cp:keywords/>
  <dc:description/>
  <cp:lastModifiedBy>Susan Musyoka</cp:lastModifiedBy>
  <cp:revision>9</cp:revision>
  <dcterms:created xsi:type="dcterms:W3CDTF">2025-10-02T16:33:00Z</dcterms:created>
  <dcterms:modified xsi:type="dcterms:W3CDTF">2025-10-02T17:26:00Z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