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6F03C9" w:rsidRDefault="006038E5" w:rsidP="006038E5">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
        <w:gridCol w:w="4020"/>
        <w:gridCol w:w="4241"/>
        <w:gridCol w:w="2495"/>
      </w:tblGrid>
      <w:tr w:rsidR="006038E5" w:rsidRPr="006F03C9" w14:paraId="7B39B212" w14:textId="77777777" w:rsidTr="006F03C9">
        <w:trPr>
          <w:trHeight w:val="234"/>
        </w:trPr>
        <w:tc>
          <w:tcPr>
            <w:tcW w:w="241" w:type="dxa"/>
            <w:tcBorders>
              <w:left w:val="single" w:sz="36" w:space="0" w:color="0137A6"/>
            </w:tcBorders>
          </w:tcPr>
          <w:p w14:paraId="133B7FB0" w14:textId="77777777" w:rsidR="006038E5" w:rsidRPr="006F03C9" w:rsidRDefault="006038E5" w:rsidP="00945A74">
            <w:pPr>
              <w:pStyle w:val="NormalBilaNumbers"/>
              <w:ind w:right="0"/>
              <w:rPr>
                <w:rFonts w:ascii="Nunito Sans" w:hAnsi="Nunito Sans"/>
              </w:rPr>
            </w:pPr>
          </w:p>
        </w:tc>
        <w:tc>
          <w:tcPr>
            <w:tcW w:w="10756" w:type="dxa"/>
            <w:gridSpan w:val="3"/>
            <w:vAlign w:val="center"/>
          </w:tcPr>
          <w:p w14:paraId="61AAF62F" w14:textId="6B669094" w:rsidR="00FE6803"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00141989" w:rsidRPr="006F03C9">
              <w:rPr>
                <w:rFonts w:ascii="Nunito Sans Black" w:hAnsi="Nunito Sans Black"/>
                <w:b/>
                <w:bCs/>
                <w:color w:val="0137A6"/>
                <w:sz w:val="48"/>
                <w:szCs w:val="48"/>
              </w:rPr>
              <w:t xml:space="preserve">ENBRIGHT ACTUARIAL AND FINANCIAL SERVICES </w:t>
            </w:r>
            <w:r w:rsidR="00D87B6A" w:rsidRPr="006F03C9">
              <w:rPr>
                <w:rFonts w:ascii="Nunito Sans Black" w:hAnsi="Nunito Sans Black"/>
                <w:b/>
                <w:bCs/>
                <w:color w:val="0137A6"/>
                <w:sz w:val="48"/>
                <w:szCs w:val="48"/>
              </w:rPr>
              <w:t>LIMITED</w:t>
            </w:r>
          </w:p>
          <w:p w14:paraId="4CF01700" w14:textId="0DA7856F" w:rsidR="00141989" w:rsidRPr="006F03C9" w:rsidRDefault="00E025A7" w:rsidP="009442BE">
            <w:pPr>
              <w:pStyle w:val="NormalBilaNumbers"/>
              <w:ind w:right="0"/>
              <w:rPr>
                <w:rFonts w:ascii="Nunito Sans Light" w:hAnsi="Nunito Sans Light"/>
                <w:b/>
                <w:bCs/>
                <w:color w:val="0137A6"/>
                <w:sz w:val="48"/>
                <w:szCs w:val="48"/>
              </w:rPr>
            </w:pPr>
            <w:r w:rsidRPr="006F03C9">
              <w:rPr>
                <w:rFonts w:ascii="Nunito Sans Light" w:hAnsi="Nunito Sans Light"/>
                <w:b/>
                <w:bCs/>
                <w:color w:val="0137A6"/>
                <w:sz w:val="44"/>
                <w:szCs w:val="44"/>
              </w:rPr>
              <w:t xml:space="preserve">LIABILITY VALUATION FOR </w:t>
            </w:r>
            <w:r w:rsidR="00C04C75">
              <w:rPr>
                <w:rFonts w:ascii="Nunito Sans Light" w:hAnsi="Nunito Sans Light"/>
                <w:b/>
                <w:bCs/>
                <w:color w:val="0137A6"/>
                <w:sz w:val="44"/>
                <w:szCs w:val="44"/>
              </w:rPr>
              <w:t>GENERAL</w:t>
            </w:r>
            <w:r w:rsidRPr="006F03C9">
              <w:rPr>
                <w:rFonts w:ascii="Nunito Sans Light" w:hAnsi="Nunito Sans Light"/>
                <w:b/>
                <w:bCs/>
                <w:color w:val="0137A6"/>
                <w:sz w:val="44"/>
                <w:szCs w:val="44"/>
              </w:rPr>
              <w:t xml:space="preserve"> INSURANCE</w:t>
            </w:r>
          </w:p>
          <w:p w14:paraId="0FB3AE7D" w14:textId="561495F1" w:rsidR="006038E5"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00676122" w:rsidRPr="006F03C9">
              <w:rPr>
                <w:rFonts w:ascii="Nunito Sans Black" w:hAnsi="Nunito Sans Black"/>
                <w:b/>
                <w:bCs/>
                <w:color w:val="7F7F7F" w:themeColor="text1" w:themeTint="80"/>
                <w:sz w:val="32"/>
                <w:szCs w:val="32"/>
              </w:rPr>
              <w:t>TECHNICAL PROCEDURES</w:t>
            </w:r>
          </w:p>
        </w:tc>
      </w:tr>
      <w:tr w:rsidR="006038E5" w:rsidRPr="006F03C9" w14:paraId="16B4AF8A" w14:textId="77777777" w:rsidTr="006F03C9">
        <w:trPr>
          <w:trHeight w:val="182"/>
        </w:trPr>
        <w:tc>
          <w:tcPr>
            <w:tcW w:w="241" w:type="dxa"/>
            <w:tcBorders>
              <w:left w:val="single" w:sz="36" w:space="0" w:color="0137A6"/>
            </w:tcBorders>
          </w:tcPr>
          <w:p w14:paraId="6F71535F" w14:textId="37BEEE3F" w:rsidR="006038E5" w:rsidRPr="006F03C9" w:rsidRDefault="00C04C75" w:rsidP="00945A74">
            <w:pPr>
              <w:ind w:left="720" w:right="0"/>
              <w:rPr>
                <w:rFonts w:ascii="Nunito Sans" w:hAnsi="Nunito Sans"/>
                <w:b/>
                <w:sz w:val="32"/>
                <w:lang w:val="en-US"/>
              </w:rPr>
            </w:pPr>
            <w:r>
              <w:rPr>
                <w:rFonts w:ascii="Nunito Sans" w:hAnsi="Nunito Sans"/>
                <w:b/>
                <w:sz w:val="32"/>
                <w:lang w:val="en-US"/>
              </w:rPr>
              <w:t>G</w:t>
            </w:r>
          </w:p>
        </w:tc>
        <w:tc>
          <w:tcPr>
            <w:tcW w:w="10756" w:type="dxa"/>
            <w:gridSpan w:val="3"/>
          </w:tcPr>
          <w:p w14:paraId="69986702" w14:textId="5EDA0AD9" w:rsidR="006038E5" w:rsidRPr="006F03C9" w:rsidRDefault="00FE6803" w:rsidP="00945A74">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006F03C9" w:rsidRPr="000005A7" w14:paraId="6832B4C4" w14:textId="77777777" w:rsidTr="006F03C9">
        <w:trPr>
          <w:trHeight w:val="292"/>
        </w:trPr>
        <w:tc>
          <w:tcPr>
            <w:tcW w:w="241" w:type="dxa"/>
          </w:tcPr>
          <w:p w14:paraId="167C4D31" w14:textId="77777777" w:rsidR="006038E5" w:rsidRPr="000005A7" w:rsidRDefault="006038E5" w:rsidP="00945A74">
            <w:pPr>
              <w:pStyle w:val="NormalBilaNumbers"/>
              <w:ind w:right="0"/>
              <w:rPr>
                <w:rFonts w:ascii="Nunito Sans" w:hAnsi="Nunito Sans"/>
              </w:rPr>
            </w:pPr>
          </w:p>
        </w:tc>
        <w:tc>
          <w:tcPr>
            <w:tcW w:w="4020" w:type="dxa"/>
          </w:tcPr>
          <w:p w14:paraId="39AA0E8B" w14:textId="77777777" w:rsidR="006038E5" w:rsidRPr="000005A7" w:rsidRDefault="006038E5" w:rsidP="00945A74">
            <w:pPr>
              <w:pStyle w:val="NormalBilaNumbers"/>
              <w:ind w:right="0"/>
              <w:rPr>
                <w:rFonts w:ascii="Nunito Sans" w:hAnsi="Nunito Sans"/>
              </w:rPr>
            </w:pPr>
          </w:p>
        </w:tc>
        <w:tc>
          <w:tcPr>
            <w:tcW w:w="4241" w:type="dxa"/>
          </w:tcPr>
          <w:p w14:paraId="4BFCB7BF" w14:textId="77777777" w:rsidR="006038E5" w:rsidRPr="000005A7" w:rsidRDefault="006038E5" w:rsidP="00945A74">
            <w:pPr>
              <w:pStyle w:val="NormalBilaNumbers"/>
              <w:ind w:right="0"/>
              <w:rPr>
                <w:rFonts w:ascii="Nunito Sans" w:hAnsi="Nunito Sans"/>
              </w:rPr>
            </w:pPr>
          </w:p>
        </w:tc>
        <w:tc>
          <w:tcPr>
            <w:tcW w:w="2494" w:type="dxa"/>
          </w:tcPr>
          <w:p w14:paraId="3921FEA4" w14:textId="77777777" w:rsidR="006038E5" w:rsidRPr="000005A7" w:rsidRDefault="006038E5" w:rsidP="00945A74">
            <w:pPr>
              <w:pStyle w:val="NormalBilaNumbers"/>
              <w:ind w:right="0"/>
              <w:rPr>
                <w:rFonts w:ascii="Nunito Sans" w:hAnsi="Nunito Sans"/>
              </w:rPr>
            </w:pPr>
          </w:p>
        </w:tc>
      </w:tr>
      <w:tr w:rsidR="006F03C9" w:rsidRPr="000005A7" w14:paraId="333FC145" w14:textId="77777777" w:rsidTr="006F03C9">
        <w:trPr>
          <w:trHeight w:val="24"/>
        </w:trPr>
        <w:tc>
          <w:tcPr>
            <w:tcW w:w="241" w:type="dxa"/>
          </w:tcPr>
          <w:p w14:paraId="7C4D9F36" w14:textId="77777777" w:rsidR="006038E5" w:rsidRPr="000005A7" w:rsidRDefault="006038E5" w:rsidP="00945A74">
            <w:pPr>
              <w:pStyle w:val="NormalBilaNumbers"/>
              <w:ind w:right="0"/>
              <w:rPr>
                <w:rFonts w:ascii="Nunito Sans" w:hAnsi="Nunito Sans"/>
              </w:rPr>
            </w:pPr>
          </w:p>
        </w:tc>
        <w:tc>
          <w:tcPr>
            <w:tcW w:w="4020" w:type="dxa"/>
          </w:tcPr>
          <w:p w14:paraId="48E1DCEB" w14:textId="77777777" w:rsidR="006038E5" w:rsidRPr="000005A7" w:rsidRDefault="006038E5" w:rsidP="00945A74">
            <w:pPr>
              <w:pStyle w:val="NormalBilaNumbers"/>
              <w:ind w:right="0"/>
              <w:rPr>
                <w:rFonts w:ascii="Nunito Sans" w:hAnsi="Nunito Sans"/>
              </w:rPr>
            </w:pPr>
          </w:p>
        </w:tc>
        <w:tc>
          <w:tcPr>
            <w:tcW w:w="4241" w:type="dxa"/>
          </w:tcPr>
          <w:p w14:paraId="1BE4F86B" w14:textId="77777777" w:rsidR="006038E5" w:rsidRPr="000005A7" w:rsidRDefault="006038E5" w:rsidP="00945A74">
            <w:pPr>
              <w:pStyle w:val="NormalBilaNumbers"/>
              <w:ind w:right="0"/>
              <w:rPr>
                <w:rFonts w:ascii="Nunito Sans" w:hAnsi="Nunito Sans"/>
              </w:rPr>
            </w:pPr>
          </w:p>
        </w:tc>
        <w:tc>
          <w:tcPr>
            <w:tcW w:w="2494" w:type="dxa"/>
          </w:tcPr>
          <w:p w14:paraId="3A1ADA91" w14:textId="77777777" w:rsidR="006038E5" w:rsidRPr="000005A7" w:rsidRDefault="006038E5" w:rsidP="00945A74">
            <w:pPr>
              <w:pStyle w:val="NormalBilaNumbers"/>
              <w:ind w:right="0"/>
              <w:rPr>
                <w:rFonts w:ascii="Nunito Sans" w:hAnsi="Nunito Sans"/>
              </w:rPr>
            </w:pPr>
          </w:p>
        </w:tc>
      </w:tr>
      <w:tr w:rsidR="006F03C9" w:rsidRPr="000005A7" w14:paraId="4AF161C2" w14:textId="77777777" w:rsidTr="006F03C9">
        <w:trPr>
          <w:trHeight w:val="24"/>
        </w:trPr>
        <w:tc>
          <w:tcPr>
            <w:tcW w:w="241" w:type="dxa"/>
          </w:tcPr>
          <w:p w14:paraId="2FE650AE" w14:textId="77777777" w:rsidR="006038E5" w:rsidRPr="000005A7" w:rsidRDefault="006038E5" w:rsidP="00945A74">
            <w:pPr>
              <w:pStyle w:val="NormalBilaNumbers"/>
              <w:ind w:right="0"/>
              <w:rPr>
                <w:rFonts w:ascii="Nunito Sans" w:hAnsi="Nunito Sans"/>
              </w:rPr>
            </w:pPr>
          </w:p>
        </w:tc>
        <w:tc>
          <w:tcPr>
            <w:tcW w:w="4020" w:type="dxa"/>
          </w:tcPr>
          <w:p w14:paraId="31B1EA2B" w14:textId="77777777" w:rsidR="006038E5" w:rsidRPr="000005A7" w:rsidRDefault="006038E5" w:rsidP="00945A74">
            <w:pPr>
              <w:pStyle w:val="NormalBilaNumbers"/>
              <w:ind w:right="0"/>
              <w:rPr>
                <w:rFonts w:ascii="Nunito Sans" w:hAnsi="Nunito Sans"/>
              </w:rPr>
            </w:pPr>
          </w:p>
        </w:tc>
        <w:tc>
          <w:tcPr>
            <w:tcW w:w="4241" w:type="dxa"/>
          </w:tcPr>
          <w:p w14:paraId="11714DFD" w14:textId="77777777" w:rsidR="006038E5" w:rsidRPr="000005A7" w:rsidRDefault="006038E5" w:rsidP="00945A74">
            <w:pPr>
              <w:pStyle w:val="NormalBilaNumbers"/>
              <w:ind w:right="0"/>
              <w:rPr>
                <w:rFonts w:ascii="Nunito Sans" w:hAnsi="Nunito Sans"/>
              </w:rPr>
            </w:pPr>
          </w:p>
        </w:tc>
        <w:tc>
          <w:tcPr>
            <w:tcW w:w="2494" w:type="dxa"/>
          </w:tcPr>
          <w:p w14:paraId="42C998A2" w14:textId="77777777" w:rsidR="006038E5" w:rsidRPr="000005A7" w:rsidRDefault="006038E5" w:rsidP="00945A74">
            <w:pPr>
              <w:pStyle w:val="NormalBilaNumbers"/>
              <w:ind w:right="0"/>
              <w:rPr>
                <w:rFonts w:ascii="Nunito Sans" w:hAnsi="Nunito Sans"/>
              </w:rPr>
            </w:pPr>
          </w:p>
        </w:tc>
      </w:tr>
      <w:tr w:rsidR="006F03C9" w:rsidRPr="000005A7" w14:paraId="6D90AC8B" w14:textId="77777777" w:rsidTr="006F03C9">
        <w:trPr>
          <w:trHeight w:val="24"/>
        </w:trPr>
        <w:tc>
          <w:tcPr>
            <w:tcW w:w="241" w:type="dxa"/>
          </w:tcPr>
          <w:p w14:paraId="29402053" w14:textId="77777777" w:rsidR="006038E5" w:rsidRPr="000005A7" w:rsidRDefault="006038E5" w:rsidP="00945A74">
            <w:pPr>
              <w:pStyle w:val="NormalBilaNumbers"/>
              <w:ind w:right="0"/>
              <w:rPr>
                <w:rFonts w:ascii="Nunito Sans" w:hAnsi="Nunito Sans"/>
              </w:rPr>
            </w:pPr>
          </w:p>
        </w:tc>
        <w:tc>
          <w:tcPr>
            <w:tcW w:w="4020" w:type="dxa"/>
          </w:tcPr>
          <w:p w14:paraId="1C24E99F" w14:textId="77777777" w:rsidR="006038E5" w:rsidRPr="000005A7" w:rsidRDefault="006038E5" w:rsidP="00945A74">
            <w:pPr>
              <w:pStyle w:val="NormalBilaNumbers"/>
              <w:ind w:right="0"/>
              <w:rPr>
                <w:rFonts w:ascii="Nunito Sans" w:hAnsi="Nunito Sans"/>
              </w:rPr>
            </w:pPr>
          </w:p>
        </w:tc>
        <w:tc>
          <w:tcPr>
            <w:tcW w:w="4241" w:type="dxa"/>
          </w:tcPr>
          <w:p w14:paraId="4F232797" w14:textId="77777777" w:rsidR="006038E5" w:rsidRPr="000005A7" w:rsidRDefault="006038E5" w:rsidP="00945A74">
            <w:pPr>
              <w:pStyle w:val="NormalBilaNumbers"/>
              <w:ind w:right="0"/>
              <w:rPr>
                <w:rFonts w:ascii="Nunito Sans" w:hAnsi="Nunito Sans"/>
              </w:rPr>
            </w:pPr>
          </w:p>
        </w:tc>
        <w:tc>
          <w:tcPr>
            <w:tcW w:w="2494" w:type="dxa"/>
          </w:tcPr>
          <w:p w14:paraId="12B2B9DA" w14:textId="77777777" w:rsidR="006038E5" w:rsidRPr="000005A7" w:rsidRDefault="006038E5" w:rsidP="00945A74">
            <w:pPr>
              <w:pStyle w:val="NormalBilaNumbers"/>
              <w:ind w:right="0"/>
              <w:rPr>
                <w:rFonts w:ascii="Nunito Sans" w:hAnsi="Nunito Sans"/>
              </w:rPr>
            </w:pPr>
          </w:p>
        </w:tc>
      </w:tr>
      <w:tr w:rsidR="006F03C9" w:rsidRPr="000005A7" w14:paraId="6EC660A8" w14:textId="77777777" w:rsidTr="006F03C9">
        <w:trPr>
          <w:trHeight w:val="24"/>
        </w:trPr>
        <w:tc>
          <w:tcPr>
            <w:tcW w:w="241" w:type="dxa"/>
          </w:tcPr>
          <w:p w14:paraId="62385438" w14:textId="77777777" w:rsidR="006038E5" w:rsidRPr="000005A7" w:rsidRDefault="006038E5" w:rsidP="00945A74">
            <w:pPr>
              <w:pStyle w:val="NormalBilaNumbers"/>
              <w:ind w:right="0"/>
              <w:rPr>
                <w:rFonts w:ascii="Nunito Sans" w:hAnsi="Nunito Sans"/>
              </w:rPr>
            </w:pPr>
          </w:p>
        </w:tc>
        <w:tc>
          <w:tcPr>
            <w:tcW w:w="4020" w:type="dxa"/>
          </w:tcPr>
          <w:p w14:paraId="2603CEC6" w14:textId="77777777" w:rsidR="006038E5" w:rsidRPr="000005A7" w:rsidRDefault="006038E5" w:rsidP="00945A74">
            <w:pPr>
              <w:pStyle w:val="NormalBilaNumbers"/>
              <w:ind w:right="0"/>
              <w:rPr>
                <w:rFonts w:ascii="Nunito Sans" w:hAnsi="Nunito Sans"/>
              </w:rPr>
            </w:pPr>
          </w:p>
        </w:tc>
        <w:tc>
          <w:tcPr>
            <w:tcW w:w="4241" w:type="dxa"/>
          </w:tcPr>
          <w:p w14:paraId="7B204104" w14:textId="77777777" w:rsidR="006038E5" w:rsidRPr="000005A7" w:rsidRDefault="006038E5" w:rsidP="00945A74">
            <w:pPr>
              <w:pStyle w:val="NormalBilaNumbers"/>
              <w:ind w:right="0"/>
              <w:rPr>
                <w:rFonts w:ascii="Nunito Sans" w:hAnsi="Nunito Sans"/>
              </w:rPr>
            </w:pPr>
          </w:p>
        </w:tc>
        <w:tc>
          <w:tcPr>
            <w:tcW w:w="2494" w:type="dxa"/>
          </w:tcPr>
          <w:p w14:paraId="1F6B3469" w14:textId="77777777" w:rsidR="006038E5" w:rsidRPr="000005A7" w:rsidRDefault="006038E5" w:rsidP="00945A74">
            <w:pPr>
              <w:pStyle w:val="NormalBilaNumbers"/>
              <w:ind w:right="0"/>
              <w:rPr>
                <w:rFonts w:ascii="Nunito Sans" w:hAnsi="Nunito Sans"/>
              </w:rPr>
            </w:pPr>
          </w:p>
        </w:tc>
      </w:tr>
      <w:tr w:rsidR="006F03C9" w:rsidRPr="000005A7" w14:paraId="7AF39CEC" w14:textId="77777777" w:rsidTr="006F03C9">
        <w:trPr>
          <w:trHeight w:val="24"/>
        </w:trPr>
        <w:tc>
          <w:tcPr>
            <w:tcW w:w="241" w:type="dxa"/>
          </w:tcPr>
          <w:p w14:paraId="4B76F5EE" w14:textId="77777777" w:rsidR="006038E5" w:rsidRPr="000005A7" w:rsidRDefault="006038E5" w:rsidP="00945A74">
            <w:pPr>
              <w:pStyle w:val="NormalBilaNumbers"/>
              <w:ind w:right="0"/>
              <w:rPr>
                <w:rFonts w:ascii="Nunito Sans" w:hAnsi="Nunito Sans"/>
              </w:rPr>
            </w:pPr>
          </w:p>
        </w:tc>
        <w:tc>
          <w:tcPr>
            <w:tcW w:w="4020" w:type="dxa"/>
          </w:tcPr>
          <w:p w14:paraId="2DC590B1" w14:textId="77777777" w:rsidR="006038E5" w:rsidRPr="000005A7" w:rsidRDefault="006038E5" w:rsidP="00945A74">
            <w:pPr>
              <w:pStyle w:val="NormalBilaNumbers"/>
              <w:ind w:right="0"/>
              <w:rPr>
                <w:rFonts w:ascii="Nunito Sans" w:hAnsi="Nunito Sans"/>
              </w:rPr>
            </w:pPr>
          </w:p>
        </w:tc>
        <w:tc>
          <w:tcPr>
            <w:tcW w:w="4241" w:type="dxa"/>
          </w:tcPr>
          <w:p w14:paraId="0F4C98FE" w14:textId="77777777" w:rsidR="006038E5" w:rsidRPr="000005A7" w:rsidRDefault="006038E5" w:rsidP="00945A74">
            <w:pPr>
              <w:pStyle w:val="NormalBilaNumbers"/>
              <w:ind w:right="0"/>
              <w:rPr>
                <w:rFonts w:ascii="Nunito Sans" w:hAnsi="Nunito Sans"/>
              </w:rPr>
            </w:pPr>
          </w:p>
        </w:tc>
        <w:tc>
          <w:tcPr>
            <w:tcW w:w="2494" w:type="dxa"/>
          </w:tcPr>
          <w:p w14:paraId="0895EEB7" w14:textId="77777777" w:rsidR="006038E5" w:rsidRPr="000005A7" w:rsidRDefault="006038E5" w:rsidP="00945A74">
            <w:pPr>
              <w:pStyle w:val="NormalBilaNumbers"/>
              <w:ind w:right="0"/>
              <w:rPr>
                <w:rFonts w:ascii="Nunito Sans" w:hAnsi="Nunito Sans"/>
              </w:rPr>
            </w:pPr>
          </w:p>
        </w:tc>
      </w:tr>
      <w:tr w:rsidR="006F03C9" w:rsidRPr="000005A7" w14:paraId="733F9D15" w14:textId="77777777" w:rsidTr="006F03C9">
        <w:trPr>
          <w:trHeight w:val="24"/>
        </w:trPr>
        <w:tc>
          <w:tcPr>
            <w:tcW w:w="241" w:type="dxa"/>
          </w:tcPr>
          <w:p w14:paraId="6ED7FDA5" w14:textId="77777777" w:rsidR="006038E5" w:rsidRPr="000005A7" w:rsidRDefault="006038E5" w:rsidP="00945A74">
            <w:pPr>
              <w:pStyle w:val="NormalBilaNumbers"/>
              <w:ind w:right="0"/>
              <w:rPr>
                <w:rFonts w:ascii="Nunito Sans" w:hAnsi="Nunito Sans"/>
              </w:rPr>
            </w:pPr>
          </w:p>
        </w:tc>
        <w:tc>
          <w:tcPr>
            <w:tcW w:w="4020" w:type="dxa"/>
          </w:tcPr>
          <w:p w14:paraId="6F2AA324" w14:textId="77777777" w:rsidR="006038E5" w:rsidRPr="000005A7" w:rsidRDefault="006038E5" w:rsidP="00945A74">
            <w:pPr>
              <w:pStyle w:val="NormalBilaNumbers"/>
              <w:ind w:right="0"/>
              <w:rPr>
                <w:rFonts w:ascii="Nunito Sans" w:hAnsi="Nunito Sans"/>
              </w:rPr>
            </w:pPr>
          </w:p>
        </w:tc>
        <w:tc>
          <w:tcPr>
            <w:tcW w:w="4241" w:type="dxa"/>
          </w:tcPr>
          <w:p w14:paraId="51C19430" w14:textId="77777777" w:rsidR="006038E5" w:rsidRPr="000005A7" w:rsidRDefault="006038E5" w:rsidP="00945A74">
            <w:pPr>
              <w:pStyle w:val="NormalBilaNumbers"/>
              <w:ind w:right="0"/>
              <w:rPr>
                <w:rFonts w:ascii="Nunito Sans" w:hAnsi="Nunito Sans"/>
              </w:rPr>
            </w:pPr>
          </w:p>
        </w:tc>
        <w:tc>
          <w:tcPr>
            <w:tcW w:w="2494" w:type="dxa"/>
          </w:tcPr>
          <w:p w14:paraId="0A5ED5E0" w14:textId="77777777" w:rsidR="006038E5" w:rsidRPr="000005A7" w:rsidRDefault="006038E5" w:rsidP="00945A74">
            <w:pPr>
              <w:pStyle w:val="NormalBilaNumbers"/>
              <w:ind w:right="0"/>
              <w:rPr>
                <w:rFonts w:ascii="Nunito Sans" w:hAnsi="Nunito Sans"/>
              </w:rPr>
            </w:pPr>
          </w:p>
        </w:tc>
      </w:tr>
      <w:tr w:rsidR="006F03C9" w:rsidRPr="000005A7" w14:paraId="4DD053F9" w14:textId="77777777" w:rsidTr="006F03C9">
        <w:trPr>
          <w:trHeight w:val="24"/>
        </w:trPr>
        <w:tc>
          <w:tcPr>
            <w:tcW w:w="241" w:type="dxa"/>
          </w:tcPr>
          <w:p w14:paraId="6A7A1CFF" w14:textId="77777777" w:rsidR="006038E5" w:rsidRPr="000005A7" w:rsidRDefault="006038E5" w:rsidP="00945A74">
            <w:pPr>
              <w:pStyle w:val="NormalBilaNumbers"/>
              <w:ind w:right="0"/>
              <w:rPr>
                <w:rFonts w:ascii="Nunito Sans" w:hAnsi="Nunito Sans"/>
              </w:rPr>
            </w:pPr>
          </w:p>
        </w:tc>
        <w:tc>
          <w:tcPr>
            <w:tcW w:w="4020" w:type="dxa"/>
          </w:tcPr>
          <w:p w14:paraId="69B751E7" w14:textId="77777777" w:rsidR="006038E5" w:rsidRPr="000005A7" w:rsidRDefault="006038E5" w:rsidP="00945A74">
            <w:pPr>
              <w:pStyle w:val="NormalBilaNumbers"/>
              <w:ind w:right="0"/>
              <w:rPr>
                <w:rFonts w:ascii="Nunito Sans" w:hAnsi="Nunito Sans"/>
              </w:rPr>
            </w:pPr>
          </w:p>
        </w:tc>
        <w:tc>
          <w:tcPr>
            <w:tcW w:w="4241" w:type="dxa"/>
          </w:tcPr>
          <w:p w14:paraId="38CE0101" w14:textId="77777777" w:rsidR="006038E5" w:rsidRPr="000005A7" w:rsidRDefault="006038E5" w:rsidP="00945A74">
            <w:pPr>
              <w:pStyle w:val="NormalBilaNumbers"/>
              <w:ind w:right="0"/>
              <w:rPr>
                <w:rFonts w:ascii="Nunito Sans" w:hAnsi="Nunito Sans"/>
              </w:rPr>
            </w:pPr>
          </w:p>
        </w:tc>
        <w:tc>
          <w:tcPr>
            <w:tcW w:w="2494" w:type="dxa"/>
          </w:tcPr>
          <w:p w14:paraId="52096764" w14:textId="77777777" w:rsidR="006038E5" w:rsidRPr="000005A7" w:rsidRDefault="006038E5" w:rsidP="00945A74">
            <w:pPr>
              <w:pStyle w:val="NormalBilaNumbers"/>
              <w:ind w:right="0"/>
              <w:rPr>
                <w:rFonts w:ascii="Nunito Sans" w:hAnsi="Nunito Sans"/>
              </w:rPr>
            </w:pPr>
          </w:p>
        </w:tc>
      </w:tr>
      <w:tr w:rsidR="006F03C9" w:rsidRPr="000005A7" w14:paraId="09817755" w14:textId="77777777" w:rsidTr="006F03C9">
        <w:trPr>
          <w:trHeight w:val="24"/>
        </w:trPr>
        <w:tc>
          <w:tcPr>
            <w:tcW w:w="241" w:type="dxa"/>
          </w:tcPr>
          <w:p w14:paraId="4C325FD5" w14:textId="77777777" w:rsidR="006038E5" w:rsidRPr="000005A7" w:rsidRDefault="006038E5" w:rsidP="00945A74">
            <w:pPr>
              <w:pStyle w:val="NormalBilaNumbers"/>
              <w:ind w:right="0"/>
              <w:rPr>
                <w:rFonts w:ascii="Nunito Sans" w:hAnsi="Nunito Sans"/>
              </w:rPr>
            </w:pPr>
          </w:p>
        </w:tc>
        <w:tc>
          <w:tcPr>
            <w:tcW w:w="4020" w:type="dxa"/>
          </w:tcPr>
          <w:p w14:paraId="43934931" w14:textId="77777777" w:rsidR="006038E5" w:rsidRPr="000005A7" w:rsidRDefault="006038E5" w:rsidP="00945A74">
            <w:pPr>
              <w:pStyle w:val="NormalBilaNumbers"/>
              <w:ind w:right="0"/>
              <w:rPr>
                <w:rFonts w:ascii="Nunito Sans" w:hAnsi="Nunito Sans"/>
              </w:rPr>
            </w:pPr>
          </w:p>
        </w:tc>
        <w:tc>
          <w:tcPr>
            <w:tcW w:w="4241" w:type="dxa"/>
          </w:tcPr>
          <w:p w14:paraId="046BBC57" w14:textId="77777777" w:rsidR="006038E5" w:rsidRPr="000005A7" w:rsidRDefault="006038E5" w:rsidP="00945A74">
            <w:pPr>
              <w:pStyle w:val="NormalBilaNumbers"/>
              <w:ind w:right="0"/>
              <w:rPr>
                <w:rFonts w:ascii="Nunito Sans" w:hAnsi="Nunito Sans"/>
              </w:rPr>
            </w:pPr>
          </w:p>
        </w:tc>
        <w:tc>
          <w:tcPr>
            <w:tcW w:w="2494" w:type="dxa"/>
          </w:tcPr>
          <w:p w14:paraId="3424F96C" w14:textId="77777777" w:rsidR="006038E5" w:rsidRPr="000005A7" w:rsidRDefault="006038E5" w:rsidP="00945A74">
            <w:pPr>
              <w:pStyle w:val="NormalBilaNumbers"/>
              <w:ind w:right="0"/>
              <w:rPr>
                <w:rFonts w:ascii="Nunito Sans" w:hAnsi="Nunito Sans"/>
              </w:rPr>
            </w:pPr>
          </w:p>
        </w:tc>
      </w:tr>
      <w:tr w:rsidR="006F03C9" w:rsidRPr="000005A7" w14:paraId="52CA1B04" w14:textId="77777777" w:rsidTr="006F03C9">
        <w:trPr>
          <w:trHeight w:val="18"/>
        </w:trPr>
        <w:tc>
          <w:tcPr>
            <w:tcW w:w="241" w:type="dxa"/>
          </w:tcPr>
          <w:p w14:paraId="46CBBC37" w14:textId="77777777" w:rsidR="006038E5" w:rsidRPr="000005A7" w:rsidRDefault="006038E5" w:rsidP="00945A74">
            <w:pPr>
              <w:pStyle w:val="NormalBilaNumbers"/>
              <w:ind w:right="0"/>
              <w:rPr>
                <w:rFonts w:ascii="Nunito Sans" w:hAnsi="Nunito Sans"/>
              </w:rPr>
            </w:pPr>
          </w:p>
        </w:tc>
        <w:tc>
          <w:tcPr>
            <w:tcW w:w="4020" w:type="dxa"/>
          </w:tcPr>
          <w:p w14:paraId="110056A3" w14:textId="77777777" w:rsidR="006038E5" w:rsidRPr="000005A7" w:rsidRDefault="006038E5" w:rsidP="00945A74">
            <w:pPr>
              <w:pStyle w:val="NormalBilaNumbers"/>
              <w:ind w:right="0"/>
              <w:rPr>
                <w:rFonts w:ascii="Nunito Sans" w:hAnsi="Nunito Sans"/>
              </w:rPr>
            </w:pPr>
          </w:p>
        </w:tc>
        <w:tc>
          <w:tcPr>
            <w:tcW w:w="4241" w:type="dxa"/>
          </w:tcPr>
          <w:p w14:paraId="550857B9" w14:textId="77777777" w:rsidR="006038E5" w:rsidRPr="000005A7" w:rsidRDefault="006038E5" w:rsidP="00945A74">
            <w:pPr>
              <w:pStyle w:val="NormalBilaNumbers"/>
              <w:ind w:right="0"/>
              <w:rPr>
                <w:rFonts w:ascii="Nunito Sans" w:hAnsi="Nunito Sans"/>
              </w:rPr>
            </w:pPr>
          </w:p>
        </w:tc>
        <w:tc>
          <w:tcPr>
            <w:tcW w:w="2494" w:type="dxa"/>
          </w:tcPr>
          <w:p w14:paraId="3C1A2A00" w14:textId="77777777" w:rsidR="006038E5" w:rsidRPr="000005A7" w:rsidRDefault="006038E5" w:rsidP="00945A74">
            <w:pPr>
              <w:pStyle w:val="NormalBilaNumbers"/>
              <w:ind w:right="0"/>
              <w:rPr>
                <w:rFonts w:ascii="Nunito Sans" w:hAnsi="Nunito Sans"/>
              </w:rPr>
            </w:pPr>
          </w:p>
        </w:tc>
      </w:tr>
      <w:tr w:rsidR="006F03C9" w:rsidRPr="000005A7" w14:paraId="55A6BF13" w14:textId="77777777" w:rsidTr="006F03C9">
        <w:trPr>
          <w:trHeight w:val="24"/>
        </w:trPr>
        <w:tc>
          <w:tcPr>
            <w:tcW w:w="241" w:type="dxa"/>
          </w:tcPr>
          <w:p w14:paraId="2E7B3A34" w14:textId="77777777" w:rsidR="006038E5" w:rsidRPr="000005A7" w:rsidRDefault="006038E5" w:rsidP="00945A74">
            <w:pPr>
              <w:pStyle w:val="NormalBilaNumbers"/>
              <w:ind w:right="0"/>
              <w:rPr>
                <w:rFonts w:ascii="Nunito Sans" w:hAnsi="Nunito Sans"/>
              </w:rPr>
            </w:pPr>
          </w:p>
        </w:tc>
        <w:tc>
          <w:tcPr>
            <w:tcW w:w="4020" w:type="dxa"/>
          </w:tcPr>
          <w:p w14:paraId="487496E3" w14:textId="77777777" w:rsidR="006038E5" w:rsidRPr="000005A7" w:rsidRDefault="006038E5" w:rsidP="00945A74">
            <w:pPr>
              <w:pStyle w:val="NormalBilaNumbers"/>
              <w:ind w:right="0"/>
              <w:rPr>
                <w:rFonts w:ascii="Nunito Sans" w:hAnsi="Nunito Sans"/>
              </w:rPr>
            </w:pPr>
          </w:p>
        </w:tc>
        <w:tc>
          <w:tcPr>
            <w:tcW w:w="4241" w:type="dxa"/>
          </w:tcPr>
          <w:p w14:paraId="3BCD4C92" w14:textId="77777777" w:rsidR="006038E5" w:rsidRPr="000005A7" w:rsidRDefault="006038E5" w:rsidP="00945A74">
            <w:pPr>
              <w:pStyle w:val="NormalBilaNumbers"/>
              <w:ind w:right="0"/>
              <w:rPr>
                <w:rFonts w:ascii="Nunito Sans" w:hAnsi="Nunito Sans"/>
              </w:rPr>
            </w:pPr>
          </w:p>
        </w:tc>
        <w:tc>
          <w:tcPr>
            <w:tcW w:w="2494" w:type="dxa"/>
          </w:tcPr>
          <w:p w14:paraId="4DFF492A" w14:textId="77777777" w:rsidR="006038E5" w:rsidRPr="000005A7" w:rsidRDefault="006038E5" w:rsidP="00945A74">
            <w:pPr>
              <w:pStyle w:val="NormalBilaNumbers"/>
              <w:ind w:right="0"/>
              <w:rPr>
                <w:rFonts w:ascii="Nunito Sans" w:hAnsi="Nunito Sans"/>
              </w:rPr>
            </w:pPr>
          </w:p>
        </w:tc>
      </w:tr>
      <w:tr w:rsidR="006F03C9" w:rsidRPr="000005A7" w14:paraId="21AF61D8" w14:textId="77777777" w:rsidTr="006F03C9">
        <w:trPr>
          <w:trHeight w:val="24"/>
        </w:trPr>
        <w:tc>
          <w:tcPr>
            <w:tcW w:w="241" w:type="dxa"/>
          </w:tcPr>
          <w:p w14:paraId="78FD2E8A" w14:textId="77777777" w:rsidR="006038E5" w:rsidRPr="000005A7" w:rsidRDefault="006038E5" w:rsidP="00945A74">
            <w:pPr>
              <w:pStyle w:val="NormalBilaNumbers"/>
              <w:ind w:right="0"/>
              <w:rPr>
                <w:rFonts w:ascii="Nunito Sans" w:hAnsi="Nunito Sans"/>
              </w:rPr>
            </w:pPr>
          </w:p>
        </w:tc>
        <w:tc>
          <w:tcPr>
            <w:tcW w:w="4020" w:type="dxa"/>
          </w:tcPr>
          <w:p w14:paraId="23EF60E4" w14:textId="77777777" w:rsidR="006038E5" w:rsidRPr="000005A7" w:rsidRDefault="006038E5" w:rsidP="00945A74">
            <w:pPr>
              <w:pStyle w:val="NormalBilaNumbers"/>
              <w:ind w:right="0"/>
              <w:rPr>
                <w:rFonts w:ascii="Nunito Sans" w:hAnsi="Nunito Sans"/>
              </w:rPr>
            </w:pPr>
          </w:p>
        </w:tc>
        <w:tc>
          <w:tcPr>
            <w:tcW w:w="4241" w:type="dxa"/>
          </w:tcPr>
          <w:p w14:paraId="3164CEF0" w14:textId="77777777" w:rsidR="006038E5" w:rsidRPr="000005A7" w:rsidRDefault="006038E5" w:rsidP="00945A74">
            <w:pPr>
              <w:pStyle w:val="NormalBilaNumbers"/>
              <w:ind w:right="0"/>
              <w:rPr>
                <w:rFonts w:ascii="Nunito Sans" w:hAnsi="Nunito Sans"/>
              </w:rPr>
            </w:pPr>
          </w:p>
        </w:tc>
        <w:tc>
          <w:tcPr>
            <w:tcW w:w="2494" w:type="dxa"/>
          </w:tcPr>
          <w:p w14:paraId="0363AB4D" w14:textId="77777777" w:rsidR="006038E5" w:rsidRPr="000005A7" w:rsidRDefault="006038E5" w:rsidP="00945A74">
            <w:pPr>
              <w:pStyle w:val="NormalBilaNumbers"/>
              <w:ind w:right="0"/>
              <w:rPr>
                <w:rFonts w:ascii="Nunito Sans" w:hAnsi="Nunito Sans"/>
              </w:rPr>
            </w:pPr>
          </w:p>
        </w:tc>
      </w:tr>
      <w:tr w:rsidR="006F03C9" w:rsidRPr="000005A7" w14:paraId="3A85D0BC" w14:textId="77777777" w:rsidTr="006F03C9">
        <w:trPr>
          <w:trHeight w:val="24"/>
        </w:trPr>
        <w:tc>
          <w:tcPr>
            <w:tcW w:w="241" w:type="dxa"/>
          </w:tcPr>
          <w:p w14:paraId="60497023" w14:textId="77777777" w:rsidR="006038E5" w:rsidRPr="000005A7" w:rsidRDefault="006038E5" w:rsidP="00945A74">
            <w:pPr>
              <w:pStyle w:val="NormalBilaNumbers"/>
              <w:ind w:right="0"/>
              <w:rPr>
                <w:rFonts w:ascii="Nunito Sans" w:hAnsi="Nunito Sans"/>
              </w:rPr>
            </w:pPr>
          </w:p>
        </w:tc>
        <w:tc>
          <w:tcPr>
            <w:tcW w:w="4020" w:type="dxa"/>
          </w:tcPr>
          <w:p w14:paraId="7C5FD24B" w14:textId="77777777" w:rsidR="006038E5" w:rsidRPr="000005A7" w:rsidRDefault="006038E5" w:rsidP="00945A74">
            <w:pPr>
              <w:pStyle w:val="NormalBilaNumbers"/>
              <w:ind w:right="0"/>
              <w:rPr>
                <w:rFonts w:ascii="Nunito Sans" w:hAnsi="Nunito Sans"/>
              </w:rPr>
            </w:pPr>
          </w:p>
        </w:tc>
        <w:tc>
          <w:tcPr>
            <w:tcW w:w="4241" w:type="dxa"/>
          </w:tcPr>
          <w:p w14:paraId="03137073" w14:textId="77777777" w:rsidR="006038E5" w:rsidRPr="000005A7" w:rsidRDefault="006038E5" w:rsidP="00945A74">
            <w:pPr>
              <w:pStyle w:val="NormalBilaNumbers"/>
              <w:ind w:right="0"/>
              <w:rPr>
                <w:rFonts w:ascii="Nunito Sans" w:hAnsi="Nunito Sans"/>
              </w:rPr>
            </w:pPr>
          </w:p>
        </w:tc>
        <w:tc>
          <w:tcPr>
            <w:tcW w:w="2494" w:type="dxa"/>
          </w:tcPr>
          <w:p w14:paraId="1BCDA028" w14:textId="77777777" w:rsidR="006038E5" w:rsidRPr="000005A7" w:rsidRDefault="006038E5" w:rsidP="00945A74">
            <w:pPr>
              <w:pStyle w:val="NormalBilaNumbers"/>
              <w:ind w:right="0"/>
              <w:rPr>
                <w:rFonts w:ascii="Nunito Sans" w:hAnsi="Nunito Sans"/>
              </w:rPr>
            </w:pPr>
          </w:p>
        </w:tc>
      </w:tr>
      <w:tr w:rsidR="006F03C9" w:rsidRPr="000005A7" w14:paraId="34F26D79" w14:textId="77777777" w:rsidTr="006F03C9">
        <w:trPr>
          <w:trHeight w:val="24"/>
        </w:trPr>
        <w:tc>
          <w:tcPr>
            <w:tcW w:w="241" w:type="dxa"/>
          </w:tcPr>
          <w:p w14:paraId="3AA5A19A" w14:textId="77777777" w:rsidR="006038E5" w:rsidRPr="000005A7" w:rsidRDefault="006038E5" w:rsidP="00945A74">
            <w:pPr>
              <w:pStyle w:val="NormalBilaNumbers"/>
              <w:ind w:right="0"/>
              <w:rPr>
                <w:rFonts w:ascii="Nunito Sans" w:hAnsi="Nunito Sans"/>
              </w:rPr>
            </w:pPr>
          </w:p>
        </w:tc>
        <w:tc>
          <w:tcPr>
            <w:tcW w:w="4020" w:type="dxa"/>
          </w:tcPr>
          <w:p w14:paraId="7F355A99" w14:textId="77777777" w:rsidR="006038E5" w:rsidRPr="000005A7" w:rsidRDefault="006038E5" w:rsidP="00945A74">
            <w:pPr>
              <w:pStyle w:val="NormalBilaNumbers"/>
              <w:ind w:right="0"/>
              <w:rPr>
                <w:rFonts w:ascii="Nunito Sans" w:hAnsi="Nunito Sans"/>
              </w:rPr>
            </w:pPr>
          </w:p>
        </w:tc>
        <w:tc>
          <w:tcPr>
            <w:tcW w:w="4241" w:type="dxa"/>
          </w:tcPr>
          <w:p w14:paraId="3CE18EA0" w14:textId="77777777" w:rsidR="006038E5" w:rsidRPr="000005A7" w:rsidRDefault="006038E5" w:rsidP="00945A74">
            <w:pPr>
              <w:pStyle w:val="NormalBilaNumbers"/>
              <w:ind w:right="0"/>
              <w:rPr>
                <w:rFonts w:ascii="Nunito Sans" w:hAnsi="Nunito Sans"/>
              </w:rPr>
            </w:pPr>
          </w:p>
        </w:tc>
        <w:tc>
          <w:tcPr>
            <w:tcW w:w="2494" w:type="dxa"/>
          </w:tcPr>
          <w:p w14:paraId="34297175" w14:textId="77777777" w:rsidR="006038E5" w:rsidRPr="000005A7" w:rsidRDefault="006038E5" w:rsidP="00945A74">
            <w:pPr>
              <w:pStyle w:val="NormalBilaNumbers"/>
              <w:ind w:right="0"/>
              <w:rPr>
                <w:rFonts w:ascii="Nunito Sans" w:hAnsi="Nunito Sans"/>
              </w:rPr>
            </w:pPr>
          </w:p>
        </w:tc>
      </w:tr>
      <w:tr w:rsidR="006F03C9" w:rsidRPr="000005A7" w14:paraId="5F6520D0" w14:textId="77777777" w:rsidTr="006F03C9">
        <w:trPr>
          <w:trHeight w:val="24"/>
        </w:trPr>
        <w:tc>
          <w:tcPr>
            <w:tcW w:w="241" w:type="dxa"/>
          </w:tcPr>
          <w:p w14:paraId="535E77DF" w14:textId="77777777" w:rsidR="006038E5" w:rsidRPr="000005A7" w:rsidRDefault="006038E5" w:rsidP="00945A74">
            <w:pPr>
              <w:pStyle w:val="NormalBilaNumbers"/>
              <w:ind w:right="0"/>
              <w:rPr>
                <w:rFonts w:ascii="Nunito Sans" w:hAnsi="Nunito Sans"/>
              </w:rPr>
            </w:pPr>
          </w:p>
        </w:tc>
        <w:tc>
          <w:tcPr>
            <w:tcW w:w="4020" w:type="dxa"/>
          </w:tcPr>
          <w:p w14:paraId="6A2999B3" w14:textId="77777777" w:rsidR="006038E5" w:rsidRPr="000005A7" w:rsidRDefault="006038E5" w:rsidP="00945A74">
            <w:pPr>
              <w:pStyle w:val="NormalBilaNumbers"/>
              <w:ind w:right="0"/>
              <w:rPr>
                <w:rFonts w:ascii="Nunito Sans" w:hAnsi="Nunito Sans"/>
              </w:rPr>
            </w:pPr>
          </w:p>
        </w:tc>
        <w:tc>
          <w:tcPr>
            <w:tcW w:w="4241" w:type="dxa"/>
          </w:tcPr>
          <w:p w14:paraId="58FA5340" w14:textId="77777777" w:rsidR="006038E5" w:rsidRPr="000005A7" w:rsidRDefault="006038E5" w:rsidP="00945A74">
            <w:pPr>
              <w:pStyle w:val="NormalBilaNumbers"/>
              <w:ind w:right="0"/>
              <w:rPr>
                <w:rFonts w:ascii="Nunito Sans" w:hAnsi="Nunito Sans"/>
              </w:rPr>
            </w:pPr>
          </w:p>
        </w:tc>
        <w:tc>
          <w:tcPr>
            <w:tcW w:w="2494" w:type="dxa"/>
          </w:tcPr>
          <w:p w14:paraId="16589552" w14:textId="77777777" w:rsidR="006038E5" w:rsidRPr="000005A7" w:rsidRDefault="006038E5" w:rsidP="00945A74">
            <w:pPr>
              <w:pStyle w:val="NormalBilaNumbers"/>
              <w:ind w:right="0"/>
              <w:rPr>
                <w:rFonts w:ascii="Nunito Sans" w:hAnsi="Nunito Sans"/>
              </w:rPr>
            </w:pPr>
          </w:p>
        </w:tc>
      </w:tr>
      <w:tr w:rsidR="006F03C9" w:rsidRPr="006F03C9" w14:paraId="64058C84" w14:textId="77777777" w:rsidTr="006F03C9">
        <w:trPr>
          <w:trHeight w:val="97"/>
        </w:trPr>
        <w:tc>
          <w:tcPr>
            <w:tcW w:w="241" w:type="dxa"/>
          </w:tcPr>
          <w:p w14:paraId="45A8A3FA" w14:textId="77777777" w:rsidR="006038E5" w:rsidRPr="000A62AB" w:rsidRDefault="006038E5" w:rsidP="00945A74">
            <w:pPr>
              <w:ind w:left="720" w:right="0"/>
              <w:rPr>
                <w:rFonts w:ascii="Nunito Sans" w:hAnsi="Nunito Sans"/>
                <w:lang w:val="en-US"/>
              </w:rPr>
            </w:pPr>
          </w:p>
        </w:tc>
        <w:tc>
          <w:tcPr>
            <w:tcW w:w="4020" w:type="dxa"/>
          </w:tcPr>
          <w:p w14:paraId="71A7948B" w14:textId="77777777" w:rsidR="006038E5" w:rsidRPr="006F03C9" w:rsidRDefault="006038E5" w:rsidP="00945A74">
            <w:pPr>
              <w:ind w:right="0"/>
              <w:rPr>
                <w:rFonts w:ascii="Nunito Sans" w:hAnsi="Nunito Sans"/>
                <w:lang w:val="en-US"/>
              </w:rPr>
            </w:pPr>
          </w:p>
        </w:tc>
        <w:tc>
          <w:tcPr>
            <w:tcW w:w="4241" w:type="dxa"/>
          </w:tcPr>
          <w:p w14:paraId="44FA99D3" w14:textId="77777777" w:rsidR="006038E5" w:rsidRPr="006F03C9" w:rsidRDefault="006038E5" w:rsidP="00945A74">
            <w:pPr>
              <w:ind w:right="0"/>
              <w:rPr>
                <w:rFonts w:ascii="Nunito Sans" w:hAnsi="Nunito Sans"/>
                <w:lang w:val="en-US"/>
              </w:rPr>
            </w:pPr>
          </w:p>
        </w:tc>
        <w:tc>
          <w:tcPr>
            <w:tcW w:w="2494" w:type="dxa"/>
          </w:tcPr>
          <w:p w14:paraId="5CEBFAE8" w14:textId="170C4505" w:rsidR="006038E5" w:rsidRPr="006F03C9" w:rsidRDefault="00F61B29" w:rsidP="00CE49B3">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00CE49B3" w:rsidRPr="006F03C9">
              <w:rPr>
                <w:rFonts w:ascii="Nunito Sans SemiBold" w:hAnsi="Nunito Sans SemiBold"/>
                <w:color w:val="0137A6"/>
                <w:lang w:val="en-US"/>
              </w:rPr>
              <w:t xml:space="preserve"> 202</w:t>
            </w:r>
            <w:r w:rsidR="00425205" w:rsidRPr="006F03C9">
              <w:rPr>
                <w:rFonts w:ascii="Nunito Sans SemiBold" w:hAnsi="Nunito Sans SemiBold"/>
                <w:color w:val="0137A6"/>
                <w:lang w:val="en-US"/>
              </w:rPr>
              <w:t>5</w:t>
            </w:r>
          </w:p>
        </w:tc>
      </w:tr>
      <w:tr w:rsidR="006F03C9" w:rsidRPr="006F03C9" w14:paraId="3832933F" w14:textId="77777777" w:rsidTr="006F03C9">
        <w:trPr>
          <w:trHeight w:val="103"/>
        </w:trPr>
        <w:tc>
          <w:tcPr>
            <w:tcW w:w="241" w:type="dxa"/>
          </w:tcPr>
          <w:p w14:paraId="43EC95EB" w14:textId="77777777" w:rsidR="006038E5" w:rsidRPr="000A62AB" w:rsidRDefault="006038E5" w:rsidP="00945A74">
            <w:pPr>
              <w:pStyle w:val="NormalBilaNumbers"/>
              <w:ind w:right="0"/>
              <w:rPr>
                <w:rFonts w:ascii="Nunito Sans" w:hAnsi="Nunito Sans"/>
              </w:rPr>
            </w:pPr>
          </w:p>
        </w:tc>
        <w:tc>
          <w:tcPr>
            <w:tcW w:w="4020" w:type="dxa"/>
          </w:tcPr>
          <w:p w14:paraId="66403CC6" w14:textId="77777777" w:rsidR="006038E5" w:rsidRPr="006F03C9" w:rsidRDefault="006038E5" w:rsidP="00945A74">
            <w:pPr>
              <w:pStyle w:val="NormalBilaNumbers"/>
              <w:ind w:right="0"/>
              <w:rPr>
                <w:rFonts w:ascii="Nunito Sans" w:hAnsi="Nunito Sans"/>
              </w:rPr>
            </w:pPr>
          </w:p>
        </w:tc>
        <w:tc>
          <w:tcPr>
            <w:tcW w:w="4241" w:type="dxa"/>
          </w:tcPr>
          <w:p w14:paraId="4968610E" w14:textId="77777777" w:rsidR="006038E5" w:rsidRPr="006F03C9" w:rsidRDefault="006038E5" w:rsidP="00945A74">
            <w:pPr>
              <w:pStyle w:val="NormalBilaNumbers"/>
              <w:ind w:right="0"/>
              <w:rPr>
                <w:rFonts w:ascii="Nunito Sans" w:hAnsi="Nunito Sans"/>
              </w:rPr>
            </w:pPr>
          </w:p>
        </w:tc>
        <w:tc>
          <w:tcPr>
            <w:tcW w:w="2494" w:type="dxa"/>
          </w:tcPr>
          <w:p w14:paraId="446029DB" w14:textId="77777777" w:rsidR="006038E5" w:rsidRPr="006F03C9" w:rsidRDefault="006038E5" w:rsidP="00945A74">
            <w:pPr>
              <w:pStyle w:val="NormalBilaNumbers"/>
              <w:ind w:right="0"/>
              <w:jc w:val="right"/>
              <w:rPr>
                <w:rFonts w:ascii="Nunito Sans SemiBold" w:hAnsi="Nunito Sans SemiBold"/>
                <w:color w:val="0137A6"/>
              </w:rPr>
            </w:pPr>
          </w:p>
        </w:tc>
      </w:tr>
      <w:tr w:rsidR="006F03C9" w:rsidRPr="006F03C9" w14:paraId="50B879E1" w14:textId="77777777" w:rsidTr="006F03C9">
        <w:trPr>
          <w:trHeight w:val="97"/>
        </w:trPr>
        <w:tc>
          <w:tcPr>
            <w:tcW w:w="241" w:type="dxa"/>
          </w:tcPr>
          <w:p w14:paraId="0747A5D1" w14:textId="77777777" w:rsidR="006038E5" w:rsidRPr="000A62AB" w:rsidRDefault="006038E5" w:rsidP="00945A74">
            <w:pPr>
              <w:ind w:left="720" w:right="0"/>
              <w:rPr>
                <w:rFonts w:ascii="Nunito Sans" w:hAnsi="Nunito Sans"/>
                <w:lang w:val="en-US"/>
              </w:rPr>
            </w:pPr>
          </w:p>
        </w:tc>
        <w:tc>
          <w:tcPr>
            <w:tcW w:w="4020" w:type="dxa"/>
          </w:tcPr>
          <w:p w14:paraId="62B0F2CE" w14:textId="77777777" w:rsidR="006038E5" w:rsidRPr="006F03C9" w:rsidRDefault="006038E5" w:rsidP="00945A74">
            <w:pPr>
              <w:ind w:right="0"/>
              <w:rPr>
                <w:rFonts w:ascii="Nunito Sans" w:hAnsi="Nunito Sans"/>
                <w:lang w:val="en-US"/>
              </w:rPr>
            </w:pPr>
          </w:p>
        </w:tc>
        <w:tc>
          <w:tcPr>
            <w:tcW w:w="4241" w:type="dxa"/>
          </w:tcPr>
          <w:p w14:paraId="395FA54C" w14:textId="77777777" w:rsidR="006038E5" w:rsidRPr="006F03C9" w:rsidRDefault="006038E5" w:rsidP="00945A74">
            <w:pPr>
              <w:ind w:right="0"/>
              <w:rPr>
                <w:rFonts w:ascii="Nunito Sans" w:hAnsi="Nunito Sans"/>
                <w:lang w:val="en-US"/>
              </w:rPr>
            </w:pPr>
          </w:p>
        </w:tc>
        <w:tc>
          <w:tcPr>
            <w:tcW w:w="2494" w:type="dxa"/>
          </w:tcPr>
          <w:p w14:paraId="255533FF" w14:textId="0BD4FA68" w:rsidR="006038E5" w:rsidRPr="006F03C9" w:rsidRDefault="00003E46" w:rsidP="00945A74">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00CE49B3" w:rsidRPr="006F03C9">
              <w:rPr>
                <w:rFonts w:ascii="Nunito Sans SemiBold" w:hAnsi="Nunito Sans SemiBold"/>
                <w:color w:val="0137A6"/>
                <w:lang w:val="en-US"/>
              </w:rPr>
              <w:t xml:space="preserve"> POLICY </w:t>
            </w:r>
          </w:p>
        </w:tc>
      </w:tr>
      <w:tr w:rsidR="006F03C9" w:rsidRPr="006F03C9" w14:paraId="60A08CE7" w14:textId="77777777" w:rsidTr="006F03C9">
        <w:trPr>
          <w:trHeight w:val="42"/>
        </w:trPr>
        <w:tc>
          <w:tcPr>
            <w:tcW w:w="241" w:type="dxa"/>
          </w:tcPr>
          <w:p w14:paraId="50288813" w14:textId="77777777" w:rsidR="006038E5" w:rsidRPr="003C4157" w:rsidRDefault="006038E5" w:rsidP="00945A74">
            <w:pPr>
              <w:ind w:left="720" w:right="0"/>
              <w:rPr>
                <w:rFonts w:ascii="Nunito Sans" w:hAnsi="Nunito Sans"/>
                <w:sz w:val="8"/>
                <w:szCs w:val="8"/>
                <w:lang w:val="en-US"/>
              </w:rPr>
            </w:pPr>
          </w:p>
        </w:tc>
        <w:tc>
          <w:tcPr>
            <w:tcW w:w="4020" w:type="dxa"/>
          </w:tcPr>
          <w:p w14:paraId="3DF92ADA" w14:textId="77777777" w:rsidR="006038E5" w:rsidRPr="000A62AB" w:rsidRDefault="006038E5" w:rsidP="00945A74">
            <w:pPr>
              <w:ind w:right="0"/>
              <w:rPr>
                <w:rFonts w:ascii="Nunito Sans" w:hAnsi="Nunito Sans"/>
                <w:sz w:val="8"/>
                <w:szCs w:val="8"/>
                <w:lang w:val="en-US"/>
              </w:rPr>
            </w:pPr>
          </w:p>
        </w:tc>
        <w:tc>
          <w:tcPr>
            <w:tcW w:w="4241" w:type="dxa"/>
          </w:tcPr>
          <w:p w14:paraId="1AEDC0E5" w14:textId="77777777" w:rsidR="006038E5" w:rsidRPr="006F03C9" w:rsidRDefault="006038E5" w:rsidP="00945A74">
            <w:pPr>
              <w:ind w:right="0"/>
              <w:rPr>
                <w:rFonts w:ascii="Nunito Sans" w:hAnsi="Nunito Sans"/>
                <w:sz w:val="8"/>
                <w:szCs w:val="8"/>
                <w:lang w:val="en-US"/>
              </w:rPr>
            </w:pPr>
          </w:p>
        </w:tc>
        <w:tc>
          <w:tcPr>
            <w:tcW w:w="2494" w:type="dxa"/>
            <w:tcBorders>
              <w:bottom w:val="single" w:sz="36" w:space="0" w:color="0137A6"/>
            </w:tcBorders>
          </w:tcPr>
          <w:p w14:paraId="2E0DC08C" w14:textId="77777777" w:rsidR="006038E5" w:rsidRPr="006F03C9" w:rsidRDefault="006038E5" w:rsidP="00945A74">
            <w:pPr>
              <w:pStyle w:val="NormalBilaNumbers"/>
              <w:ind w:left="-102" w:right="0"/>
              <w:rPr>
                <w:rFonts w:ascii="Nunito Sans" w:hAnsi="Nunito Sans"/>
                <w:sz w:val="8"/>
                <w:szCs w:val="8"/>
              </w:rPr>
            </w:pPr>
          </w:p>
        </w:tc>
      </w:tr>
      <w:tr w:rsidR="006038E5" w:rsidRPr="006F03C9" w14:paraId="25CA3B76" w14:textId="77777777" w:rsidTr="006F03C9">
        <w:trPr>
          <w:trHeight w:val="53"/>
        </w:trPr>
        <w:tc>
          <w:tcPr>
            <w:tcW w:w="241" w:type="dxa"/>
          </w:tcPr>
          <w:p w14:paraId="0A4A7627" w14:textId="77777777" w:rsidR="006038E5" w:rsidRPr="000A62AB" w:rsidRDefault="006038E5" w:rsidP="00945A74">
            <w:pPr>
              <w:ind w:left="360" w:right="0"/>
              <w:rPr>
                <w:rFonts w:ascii="Nunito Sans" w:hAnsi="Nunito Sans"/>
                <w:lang w:val="en-US"/>
              </w:rPr>
            </w:pPr>
          </w:p>
        </w:tc>
        <w:tc>
          <w:tcPr>
            <w:tcW w:w="4020" w:type="dxa"/>
          </w:tcPr>
          <w:p w14:paraId="65A36FC9" w14:textId="77777777" w:rsidR="006038E5" w:rsidRPr="006F03C9" w:rsidRDefault="006038E5" w:rsidP="00945A74">
            <w:pPr>
              <w:ind w:left="360" w:right="0"/>
              <w:rPr>
                <w:rFonts w:ascii="Nunito Sans" w:hAnsi="Nunito Sans"/>
                <w:lang w:val="en-US"/>
              </w:rPr>
            </w:pPr>
          </w:p>
        </w:tc>
        <w:tc>
          <w:tcPr>
            <w:tcW w:w="6736" w:type="dxa"/>
            <w:gridSpan w:val="2"/>
          </w:tcPr>
          <w:p w14:paraId="4A046602" w14:textId="77777777" w:rsidR="006038E5" w:rsidRPr="006F03C9" w:rsidRDefault="006038E5" w:rsidP="00945A74">
            <w:pPr>
              <w:ind w:left="720" w:right="0"/>
              <w:jc w:val="right"/>
              <w:rPr>
                <w:rFonts w:ascii="Nunito Sans" w:hAnsi="Nunito Sans"/>
                <w:color w:val="4472C4" w:themeColor="accent1"/>
                <w:lang w:val="en-US"/>
              </w:rPr>
            </w:pPr>
          </w:p>
        </w:tc>
      </w:tr>
      <w:tr w:rsidR="006038E5" w:rsidRPr="006F03C9" w14:paraId="29FCF607" w14:textId="77777777" w:rsidTr="006F03C9">
        <w:trPr>
          <w:trHeight w:val="53"/>
        </w:trPr>
        <w:tc>
          <w:tcPr>
            <w:tcW w:w="241" w:type="dxa"/>
          </w:tcPr>
          <w:p w14:paraId="5A57E473" w14:textId="77777777" w:rsidR="006038E5" w:rsidRPr="000A62AB" w:rsidRDefault="006038E5" w:rsidP="00945A74">
            <w:pPr>
              <w:pStyle w:val="NormalBilaNumbers"/>
              <w:ind w:right="0"/>
              <w:rPr>
                <w:rFonts w:ascii="Nunito Sans" w:hAnsi="Nunito Sans"/>
              </w:rPr>
            </w:pPr>
          </w:p>
        </w:tc>
        <w:tc>
          <w:tcPr>
            <w:tcW w:w="4020" w:type="dxa"/>
          </w:tcPr>
          <w:p w14:paraId="78E3EDA9" w14:textId="77777777" w:rsidR="006038E5" w:rsidRPr="006F03C9" w:rsidRDefault="006038E5" w:rsidP="00945A74">
            <w:pPr>
              <w:pStyle w:val="NormalBilaNumbers"/>
              <w:ind w:right="0"/>
              <w:rPr>
                <w:rFonts w:ascii="Nunito Sans" w:hAnsi="Nunito Sans"/>
              </w:rPr>
            </w:pPr>
          </w:p>
        </w:tc>
        <w:tc>
          <w:tcPr>
            <w:tcW w:w="6736" w:type="dxa"/>
            <w:gridSpan w:val="2"/>
            <w:vAlign w:val="center"/>
          </w:tcPr>
          <w:p w14:paraId="5B215D16" w14:textId="77777777" w:rsidR="006038E5" w:rsidRPr="006F03C9" w:rsidRDefault="006038E5" w:rsidP="00945A74">
            <w:pPr>
              <w:pStyle w:val="NormalBilaNumbers"/>
              <w:ind w:right="0"/>
              <w:rPr>
                <w:rFonts w:ascii="Nunito Sans" w:hAnsi="Nunito Sans"/>
              </w:rPr>
            </w:pPr>
          </w:p>
        </w:tc>
      </w:tr>
    </w:tbl>
    <w:p w14:paraId="687726A2" w14:textId="77777777" w:rsidR="006038E5" w:rsidRPr="006F03C9" w:rsidRDefault="006038E5" w:rsidP="006038E5">
      <w:pPr>
        <w:pStyle w:val="NormalBilaNumbers"/>
        <w:ind w:right="0"/>
      </w:pPr>
    </w:p>
    <w:p w14:paraId="3E12089E" w14:textId="6E8FDC6C" w:rsidR="006038E5" w:rsidRPr="006F03C9" w:rsidRDefault="006038E5" w:rsidP="006038E5">
      <w:pPr>
        <w:pStyle w:val="NormalBilaNumbers"/>
        <w:ind w:right="0"/>
        <w:sectPr w:rsidR="006038E5" w:rsidRPr="006F03C9" w:rsidSect="001E2E73">
          <w:footerReference w:type="default" r:id="rId12"/>
          <w:footerReference w:type="first" r:id="rId13"/>
          <w:pgSz w:w="11906" w:h="16838"/>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2" behindDoc="0" locked="0" layoutInCell="1" allowOverlap="1" wp14:anchorId="6F3356A3" wp14:editId="30C5224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v:textbox>
                <w10:wrap anchorx="margin"/>
              </v:rect>
            </w:pict>
          </mc:Fallback>
        </mc:AlternateContent>
      </w:r>
      <w:r w:rsidRPr="006F03C9">
        <w:br w:type="page"/>
      </w:r>
    </w:p>
    <w:p w14:paraId="0C089338" w14:textId="0E5A49A7" w:rsidR="006038E5" w:rsidRPr="006F03C9" w:rsidRDefault="006038E5" w:rsidP="00D37CA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00FE6803" w:rsidRPr="006F03C9">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00D37CA5" w:rsidRPr="006F03C9" w14:paraId="6EB84F1A" w14:textId="77777777" w:rsidTr="003F5278">
        <w:trPr>
          <w:trHeight w:val="375"/>
        </w:trPr>
        <w:tc>
          <w:tcPr>
            <w:tcW w:w="10586" w:type="dxa"/>
            <w:gridSpan w:val="4"/>
            <w:shd w:val="clear" w:color="auto" w:fill="0137A6"/>
          </w:tcPr>
          <w:p w14:paraId="3571EDB0" w14:textId="77777777" w:rsidR="00D37CA5" w:rsidRPr="003C4157" w:rsidRDefault="00D37CA5">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00D37CA5" w:rsidRPr="006F03C9" w14:paraId="2CC63D19" w14:textId="77777777" w:rsidTr="00B60442">
        <w:trPr>
          <w:trHeight w:val="330"/>
        </w:trPr>
        <w:tc>
          <w:tcPr>
            <w:tcW w:w="1086" w:type="dxa"/>
            <w:tcBorders>
              <w:bottom w:val="single" w:sz="6" w:space="0" w:color="4471C4"/>
            </w:tcBorders>
          </w:tcPr>
          <w:p w14:paraId="2FBF944E" w14:textId="77777777" w:rsidR="00D37CA5" w:rsidRPr="006F03C9" w:rsidRDefault="00D37CA5">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sz="6" w:space="0" w:color="4471C4"/>
            </w:tcBorders>
          </w:tcPr>
          <w:p w14:paraId="63A9318D" w14:textId="77777777" w:rsidR="00D37CA5" w:rsidRPr="006F03C9" w:rsidRDefault="00D37CA5">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sz="6" w:space="0" w:color="4471C4"/>
            </w:tcBorders>
          </w:tcPr>
          <w:p w14:paraId="6CDED76B" w14:textId="77777777" w:rsidR="00D37CA5" w:rsidRPr="006F03C9" w:rsidRDefault="00D37CA5">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3C4157" w:rsidRDefault="00D37CA5">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00D7616B" w:rsidRPr="006F03C9" w14:paraId="03E742DD" w14:textId="77777777" w:rsidTr="00B60442">
        <w:trPr>
          <w:trHeight w:val="300"/>
        </w:trPr>
        <w:tc>
          <w:tcPr>
            <w:tcW w:w="1086" w:type="dxa"/>
            <w:tcBorders>
              <w:top w:val="single" w:sz="6" w:space="0" w:color="4471C4"/>
              <w:bottom w:val="single" w:sz="6" w:space="0" w:color="4471C4"/>
            </w:tcBorders>
          </w:tcPr>
          <w:p w14:paraId="4C22BD5A" w14:textId="77777777" w:rsidR="00D7616B" w:rsidRPr="006F03C9" w:rsidRDefault="00D7616B" w:rsidP="00D7616B">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sz="6" w:space="0" w:color="4471C4"/>
              <w:bottom w:val="single" w:sz="6" w:space="0" w:color="4471C4"/>
            </w:tcBorders>
          </w:tcPr>
          <w:p w14:paraId="6BC6F44B" w14:textId="0E373847" w:rsidR="00D7616B" w:rsidRPr="006F03C9" w:rsidRDefault="00D7616B" w:rsidP="00D7616B">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sz="6" w:space="0" w:color="4471C4"/>
              <w:bottom w:val="single" w:sz="6" w:space="0" w:color="4471C4"/>
            </w:tcBorders>
          </w:tcPr>
          <w:p w14:paraId="4A96CFD7" w14:textId="283C6DA4" w:rsidR="00D7616B" w:rsidRPr="006F03C9" w:rsidRDefault="00F61B29" w:rsidP="00D7616B">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 2025</w:t>
            </w:r>
          </w:p>
        </w:tc>
        <w:tc>
          <w:tcPr>
            <w:tcW w:w="1644" w:type="dxa"/>
            <w:tcBorders>
              <w:top w:val="single" w:sz="6" w:space="0" w:color="4471C4"/>
              <w:bottom w:val="single" w:sz="6" w:space="0" w:color="4471C4"/>
            </w:tcBorders>
          </w:tcPr>
          <w:p w14:paraId="16B048D8" w14:textId="24A2E476" w:rsidR="00D7616B" w:rsidRPr="003C4157" w:rsidRDefault="00D7616B" w:rsidP="00D7616B">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008853D7" w:rsidRPr="006F03C9" w14:paraId="221CAB2E" w14:textId="77777777" w:rsidTr="00B60442">
        <w:trPr>
          <w:trHeight w:val="300"/>
        </w:trPr>
        <w:tc>
          <w:tcPr>
            <w:tcW w:w="1086" w:type="dxa"/>
            <w:tcBorders>
              <w:top w:val="single" w:sz="6" w:space="0" w:color="4471C4"/>
              <w:bottom w:val="single" w:sz="6" w:space="0" w:color="4471C4"/>
            </w:tcBorders>
          </w:tcPr>
          <w:p w14:paraId="0043FB6B" w14:textId="77777777" w:rsidR="008853D7" w:rsidRPr="003C4157" w:rsidRDefault="008853D7" w:rsidP="00EE1DFE">
            <w:pPr>
              <w:pStyle w:val="TableParagraph"/>
              <w:spacing w:before="60"/>
              <w:ind w:left="150"/>
              <w:jc w:val="left"/>
              <w:rPr>
                <w:rFonts w:ascii="Nunito Sans" w:hAnsi="Nunito Sans"/>
                <w:color w:val="0137A6"/>
                <w:sz w:val="18"/>
                <w:szCs w:val="18"/>
              </w:rPr>
            </w:pPr>
          </w:p>
        </w:tc>
        <w:tc>
          <w:tcPr>
            <w:tcW w:w="4443" w:type="dxa"/>
            <w:tcBorders>
              <w:top w:val="single" w:sz="6" w:space="0" w:color="4471C4"/>
              <w:bottom w:val="single" w:sz="6" w:space="0" w:color="4471C4"/>
            </w:tcBorders>
          </w:tcPr>
          <w:p w14:paraId="4B10E25B" w14:textId="77777777" w:rsidR="008853D7" w:rsidRPr="003C4157" w:rsidRDefault="008853D7" w:rsidP="00EE1DFE">
            <w:pPr>
              <w:pStyle w:val="TableParagraph"/>
              <w:spacing w:before="60"/>
              <w:ind w:left="325"/>
              <w:jc w:val="left"/>
              <w:rPr>
                <w:rFonts w:ascii="Nunito Sans" w:hAnsi="Nunito Sans"/>
                <w:color w:val="0137A6"/>
                <w:sz w:val="18"/>
                <w:szCs w:val="18"/>
              </w:rPr>
            </w:pPr>
          </w:p>
        </w:tc>
        <w:tc>
          <w:tcPr>
            <w:tcW w:w="3413" w:type="dxa"/>
            <w:tcBorders>
              <w:top w:val="single" w:sz="6" w:space="0" w:color="4471C4"/>
              <w:bottom w:val="single" w:sz="6" w:space="0" w:color="4471C4"/>
            </w:tcBorders>
          </w:tcPr>
          <w:p w14:paraId="61C89686" w14:textId="77777777" w:rsidR="008853D7" w:rsidRPr="006F03C9" w:rsidRDefault="008853D7" w:rsidP="00EE1DFE">
            <w:pPr>
              <w:pStyle w:val="TableParagraph"/>
              <w:spacing w:before="60"/>
              <w:ind w:left="1302"/>
              <w:jc w:val="left"/>
              <w:rPr>
                <w:rFonts w:ascii="Nunito Sans" w:hAnsi="Nunito Sans"/>
                <w:color w:val="0137A6"/>
                <w:w w:val="105"/>
                <w:sz w:val="18"/>
                <w:szCs w:val="18"/>
              </w:rPr>
            </w:pPr>
          </w:p>
        </w:tc>
        <w:tc>
          <w:tcPr>
            <w:tcW w:w="1644" w:type="dxa"/>
            <w:tcBorders>
              <w:top w:val="single" w:sz="6" w:space="0" w:color="4471C4"/>
              <w:bottom w:val="single" w:sz="6" w:space="0" w:color="4471C4"/>
            </w:tcBorders>
          </w:tcPr>
          <w:p w14:paraId="67437642" w14:textId="77777777" w:rsidR="008853D7" w:rsidRPr="006F03C9" w:rsidRDefault="008853D7" w:rsidP="00EE1DFE">
            <w:pPr>
              <w:pStyle w:val="TableParagraph"/>
              <w:spacing w:before="60"/>
              <w:ind w:left="324"/>
              <w:jc w:val="left"/>
              <w:rPr>
                <w:rFonts w:ascii="Nunito Sans" w:hAnsi="Nunito Sans"/>
                <w:color w:val="0137A6"/>
                <w:w w:val="105"/>
                <w:sz w:val="18"/>
                <w:szCs w:val="18"/>
              </w:rPr>
            </w:pPr>
          </w:p>
        </w:tc>
      </w:tr>
    </w:tbl>
    <w:p w14:paraId="2F7839D7" w14:textId="77777777" w:rsidR="006038E5" w:rsidRPr="006F03C9" w:rsidRDefault="006038E5" w:rsidP="006038E5">
      <w:pPr>
        <w:ind w:right="0"/>
      </w:pPr>
    </w:p>
    <w:p w14:paraId="4D9D4122" w14:textId="77777777" w:rsidR="00D37CA5" w:rsidRPr="006F03C9" w:rsidRDefault="00D37CA5" w:rsidP="006038E5">
      <w:pPr>
        <w:pStyle w:val="SpecialHeading2"/>
        <w:ind w:right="0"/>
        <w:jc w:val="right"/>
        <w:rPr>
          <w:rFonts w:ascii="Nunito Sans" w:hAnsi="Nunito Sans"/>
          <w:b/>
          <w:bCs/>
        </w:rPr>
      </w:pPr>
    </w:p>
    <w:p w14:paraId="25E57ADA" w14:textId="77777777" w:rsidR="00D37CA5" w:rsidRPr="006F03C9" w:rsidRDefault="00D37CA5" w:rsidP="006038E5">
      <w:pPr>
        <w:pStyle w:val="SpecialHeading2"/>
        <w:ind w:right="0"/>
        <w:jc w:val="right"/>
        <w:rPr>
          <w:rFonts w:ascii="Nunito Sans" w:hAnsi="Nunito Sans"/>
          <w:b/>
          <w:bCs/>
        </w:rPr>
      </w:pPr>
    </w:p>
    <w:p w14:paraId="692AC446" w14:textId="77777777" w:rsidR="00D37CA5" w:rsidRPr="006F03C9" w:rsidRDefault="00D37CA5" w:rsidP="006038E5">
      <w:pPr>
        <w:pStyle w:val="SpecialHeading2"/>
        <w:ind w:right="0"/>
        <w:jc w:val="right"/>
        <w:rPr>
          <w:rFonts w:ascii="Nunito Sans" w:hAnsi="Nunito Sans"/>
          <w:b/>
          <w:bCs/>
        </w:rPr>
      </w:pPr>
    </w:p>
    <w:p w14:paraId="4F2A750B" w14:textId="77777777" w:rsidR="00D37CA5" w:rsidRPr="006F03C9" w:rsidRDefault="00D37CA5" w:rsidP="006038E5">
      <w:pPr>
        <w:pStyle w:val="SpecialHeading2"/>
        <w:ind w:right="0"/>
        <w:jc w:val="right"/>
        <w:rPr>
          <w:rFonts w:ascii="Nunito Sans" w:hAnsi="Nunito Sans"/>
          <w:b/>
          <w:bCs/>
        </w:rPr>
      </w:pPr>
    </w:p>
    <w:p w14:paraId="614FAB6E" w14:textId="77777777" w:rsidR="00D37CA5" w:rsidRPr="006F03C9" w:rsidRDefault="00D37CA5" w:rsidP="006038E5">
      <w:pPr>
        <w:pStyle w:val="SpecialHeading2"/>
        <w:ind w:right="0"/>
        <w:jc w:val="right"/>
        <w:rPr>
          <w:rFonts w:ascii="Nunito Sans" w:hAnsi="Nunito Sans"/>
          <w:b/>
          <w:bCs/>
        </w:rPr>
      </w:pPr>
    </w:p>
    <w:p w14:paraId="20F80336" w14:textId="77777777" w:rsidR="00D37CA5" w:rsidRPr="006F03C9" w:rsidRDefault="00D37CA5" w:rsidP="006038E5">
      <w:pPr>
        <w:pStyle w:val="SpecialHeading2"/>
        <w:ind w:right="0"/>
        <w:jc w:val="right"/>
        <w:rPr>
          <w:rFonts w:ascii="Nunito Sans" w:hAnsi="Nunito Sans"/>
          <w:b/>
          <w:bCs/>
        </w:rPr>
      </w:pPr>
    </w:p>
    <w:p w14:paraId="583367BA" w14:textId="77777777" w:rsidR="00D37CA5" w:rsidRPr="006F03C9" w:rsidRDefault="00D37CA5" w:rsidP="008853D7">
      <w:pPr>
        <w:pStyle w:val="SpecialHeading2"/>
        <w:ind w:right="0"/>
        <w:rPr>
          <w:rFonts w:ascii="Nunito Sans" w:hAnsi="Nunito Sans"/>
          <w:b/>
          <w:bCs/>
        </w:rPr>
      </w:pPr>
    </w:p>
    <w:p w14:paraId="130947B2" w14:textId="77777777" w:rsidR="00D37CA5" w:rsidRPr="006F03C9" w:rsidRDefault="00D37CA5" w:rsidP="006038E5">
      <w:pPr>
        <w:pStyle w:val="SpecialHeading2"/>
        <w:ind w:right="0"/>
        <w:jc w:val="right"/>
        <w:rPr>
          <w:rFonts w:ascii="Nunito Sans" w:hAnsi="Nunito Sans"/>
          <w:b/>
          <w:bCs/>
        </w:rPr>
      </w:pPr>
    </w:p>
    <w:p w14:paraId="16FD429D" w14:textId="77777777" w:rsidR="00D37CA5" w:rsidRPr="006F03C9" w:rsidRDefault="00D37CA5" w:rsidP="006038E5">
      <w:pPr>
        <w:pStyle w:val="SpecialHeading2"/>
        <w:ind w:right="0"/>
        <w:jc w:val="right"/>
        <w:rPr>
          <w:rFonts w:ascii="Nunito Sans" w:hAnsi="Nunito Sans"/>
          <w:b/>
          <w:bCs/>
        </w:rPr>
      </w:pPr>
    </w:p>
    <w:p w14:paraId="5EAC2E7C" w14:textId="77777777" w:rsidR="00B92291" w:rsidRPr="006F03C9" w:rsidRDefault="00B92291" w:rsidP="00B92291">
      <w:pPr>
        <w:pStyle w:val="SpecialHeading2"/>
        <w:ind w:right="0"/>
        <w:jc w:val="right"/>
        <w:rPr>
          <w:rFonts w:ascii="Nunito Sans" w:hAnsi="Nunito Sans"/>
          <w:b/>
          <w:bCs/>
          <w:color w:val="0137A6"/>
        </w:rPr>
      </w:pPr>
      <w:r w:rsidRPr="006F03C9">
        <w:rPr>
          <w:rFonts w:ascii="Nunito Sans" w:hAnsi="Nunito Sans"/>
          <w:b/>
          <w:bCs/>
          <w:color w:val="0137A6"/>
        </w:rPr>
        <w:t>Prepared for:</w:t>
      </w:r>
    </w:p>
    <w:p w14:paraId="0E802B8F" w14:textId="77777777" w:rsidR="00B92291" w:rsidRPr="006F03C9" w:rsidRDefault="00B92291" w:rsidP="00B92291">
      <w:pPr>
        <w:pStyle w:val="SpecialHeading2"/>
        <w:ind w:right="0"/>
        <w:jc w:val="right"/>
        <w:rPr>
          <w:rFonts w:ascii="Nunito Sans" w:hAnsi="Nunito Sans"/>
          <w:b/>
          <w:bCs/>
        </w:rPr>
      </w:pPr>
    </w:p>
    <w:p w14:paraId="6613BEA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14:paraId="1E84EA6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26th Floor, Prism Towers</w:t>
      </w:r>
    </w:p>
    <w:p w14:paraId="6C202E14"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3rd Ngong Avenue, Upperhill</w:t>
      </w:r>
    </w:p>
    <w:p w14:paraId="2994A0DD"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14:paraId="45EC11D5" w14:textId="77777777" w:rsidR="00B92291" w:rsidRPr="00232B2A" w:rsidRDefault="00B92291" w:rsidP="00B92291">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14:paraId="1CFC9151" w14:textId="77777777" w:rsidR="00D37CA5" w:rsidRPr="006F03C9" w:rsidRDefault="00D37CA5" w:rsidP="006038E5">
      <w:pPr>
        <w:pStyle w:val="SpecialHeading2"/>
        <w:ind w:right="0"/>
        <w:jc w:val="right"/>
        <w:rPr>
          <w:rFonts w:ascii="Nunito Sans" w:hAnsi="Nunito Sans"/>
          <w:b/>
          <w:bCs/>
        </w:rPr>
      </w:pPr>
    </w:p>
    <w:p w14:paraId="0B99037D" w14:textId="77777777" w:rsidR="00D37CA5" w:rsidRPr="006F03C9" w:rsidRDefault="00D37CA5" w:rsidP="006038E5">
      <w:pPr>
        <w:pStyle w:val="SpecialHeading2"/>
        <w:ind w:right="0"/>
        <w:jc w:val="right"/>
        <w:rPr>
          <w:rFonts w:ascii="Nunito Sans" w:hAnsi="Nunito Sans"/>
          <w:b/>
          <w:bCs/>
        </w:rPr>
      </w:pPr>
    </w:p>
    <w:p w14:paraId="71A3CBFA" w14:textId="77777777" w:rsidR="00D37CA5" w:rsidRPr="006F03C9" w:rsidRDefault="00D37CA5" w:rsidP="006038E5">
      <w:pPr>
        <w:pStyle w:val="SpecialHeading2"/>
        <w:ind w:right="0"/>
        <w:jc w:val="right"/>
        <w:rPr>
          <w:rFonts w:ascii="Nunito Sans" w:hAnsi="Nunito Sans"/>
          <w:b/>
          <w:bCs/>
        </w:rPr>
      </w:pPr>
    </w:p>
    <w:p w14:paraId="123EFBB1" w14:textId="77777777" w:rsidR="00D37CA5" w:rsidRPr="006F03C9" w:rsidRDefault="00D37CA5" w:rsidP="006038E5">
      <w:pPr>
        <w:pStyle w:val="SpecialHeading2"/>
        <w:ind w:right="0"/>
        <w:jc w:val="right"/>
        <w:rPr>
          <w:rFonts w:ascii="Nunito Sans" w:hAnsi="Nunito Sans"/>
          <w:b/>
          <w:bCs/>
        </w:rPr>
      </w:pPr>
    </w:p>
    <w:p w14:paraId="65B8E866" w14:textId="77777777" w:rsidR="00D37CA5" w:rsidRPr="006F03C9" w:rsidRDefault="00D37CA5" w:rsidP="006038E5">
      <w:pPr>
        <w:pStyle w:val="SpecialHeading2"/>
        <w:ind w:right="0"/>
        <w:jc w:val="right"/>
        <w:rPr>
          <w:rFonts w:ascii="Nunito Sans" w:hAnsi="Nunito Sans"/>
          <w:b/>
          <w:bCs/>
        </w:rPr>
      </w:pPr>
    </w:p>
    <w:p w14:paraId="1D7BE740" w14:textId="77777777" w:rsidR="00D37CA5" w:rsidRPr="006F03C9" w:rsidRDefault="00D37CA5" w:rsidP="006038E5">
      <w:pPr>
        <w:pStyle w:val="SpecialHeading2"/>
        <w:ind w:right="0"/>
        <w:jc w:val="right"/>
        <w:rPr>
          <w:rFonts w:ascii="Nunito Sans" w:hAnsi="Nunito Sans"/>
          <w:b/>
          <w:bCs/>
        </w:rPr>
      </w:pPr>
    </w:p>
    <w:p w14:paraId="46035024" w14:textId="77777777" w:rsidR="006038E5" w:rsidRPr="006F03C9" w:rsidRDefault="006038E5" w:rsidP="006038E5">
      <w:pPr>
        <w:ind w:right="0"/>
      </w:pPr>
    </w:p>
    <w:p w14:paraId="082640D6" w14:textId="77777777" w:rsidR="006038E5" w:rsidRPr="006F03C9" w:rsidRDefault="006038E5" w:rsidP="006038E5">
      <w:pPr>
        <w:ind w:right="0"/>
      </w:pPr>
    </w:p>
    <w:p w14:paraId="5DFFE413" w14:textId="77777777" w:rsidR="006038E5" w:rsidRPr="006F03C9" w:rsidRDefault="006038E5" w:rsidP="006038E5">
      <w:pPr>
        <w:jc w:val="both"/>
        <w:rPr>
          <w:rFonts w:eastAsia="Calibri" w:cs="Times New Roman"/>
          <w:b/>
          <w:szCs w:val="18"/>
        </w:rPr>
      </w:pPr>
    </w:p>
    <w:p w14:paraId="0C5FE959" w14:textId="77777777" w:rsidR="006038E5" w:rsidRPr="006F03C9" w:rsidRDefault="006038E5" w:rsidP="006038E5">
      <w:pPr>
        <w:jc w:val="both"/>
        <w:rPr>
          <w:rFonts w:eastAsia="Calibri" w:cs="Times New Roman"/>
          <w:b/>
          <w:szCs w:val="18"/>
        </w:rPr>
      </w:pPr>
    </w:p>
    <w:p w14:paraId="5687C390" w14:textId="77777777" w:rsidR="006038E5" w:rsidRPr="006F03C9" w:rsidRDefault="006038E5" w:rsidP="006038E5">
      <w:pPr>
        <w:jc w:val="both"/>
        <w:rPr>
          <w:rFonts w:eastAsia="Calibri" w:cs="Times New Roman"/>
          <w:b/>
          <w:szCs w:val="18"/>
        </w:rPr>
      </w:pPr>
    </w:p>
    <w:p w14:paraId="3166490D" w14:textId="77777777" w:rsidR="006038E5" w:rsidRPr="006F03C9" w:rsidRDefault="006038E5" w:rsidP="006038E5">
      <w:pPr>
        <w:jc w:val="both"/>
        <w:rPr>
          <w:rFonts w:eastAsia="Calibri" w:cs="Times New Roman"/>
          <w:b/>
          <w:szCs w:val="18"/>
        </w:rPr>
      </w:pPr>
    </w:p>
    <w:p w14:paraId="3C0D341E" w14:textId="77777777" w:rsidR="006038E5" w:rsidRPr="006F03C9" w:rsidRDefault="006038E5" w:rsidP="006038E5">
      <w:pPr>
        <w:jc w:val="both"/>
        <w:rPr>
          <w:rFonts w:eastAsia="Calibri" w:cs="Times New Roman"/>
          <w:b/>
          <w:szCs w:val="18"/>
        </w:rPr>
      </w:pPr>
    </w:p>
    <w:p w14:paraId="31D857E8" w14:textId="77777777" w:rsidR="006038E5" w:rsidRPr="006F03C9" w:rsidRDefault="006038E5" w:rsidP="006038E5">
      <w:pPr>
        <w:jc w:val="both"/>
        <w:rPr>
          <w:rFonts w:eastAsia="Calibri" w:cs="Times New Roman"/>
          <w:b/>
          <w:szCs w:val="18"/>
        </w:rPr>
      </w:pPr>
    </w:p>
    <w:p w14:paraId="53B133B9" w14:textId="77777777" w:rsidR="006038E5" w:rsidRPr="006F03C9" w:rsidRDefault="006038E5" w:rsidP="006038E5">
      <w:pPr>
        <w:jc w:val="both"/>
        <w:rPr>
          <w:rFonts w:eastAsia="Calibri" w:cs="Times New Roman"/>
          <w:b/>
          <w:color w:val="0137A6"/>
          <w:szCs w:val="18"/>
        </w:rPr>
      </w:pPr>
      <w:r w:rsidRPr="006F03C9">
        <w:rPr>
          <w:rFonts w:eastAsia="Calibri" w:cs="Times New Roman"/>
          <w:b/>
          <w:color w:val="0137A6"/>
          <w:szCs w:val="18"/>
        </w:rPr>
        <w:t>OUR REF</w:t>
      </w:r>
    </w:p>
    <w:p w14:paraId="18798117" w14:textId="4E98CA2D" w:rsidR="006038E5" w:rsidRPr="006F03C9" w:rsidRDefault="00C442C8" w:rsidP="006038E5">
      <w:pPr>
        <w:jc w:val="both"/>
        <w:rPr>
          <w:rFonts w:ascii="Nunito Sans Light" w:eastAsia="Calibri" w:hAnsi="Nunito Sans Light" w:cs="Times New Roman"/>
          <w:color w:val="7F7F7F"/>
          <w:sz w:val="14"/>
          <w:szCs w:val="14"/>
        </w:rPr>
      </w:pPr>
      <w:r w:rsidRPr="00057B30">
        <w:rPr>
          <w:rFonts w:ascii="Nunito Sans Light" w:eastAsia="Calibri" w:hAnsi="Nunito Sans Light" w:cs="Times New Roman"/>
          <w:sz w:val="14"/>
          <w:szCs w:val="14"/>
        </w:rPr>
        <w:t>\</w:t>
      </w:r>
      <w:r w:rsidRPr="00057B30">
        <w:rPr>
          <w:rFonts w:ascii="Nunito Sans Light" w:hAnsi="Nunito Sans Light"/>
          <w:sz w:val="14"/>
          <w:szCs w:val="14"/>
        </w:rPr>
        <w:t>\</w:t>
      </w:r>
      <w:r w:rsidRPr="00057B30">
        <w:rPr>
          <w:rFonts w:ascii="Nunito Sans Light" w:eastAsia="Calibri" w:hAnsi="Nunito Sans Light" w:cs="Times New Roman"/>
          <w:color w:val="7F7F7F"/>
          <w:sz w:val="14"/>
          <w:szCs w:val="14"/>
        </w:rPr>
        <w:t>Kenbright\Internal Tech</w:t>
      </w:r>
      <w:r w:rsidR="00B21247" w:rsidRPr="00057B30">
        <w:rPr>
          <w:rFonts w:ascii="Nunito Sans Light" w:eastAsia="Calibri" w:hAnsi="Nunito Sans Light" w:cs="Times New Roman"/>
          <w:color w:val="7F7F7F"/>
          <w:sz w:val="14"/>
          <w:szCs w:val="14"/>
        </w:rPr>
        <w:t>nical Procedures</w:t>
      </w:r>
      <w:r w:rsidR="00D37CA5" w:rsidRPr="00057B30">
        <w:rPr>
          <w:rFonts w:ascii="Nunito Sans Light" w:eastAsia="Calibri" w:hAnsi="Nunito Sans Light" w:cs="Times New Roman"/>
          <w:color w:val="7F7F7F"/>
          <w:sz w:val="14"/>
          <w:szCs w:val="14"/>
        </w:rPr>
        <w:t>\</w:t>
      </w:r>
      <w:r w:rsidR="005623D2">
        <w:rPr>
          <w:rFonts w:ascii="Nunito Sans Light" w:eastAsia="Calibri" w:hAnsi="Nunito Sans Light" w:cs="Times New Roman"/>
          <w:color w:val="7F7F7F"/>
          <w:sz w:val="14"/>
          <w:szCs w:val="14"/>
        </w:rPr>
        <w:t>General</w:t>
      </w:r>
      <w:r w:rsidR="00B21247" w:rsidRPr="00057B30">
        <w:rPr>
          <w:rFonts w:ascii="Nunito Sans Light" w:eastAsia="Calibri" w:hAnsi="Nunito Sans Light" w:cs="Times New Roman"/>
          <w:color w:val="7F7F7F"/>
          <w:sz w:val="14"/>
          <w:szCs w:val="14"/>
        </w:rPr>
        <w:t xml:space="preserve"> Insurance</w:t>
      </w:r>
      <w:r w:rsidR="00B21247" w:rsidRPr="006F03C9">
        <w:rPr>
          <w:rFonts w:ascii="Nunito Sans Light" w:eastAsia="Calibri" w:hAnsi="Nunito Sans Light" w:cs="Times New Roman"/>
          <w:color w:val="7F7F7F"/>
          <w:sz w:val="14"/>
          <w:szCs w:val="14"/>
        </w:rPr>
        <w:t xml:space="preserve"> Valuation Manual</w:t>
      </w:r>
    </w:p>
    <w:p w14:paraId="6B8D966C" w14:textId="77777777" w:rsidR="00D37CA5" w:rsidRPr="002C3E9E" w:rsidRDefault="00D37CA5" w:rsidP="006038E5">
      <w:pPr>
        <w:jc w:val="both"/>
        <w:rPr>
          <w:rFonts w:ascii="Mulish Light" w:eastAsia="Calibri" w:hAnsi="Mulish Light" w:cs="Times New Roman"/>
          <w:color w:val="7F7F7F"/>
          <w:sz w:val="14"/>
          <w:szCs w:val="14"/>
        </w:rPr>
      </w:pPr>
    </w:p>
    <w:p w14:paraId="085A029C" w14:textId="77777777" w:rsidR="006038E5" w:rsidRPr="006F03C9" w:rsidRDefault="006038E5" w:rsidP="006038E5">
      <w:pPr>
        <w:rPr>
          <w:rFonts w:cs="Arial"/>
          <w:b/>
          <w:color w:val="0137A6"/>
          <w:szCs w:val="18"/>
        </w:rPr>
      </w:pPr>
      <w:r w:rsidRPr="006F03C9">
        <w:rPr>
          <w:rFonts w:cs="Arial"/>
          <w:b/>
          <w:color w:val="0137A6"/>
          <w:szCs w:val="18"/>
        </w:rPr>
        <w:t>DOCUMENT PURPOSE</w:t>
      </w:r>
    </w:p>
    <w:p w14:paraId="1778F894" w14:textId="7D8EC07F" w:rsidR="00D37CA5" w:rsidRPr="006F03C9" w:rsidRDefault="004E7E1C" w:rsidP="00D37CA5">
      <w:pPr>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This document has been produced as part of the internal technical procedures for KAFS and provides guidance on valuation processes for life insurance business</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6F03C9" w:rsidRDefault="006038E5" w:rsidP="006038E5">
      <w:pPr>
        <w:rPr>
          <w:rFonts w:cs="Arial"/>
          <w:b/>
          <w:color w:val="0137A6"/>
          <w:szCs w:val="18"/>
        </w:rPr>
      </w:pPr>
      <w:r w:rsidRPr="006F03C9">
        <w:rPr>
          <w:rFonts w:cs="Arial"/>
          <w:b/>
          <w:color w:val="0137A6"/>
          <w:szCs w:val="18"/>
        </w:rPr>
        <w:t>DOCUMENT OWNERSHIP</w:t>
      </w:r>
    </w:p>
    <w:p w14:paraId="5231D9DF" w14:textId="22A7F910" w:rsidR="006038E5" w:rsidRPr="006F03C9" w:rsidRDefault="00D37CA5" w:rsidP="006038E5">
      <w:pPr>
        <w:spacing w:after="200" w:line="276" w:lineRule="auto"/>
        <w:contextualSpacing/>
        <w:jc w:val="both"/>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The owner of this document is Kenbright </w:t>
      </w:r>
      <w:r w:rsidR="00C41DC2" w:rsidRPr="006F03C9">
        <w:rPr>
          <w:rFonts w:ascii="Nunito Sans Light" w:eastAsia="Calibri" w:hAnsi="Nunito Sans Light" w:cs="Times New Roman"/>
          <w:color w:val="7F7F7F"/>
          <w:sz w:val="14"/>
          <w:szCs w:val="14"/>
        </w:rPr>
        <w:t>Actuarial and Financial Services Limited</w:t>
      </w:r>
      <w:r w:rsidR="006038E5" w:rsidRPr="006F03C9">
        <w:rPr>
          <w:rFonts w:ascii="Nunito Sans Light" w:eastAsia="Calibri" w:hAnsi="Nunito Sans Light" w:cs="Times New Roman"/>
          <w:color w:val="7F7F7F"/>
          <w:sz w:val="14"/>
          <w:szCs w:val="14"/>
        </w:rPr>
        <w:br w:type="page"/>
      </w:r>
    </w:p>
    <w:p w14:paraId="5D801EA5" w14:textId="77777777" w:rsidR="006038E5" w:rsidRPr="006F03C9" w:rsidRDefault="006038E5" w:rsidP="006038E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14:paraId="7D4144C5" w14:textId="5AB1D3DF" w:rsidR="00257073" w:rsidRDefault="005163F4">
      <w:pPr>
        <w:pStyle w:val="TOC1"/>
        <w:rPr>
          <w:rFonts w:asciiTheme="minorHAnsi" w:eastAsiaTheme="minorEastAsia" w:hAnsiTheme="minorHAnsi"/>
          <w:kern w:val="2"/>
          <w:sz w:val="24"/>
          <w:szCs w:val="24"/>
          <w14:ligatures w14:val="standardContextual"/>
        </w:rPr>
      </w:pPr>
      <w:r w:rsidRPr="00C26087">
        <w:fldChar w:fldCharType="begin"/>
      </w:r>
      <w:r w:rsidRPr="00C26087">
        <w:instrText xml:space="preserve"> TOC \o "1-3" \h \z \u </w:instrText>
      </w:r>
      <w:r w:rsidRPr="00C26087">
        <w:fldChar w:fldCharType="separate"/>
      </w:r>
      <w:hyperlink w:anchor="_Toc210138966" w:history="1">
        <w:r w:rsidR="00257073" w:rsidRPr="00DE22C7">
          <w:rPr>
            <w:rStyle w:val="Hyperlink"/>
            <w:noProof/>
          </w:rPr>
          <w:t>1</w:t>
        </w:r>
        <w:r w:rsidR="00257073">
          <w:rPr>
            <w:rFonts w:asciiTheme="minorHAnsi" w:eastAsiaTheme="minorEastAsia" w:hAnsiTheme="minorHAnsi"/>
            <w:kern w:val="2"/>
            <w:sz w:val="24"/>
            <w:szCs w:val="24"/>
            <w14:ligatures w14:val="standardContextual"/>
          </w:rPr>
          <w:tab/>
        </w:r>
        <w:r w:rsidR="00257073" w:rsidRPr="00DE22C7">
          <w:rPr>
            <w:rStyle w:val="Hyperlink"/>
            <w:rFonts w:ascii="Nunito Sans Black" w:hAnsi="Nunito Sans Black"/>
            <w:noProof/>
          </w:rPr>
          <w:t>INTRODUCTION</w:t>
        </w:r>
        <w:r w:rsidR="00257073">
          <w:rPr>
            <w:noProof/>
            <w:webHidden/>
          </w:rPr>
          <w:tab/>
        </w:r>
        <w:r w:rsidR="00257073">
          <w:rPr>
            <w:noProof/>
            <w:webHidden/>
          </w:rPr>
          <w:fldChar w:fldCharType="begin"/>
        </w:r>
        <w:r w:rsidR="00257073">
          <w:rPr>
            <w:noProof/>
            <w:webHidden/>
          </w:rPr>
          <w:instrText xml:space="preserve"> PAGEREF _Toc210138966 \h </w:instrText>
        </w:r>
        <w:r w:rsidR="00257073">
          <w:rPr>
            <w:noProof/>
            <w:webHidden/>
          </w:rPr>
        </w:r>
        <w:r w:rsidR="00257073">
          <w:rPr>
            <w:noProof/>
            <w:webHidden/>
          </w:rPr>
          <w:fldChar w:fldCharType="separate"/>
        </w:r>
        <w:r w:rsidR="00257073">
          <w:rPr>
            <w:noProof/>
            <w:webHidden/>
          </w:rPr>
          <w:t>5</w:t>
        </w:r>
        <w:r w:rsidR="00257073">
          <w:rPr>
            <w:noProof/>
            <w:webHidden/>
          </w:rPr>
          <w:fldChar w:fldCharType="end"/>
        </w:r>
      </w:hyperlink>
    </w:p>
    <w:p w14:paraId="4BF828FC" w14:textId="469EE32A" w:rsidR="00257073" w:rsidRDefault="00257073">
      <w:pPr>
        <w:pStyle w:val="TOC2"/>
        <w:rPr>
          <w:rFonts w:asciiTheme="minorHAnsi" w:eastAsiaTheme="minorEastAsia" w:hAnsiTheme="minorHAnsi"/>
          <w:kern w:val="2"/>
          <w:sz w:val="24"/>
          <w:szCs w:val="24"/>
          <w14:ligatures w14:val="standardContextual"/>
        </w:rPr>
      </w:pPr>
      <w:hyperlink w:anchor="_Toc210138967" w:history="1">
        <w:r w:rsidRPr="00DE22C7">
          <w:rPr>
            <w:rStyle w:val="Hyperlink"/>
            <w:noProof/>
          </w:rPr>
          <w:t>Background on Valuation of Technical Liabilities</w:t>
        </w:r>
        <w:r>
          <w:rPr>
            <w:noProof/>
            <w:webHidden/>
          </w:rPr>
          <w:tab/>
        </w:r>
        <w:r>
          <w:rPr>
            <w:noProof/>
            <w:webHidden/>
          </w:rPr>
          <w:fldChar w:fldCharType="begin"/>
        </w:r>
        <w:r>
          <w:rPr>
            <w:noProof/>
            <w:webHidden/>
          </w:rPr>
          <w:instrText xml:space="preserve"> PAGEREF _Toc210138967 \h </w:instrText>
        </w:r>
        <w:r>
          <w:rPr>
            <w:noProof/>
            <w:webHidden/>
          </w:rPr>
        </w:r>
        <w:r>
          <w:rPr>
            <w:noProof/>
            <w:webHidden/>
          </w:rPr>
          <w:fldChar w:fldCharType="separate"/>
        </w:r>
        <w:r>
          <w:rPr>
            <w:noProof/>
            <w:webHidden/>
          </w:rPr>
          <w:t>5</w:t>
        </w:r>
        <w:r>
          <w:rPr>
            <w:noProof/>
            <w:webHidden/>
          </w:rPr>
          <w:fldChar w:fldCharType="end"/>
        </w:r>
      </w:hyperlink>
    </w:p>
    <w:p w14:paraId="0A492949" w14:textId="6891DD74" w:rsidR="00257073" w:rsidRDefault="00257073">
      <w:pPr>
        <w:pStyle w:val="TOC2"/>
        <w:rPr>
          <w:rFonts w:asciiTheme="minorHAnsi" w:eastAsiaTheme="minorEastAsia" w:hAnsiTheme="minorHAnsi"/>
          <w:kern w:val="2"/>
          <w:sz w:val="24"/>
          <w:szCs w:val="24"/>
          <w14:ligatures w14:val="standardContextual"/>
        </w:rPr>
      </w:pPr>
      <w:hyperlink w:anchor="_Toc210138968" w:history="1">
        <w:r w:rsidRPr="00DE22C7">
          <w:rPr>
            <w:rStyle w:val="Hyperlink"/>
            <w:noProof/>
          </w:rPr>
          <w:t>Purpose</w:t>
        </w:r>
        <w:r>
          <w:rPr>
            <w:noProof/>
            <w:webHidden/>
          </w:rPr>
          <w:tab/>
        </w:r>
        <w:r>
          <w:rPr>
            <w:noProof/>
            <w:webHidden/>
          </w:rPr>
          <w:fldChar w:fldCharType="begin"/>
        </w:r>
        <w:r>
          <w:rPr>
            <w:noProof/>
            <w:webHidden/>
          </w:rPr>
          <w:instrText xml:space="preserve"> PAGEREF _Toc210138968 \h </w:instrText>
        </w:r>
        <w:r>
          <w:rPr>
            <w:noProof/>
            <w:webHidden/>
          </w:rPr>
        </w:r>
        <w:r>
          <w:rPr>
            <w:noProof/>
            <w:webHidden/>
          </w:rPr>
          <w:fldChar w:fldCharType="separate"/>
        </w:r>
        <w:r>
          <w:rPr>
            <w:noProof/>
            <w:webHidden/>
          </w:rPr>
          <w:t>5</w:t>
        </w:r>
        <w:r>
          <w:rPr>
            <w:noProof/>
            <w:webHidden/>
          </w:rPr>
          <w:fldChar w:fldCharType="end"/>
        </w:r>
      </w:hyperlink>
    </w:p>
    <w:p w14:paraId="33C191EA" w14:textId="2553A129" w:rsidR="00257073" w:rsidRDefault="00257073">
      <w:pPr>
        <w:pStyle w:val="TOC1"/>
        <w:rPr>
          <w:rFonts w:asciiTheme="minorHAnsi" w:eastAsiaTheme="minorEastAsia" w:hAnsiTheme="minorHAnsi"/>
          <w:kern w:val="2"/>
          <w:sz w:val="24"/>
          <w:szCs w:val="24"/>
          <w14:ligatures w14:val="standardContextual"/>
        </w:rPr>
      </w:pPr>
      <w:hyperlink w:anchor="_Toc210138969" w:history="1">
        <w:r w:rsidRPr="00DE22C7">
          <w:rPr>
            <w:rStyle w:val="Hyperlink"/>
            <w:noProof/>
          </w:rPr>
          <w:t>2</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PROFESSIONAL JUDGEMENT IN ACTUARIAL WORK</w:t>
        </w:r>
        <w:r>
          <w:rPr>
            <w:noProof/>
            <w:webHidden/>
          </w:rPr>
          <w:tab/>
        </w:r>
        <w:r>
          <w:rPr>
            <w:noProof/>
            <w:webHidden/>
          </w:rPr>
          <w:fldChar w:fldCharType="begin"/>
        </w:r>
        <w:r>
          <w:rPr>
            <w:noProof/>
            <w:webHidden/>
          </w:rPr>
          <w:instrText xml:space="preserve"> PAGEREF _Toc210138969 \h </w:instrText>
        </w:r>
        <w:r>
          <w:rPr>
            <w:noProof/>
            <w:webHidden/>
          </w:rPr>
        </w:r>
        <w:r>
          <w:rPr>
            <w:noProof/>
            <w:webHidden/>
          </w:rPr>
          <w:fldChar w:fldCharType="separate"/>
        </w:r>
        <w:r>
          <w:rPr>
            <w:noProof/>
            <w:webHidden/>
          </w:rPr>
          <w:t>6</w:t>
        </w:r>
        <w:r>
          <w:rPr>
            <w:noProof/>
            <w:webHidden/>
          </w:rPr>
          <w:fldChar w:fldCharType="end"/>
        </w:r>
      </w:hyperlink>
    </w:p>
    <w:p w14:paraId="240780EC" w14:textId="6AF11381" w:rsidR="00257073" w:rsidRDefault="00257073">
      <w:pPr>
        <w:pStyle w:val="TOC2"/>
        <w:rPr>
          <w:rFonts w:asciiTheme="minorHAnsi" w:eastAsiaTheme="minorEastAsia" w:hAnsiTheme="minorHAnsi"/>
          <w:kern w:val="2"/>
          <w:sz w:val="24"/>
          <w:szCs w:val="24"/>
          <w14:ligatures w14:val="standardContextual"/>
        </w:rPr>
      </w:pPr>
      <w:hyperlink w:anchor="_Toc210138970" w:history="1">
        <w:r w:rsidRPr="00DE22C7">
          <w:rPr>
            <w:rStyle w:val="Hyperlink"/>
            <w:noProof/>
          </w:rPr>
          <w:t>Background on Professional Judgement</w:t>
        </w:r>
        <w:r>
          <w:rPr>
            <w:noProof/>
            <w:webHidden/>
          </w:rPr>
          <w:tab/>
        </w:r>
        <w:r>
          <w:rPr>
            <w:noProof/>
            <w:webHidden/>
          </w:rPr>
          <w:fldChar w:fldCharType="begin"/>
        </w:r>
        <w:r>
          <w:rPr>
            <w:noProof/>
            <w:webHidden/>
          </w:rPr>
          <w:instrText xml:space="preserve"> PAGEREF _Toc210138970 \h </w:instrText>
        </w:r>
        <w:r>
          <w:rPr>
            <w:noProof/>
            <w:webHidden/>
          </w:rPr>
        </w:r>
        <w:r>
          <w:rPr>
            <w:noProof/>
            <w:webHidden/>
          </w:rPr>
          <w:fldChar w:fldCharType="separate"/>
        </w:r>
        <w:r>
          <w:rPr>
            <w:noProof/>
            <w:webHidden/>
          </w:rPr>
          <w:t>6</w:t>
        </w:r>
        <w:r>
          <w:rPr>
            <w:noProof/>
            <w:webHidden/>
          </w:rPr>
          <w:fldChar w:fldCharType="end"/>
        </w:r>
      </w:hyperlink>
    </w:p>
    <w:p w14:paraId="4EE99914" w14:textId="61BB29EC" w:rsidR="00257073" w:rsidRDefault="00257073">
      <w:pPr>
        <w:pStyle w:val="TOC1"/>
        <w:rPr>
          <w:rFonts w:asciiTheme="minorHAnsi" w:eastAsiaTheme="minorEastAsia" w:hAnsiTheme="minorHAnsi"/>
          <w:kern w:val="2"/>
          <w:sz w:val="24"/>
          <w:szCs w:val="24"/>
          <w14:ligatures w14:val="standardContextual"/>
        </w:rPr>
      </w:pPr>
      <w:hyperlink w:anchor="_Toc210138971" w:history="1">
        <w:r w:rsidRPr="00DE22C7">
          <w:rPr>
            <w:rStyle w:val="Hyperlink"/>
            <w:noProof/>
          </w:rPr>
          <w:t>3</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APPROACH</w:t>
        </w:r>
        <w:r>
          <w:rPr>
            <w:noProof/>
            <w:webHidden/>
          </w:rPr>
          <w:tab/>
        </w:r>
        <w:r>
          <w:rPr>
            <w:noProof/>
            <w:webHidden/>
          </w:rPr>
          <w:fldChar w:fldCharType="begin"/>
        </w:r>
        <w:r>
          <w:rPr>
            <w:noProof/>
            <w:webHidden/>
          </w:rPr>
          <w:instrText xml:space="preserve"> PAGEREF _Toc210138971 \h </w:instrText>
        </w:r>
        <w:r>
          <w:rPr>
            <w:noProof/>
            <w:webHidden/>
          </w:rPr>
        </w:r>
        <w:r>
          <w:rPr>
            <w:noProof/>
            <w:webHidden/>
          </w:rPr>
          <w:fldChar w:fldCharType="separate"/>
        </w:r>
        <w:r>
          <w:rPr>
            <w:noProof/>
            <w:webHidden/>
          </w:rPr>
          <w:t>7</w:t>
        </w:r>
        <w:r>
          <w:rPr>
            <w:noProof/>
            <w:webHidden/>
          </w:rPr>
          <w:fldChar w:fldCharType="end"/>
        </w:r>
      </w:hyperlink>
    </w:p>
    <w:p w14:paraId="72A268B5" w14:textId="250319D3" w:rsidR="00257073" w:rsidRDefault="00257073">
      <w:pPr>
        <w:pStyle w:val="TOC2"/>
        <w:rPr>
          <w:rFonts w:asciiTheme="minorHAnsi" w:eastAsiaTheme="minorEastAsia" w:hAnsiTheme="minorHAnsi"/>
          <w:kern w:val="2"/>
          <w:sz w:val="24"/>
          <w:szCs w:val="24"/>
          <w14:ligatures w14:val="standardContextual"/>
        </w:rPr>
      </w:pPr>
      <w:hyperlink w:anchor="_Toc210138972" w:history="1">
        <w:r w:rsidRPr="00DE22C7">
          <w:rPr>
            <w:rStyle w:val="Hyperlink"/>
            <w:noProof/>
          </w:rPr>
          <w:t>Assumptions</w:t>
        </w:r>
        <w:r>
          <w:rPr>
            <w:noProof/>
            <w:webHidden/>
          </w:rPr>
          <w:tab/>
        </w:r>
        <w:r>
          <w:rPr>
            <w:noProof/>
            <w:webHidden/>
          </w:rPr>
          <w:fldChar w:fldCharType="begin"/>
        </w:r>
        <w:r>
          <w:rPr>
            <w:noProof/>
            <w:webHidden/>
          </w:rPr>
          <w:instrText xml:space="preserve"> PAGEREF _Toc210138972 \h </w:instrText>
        </w:r>
        <w:r>
          <w:rPr>
            <w:noProof/>
            <w:webHidden/>
          </w:rPr>
        </w:r>
        <w:r>
          <w:rPr>
            <w:noProof/>
            <w:webHidden/>
          </w:rPr>
          <w:fldChar w:fldCharType="separate"/>
        </w:r>
        <w:r>
          <w:rPr>
            <w:noProof/>
            <w:webHidden/>
          </w:rPr>
          <w:t>7</w:t>
        </w:r>
        <w:r>
          <w:rPr>
            <w:noProof/>
            <w:webHidden/>
          </w:rPr>
          <w:fldChar w:fldCharType="end"/>
        </w:r>
      </w:hyperlink>
    </w:p>
    <w:p w14:paraId="5B97DCCA" w14:textId="11ECE41D" w:rsidR="00257073" w:rsidRDefault="00257073">
      <w:pPr>
        <w:pStyle w:val="TOC2"/>
        <w:rPr>
          <w:rFonts w:asciiTheme="minorHAnsi" w:eastAsiaTheme="minorEastAsia" w:hAnsiTheme="minorHAnsi"/>
          <w:kern w:val="2"/>
          <w:sz w:val="24"/>
          <w:szCs w:val="24"/>
          <w14:ligatures w14:val="standardContextual"/>
        </w:rPr>
      </w:pPr>
      <w:hyperlink w:anchor="_Toc210138973" w:history="1">
        <w:r w:rsidRPr="00DE22C7">
          <w:rPr>
            <w:rStyle w:val="Hyperlink"/>
            <w:b/>
            <w:noProof/>
          </w:rPr>
          <w:t>Reinsurance Recoveries</w:t>
        </w:r>
        <w:r>
          <w:rPr>
            <w:noProof/>
            <w:webHidden/>
          </w:rPr>
          <w:tab/>
        </w:r>
        <w:r>
          <w:rPr>
            <w:noProof/>
            <w:webHidden/>
          </w:rPr>
          <w:fldChar w:fldCharType="begin"/>
        </w:r>
        <w:r>
          <w:rPr>
            <w:noProof/>
            <w:webHidden/>
          </w:rPr>
          <w:instrText xml:space="preserve"> PAGEREF _Toc210138973 \h </w:instrText>
        </w:r>
        <w:r>
          <w:rPr>
            <w:noProof/>
            <w:webHidden/>
          </w:rPr>
        </w:r>
        <w:r>
          <w:rPr>
            <w:noProof/>
            <w:webHidden/>
          </w:rPr>
          <w:fldChar w:fldCharType="separate"/>
        </w:r>
        <w:r>
          <w:rPr>
            <w:noProof/>
            <w:webHidden/>
          </w:rPr>
          <w:t>7</w:t>
        </w:r>
        <w:r>
          <w:rPr>
            <w:noProof/>
            <w:webHidden/>
          </w:rPr>
          <w:fldChar w:fldCharType="end"/>
        </w:r>
      </w:hyperlink>
    </w:p>
    <w:p w14:paraId="6BFE2718" w14:textId="0F1130F6" w:rsidR="00257073" w:rsidRDefault="00257073">
      <w:pPr>
        <w:pStyle w:val="TOC1"/>
        <w:rPr>
          <w:rFonts w:asciiTheme="minorHAnsi" w:eastAsiaTheme="minorEastAsia" w:hAnsiTheme="minorHAnsi"/>
          <w:kern w:val="2"/>
          <w:sz w:val="24"/>
          <w:szCs w:val="24"/>
          <w14:ligatures w14:val="standardContextual"/>
        </w:rPr>
      </w:pPr>
      <w:hyperlink w:anchor="_Toc210138974" w:history="1">
        <w:r w:rsidRPr="00DE22C7">
          <w:rPr>
            <w:rStyle w:val="Hyperlink"/>
            <w:noProof/>
          </w:rPr>
          <w:t>4</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CLAIMS RESERVES UTILISATION ANALYSIS</w:t>
        </w:r>
        <w:r>
          <w:rPr>
            <w:noProof/>
            <w:webHidden/>
          </w:rPr>
          <w:tab/>
        </w:r>
        <w:r>
          <w:rPr>
            <w:noProof/>
            <w:webHidden/>
          </w:rPr>
          <w:fldChar w:fldCharType="begin"/>
        </w:r>
        <w:r>
          <w:rPr>
            <w:noProof/>
            <w:webHidden/>
          </w:rPr>
          <w:instrText xml:space="preserve"> PAGEREF _Toc210138974 \h </w:instrText>
        </w:r>
        <w:r>
          <w:rPr>
            <w:noProof/>
            <w:webHidden/>
          </w:rPr>
        </w:r>
        <w:r>
          <w:rPr>
            <w:noProof/>
            <w:webHidden/>
          </w:rPr>
          <w:fldChar w:fldCharType="separate"/>
        </w:r>
        <w:r>
          <w:rPr>
            <w:noProof/>
            <w:webHidden/>
          </w:rPr>
          <w:t>8</w:t>
        </w:r>
        <w:r>
          <w:rPr>
            <w:noProof/>
            <w:webHidden/>
          </w:rPr>
          <w:fldChar w:fldCharType="end"/>
        </w:r>
      </w:hyperlink>
    </w:p>
    <w:p w14:paraId="102EAB46" w14:textId="2D9CA336" w:rsidR="00257073" w:rsidRDefault="00257073">
      <w:pPr>
        <w:pStyle w:val="TOC2"/>
        <w:rPr>
          <w:rFonts w:asciiTheme="minorHAnsi" w:eastAsiaTheme="minorEastAsia" w:hAnsiTheme="minorHAnsi"/>
          <w:kern w:val="2"/>
          <w:sz w:val="24"/>
          <w:szCs w:val="24"/>
          <w14:ligatures w14:val="standardContextual"/>
        </w:rPr>
      </w:pPr>
      <w:hyperlink w:anchor="_Toc210138975" w:history="1">
        <w:r w:rsidRPr="00DE22C7">
          <w:rPr>
            <w:rStyle w:val="Hyperlink"/>
            <w:noProof/>
          </w:rPr>
          <w:t>IBNR Reserve</w:t>
        </w:r>
        <w:r>
          <w:rPr>
            <w:noProof/>
            <w:webHidden/>
          </w:rPr>
          <w:tab/>
        </w:r>
        <w:r>
          <w:rPr>
            <w:noProof/>
            <w:webHidden/>
          </w:rPr>
          <w:fldChar w:fldCharType="begin"/>
        </w:r>
        <w:r>
          <w:rPr>
            <w:noProof/>
            <w:webHidden/>
          </w:rPr>
          <w:instrText xml:space="preserve"> PAGEREF _Toc210138975 \h </w:instrText>
        </w:r>
        <w:r>
          <w:rPr>
            <w:noProof/>
            <w:webHidden/>
          </w:rPr>
        </w:r>
        <w:r>
          <w:rPr>
            <w:noProof/>
            <w:webHidden/>
          </w:rPr>
          <w:fldChar w:fldCharType="separate"/>
        </w:r>
        <w:r>
          <w:rPr>
            <w:noProof/>
            <w:webHidden/>
          </w:rPr>
          <w:t>8</w:t>
        </w:r>
        <w:r>
          <w:rPr>
            <w:noProof/>
            <w:webHidden/>
          </w:rPr>
          <w:fldChar w:fldCharType="end"/>
        </w:r>
      </w:hyperlink>
    </w:p>
    <w:p w14:paraId="696D511A" w14:textId="1A7D5419" w:rsidR="00257073" w:rsidRDefault="00257073">
      <w:pPr>
        <w:pStyle w:val="TOC2"/>
        <w:rPr>
          <w:rFonts w:asciiTheme="minorHAnsi" w:eastAsiaTheme="minorEastAsia" w:hAnsiTheme="minorHAnsi"/>
          <w:kern w:val="2"/>
          <w:sz w:val="24"/>
          <w:szCs w:val="24"/>
          <w14:ligatures w14:val="standardContextual"/>
        </w:rPr>
      </w:pPr>
      <w:hyperlink w:anchor="_Toc210138976" w:history="1">
        <w:r w:rsidRPr="00DE22C7">
          <w:rPr>
            <w:rStyle w:val="Hyperlink"/>
            <w:noProof/>
          </w:rPr>
          <w:t>Outstanding Claims Reserves (OCR)</w:t>
        </w:r>
        <w:r>
          <w:rPr>
            <w:noProof/>
            <w:webHidden/>
          </w:rPr>
          <w:tab/>
        </w:r>
        <w:r>
          <w:rPr>
            <w:noProof/>
            <w:webHidden/>
          </w:rPr>
          <w:fldChar w:fldCharType="begin"/>
        </w:r>
        <w:r>
          <w:rPr>
            <w:noProof/>
            <w:webHidden/>
          </w:rPr>
          <w:instrText xml:space="preserve"> PAGEREF _Toc210138976 \h </w:instrText>
        </w:r>
        <w:r>
          <w:rPr>
            <w:noProof/>
            <w:webHidden/>
          </w:rPr>
        </w:r>
        <w:r>
          <w:rPr>
            <w:noProof/>
            <w:webHidden/>
          </w:rPr>
          <w:fldChar w:fldCharType="separate"/>
        </w:r>
        <w:r>
          <w:rPr>
            <w:noProof/>
            <w:webHidden/>
          </w:rPr>
          <w:t>9</w:t>
        </w:r>
        <w:r>
          <w:rPr>
            <w:noProof/>
            <w:webHidden/>
          </w:rPr>
          <w:fldChar w:fldCharType="end"/>
        </w:r>
      </w:hyperlink>
    </w:p>
    <w:p w14:paraId="21CD46E3" w14:textId="630D7F9E" w:rsidR="00257073" w:rsidRDefault="00257073">
      <w:pPr>
        <w:pStyle w:val="TOC1"/>
        <w:rPr>
          <w:rFonts w:asciiTheme="minorHAnsi" w:eastAsiaTheme="minorEastAsia" w:hAnsiTheme="minorHAnsi"/>
          <w:kern w:val="2"/>
          <w:sz w:val="24"/>
          <w:szCs w:val="24"/>
          <w14:ligatures w14:val="standardContextual"/>
        </w:rPr>
      </w:pPr>
      <w:hyperlink w:anchor="_Toc210138977" w:history="1">
        <w:r w:rsidRPr="00DE22C7">
          <w:rPr>
            <w:rStyle w:val="Hyperlink"/>
            <w:noProof/>
          </w:rPr>
          <w:t>5</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LIABILITY FOR INCURRED CLAIMS</w:t>
        </w:r>
        <w:r>
          <w:rPr>
            <w:noProof/>
            <w:webHidden/>
          </w:rPr>
          <w:tab/>
        </w:r>
        <w:r>
          <w:rPr>
            <w:noProof/>
            <w:webHidden/>
          </w:rPr>
          <w:fldChar w:fldCharType="begin"/>
        </w:r>
        <w:r>
          <w:rPr>
            <w:noProof/>
            <w:webHidden/>
          </w:rPr>
          <w:instrText xml:space="preserve"> PAGEREF _Toc210138977 \h </w:instrText>
        </w:r>
        <w:r>
          <w:rPr>
            <w:noProof/>
            <w:webHidden/>
          </w:rPr>
        </w:r>
        <w:r>
          <w:rPr>
            <w:noProof/>
            <w:webHidden/>
          </w:rPr>
          <w:fldChar w:fldCharType="separate"/>
        </w:r>
        <w:r>
          <w:rPr>
            <w:noProof/>
            <w:webHidden/>
          </w:rPr>
          <w:t>10</w:t>
        </w:r>
        <w:r>
          <w:rPr>
            <w:noProof/>
            <w:webHidden/>
          </w:rPr>
          <w:fldChar w:fldCharType="end"/>
        </w:r>
      </w:hyperlink>
    </w:p>
    <w:p w14:paraId="5B253048" w14:textId="6122736F" w:rsidR="00257073" w:rsidRDefault="00257073">
      <w:pPr>
        <w:pStyle w:val="TOC2"/>
        <w:rPr>
          <w:rFonts w:asciiTheme="minorHAnsi" w:eastAsiaTheme="minorEastAsia" w:hAnsiTheme="minorHAnsi"/>
          <w:kern w:val="2"/>
          <w:sz w:val="24"/>
          <w:szCs w:val="24"/>
          <w14:ligatures w14:val="standardContextual"/>
        </w:rPr>
      </w:pPr>
      <w:hyperlink w:anchor="_Toc210138978" w:history="1">
        <w:r w:rsidRPr="00DE22C7">
          <w:rPr>
            <w:rStyle w:val="Hyperlink"/>
            <w:noProof/>
          </w:rPr>
          <w:t>Data Used in Estimating Claim Liabilities</w:t>
        </w:r>
        <w:r>
          <w:rPr>
            <w:noProof/>
            <w:webHidden/>
          </w:rPr>
          <w:tab/>
        </w:r>
        <w:r>
          <w:rPr>
            <w:noProof/>
            <w:webHidden/>
          </w:rPr>
          <w:fldChar w:fldCharType="begin"/>
        </w:r>
        <w:r>
          <w:rPr>
            <w:noProof/>
            <w:webHidden/>
          </w:rPr>
          <w:instrText xml:space="preserve"> PAGEREF _Toc210138978 \h </w:instrText>
        </w:r>
        <w:r>
          <w:rPr>
            <w:noProof/>
            <w:webHidden/>
          </w:rPr>
        </w:r>
        <w:r>
          <w:rPr>
            <w:noProof/>
            <w:webHidden/>
          </w:rPr>
          <w:fldChar w:fldCharType="separate"/>
        </w:r>
        <w:r>
          <w:rPr>
            <w:noProof/>
            <w:webHidden/>
          </w:rPr>
          <w:t>10</w:t>
        </w:r>
        <w:r>
          <w:rPr>
            <w:noProof/>
            <w:webHidden/>
          </w:rPr>
          <w:fldChar w:fldCharType="end"/>
        </w:r>
      </w:hyperlink>
    </w:p>
    <w:p w14:paraId="3CBA0E60" w14:textId="5712DDAF" w:rsidR="00257073" w:rsidRDefault="00257073">
      <w:pPr>
        <w:pStyle w:val="TOC2"/>
        <w:rPr>
          <w:rFonts w:asciiTheme="minorHAnsi" w:eastAsiaTheme="minorEastAsia" w:hAnsiTheme="minorHAnsi"/>
          <w:kern w:val="2"/>
          <w:sz w:val="24"/>
          <w:szCs w:val="24"/>
          <w14:ligatures w14:val="standardContextual"/>
        </w:rPr>
      </w:pPr>
      <w:hyperlink w:anchor="_Toc210138979" w:history="1">
        <w:r w:rsidRPr="00DE22C7">
          <w:rPr>
            <w:rStyle w:val="Hyperlink"/>
            <w:noProof/>
          </w:rPr>
          <w:t>Homogeneity and Credibility of Data</w:t>
        </w:r>
        <w:r>
          <w:rPr>
            <w:noProof/>
            <w:webHidden/>
          </w:rPr>
          <w:tab/>
        </w:r>
        <w:r>
          <w:rPr>
            <w:noProof/>
            <w:webHidden/>
          </w:rPr>
          <w:fldChar w:fldCharType="begin"/>
        </w:r>
        <w:r>
          <w:rPr>
            <w:noProof/>
            <w:webHidden/>
          </w:rPr>
          <w:instrText xml:space="preserve"> PAGEREF _Toc210138979 \h </w:instrText>
        </w:r>
        <w:r>
          <w:rPr>
            <w:noProof/>
            <w:webHidden/>
          </w:rPr>
        </w:r>
        <w:r>
          <w:rPr>
            <w:noProof/>
            <w:webHidden/>
          </w:rPr>
          <w:fldChar w:fldCharType="separate"/>
        </w:r>
        <w:r>
          <w:rPr>
            <w:noProof/>
            <w:webHidden/>
          </w:rPr>
          <w:t>10</w:t>
        </w:r>
        <w:r>
          <w:rPr>
            <w:noProof/>
            <w:webHidden/>
          </w:rPr>
          <w:fldChar w:fldCharType="end"/>
        </w:r>
      </w:hyperlink>
    </w:p>
    <w:p w14:paraId="48C65902" w14:textId="760A554C" w:rsidR="00257073" w:rsidRDefault="00257073">
      <w:pPr>
        <w:pStyle w:val="TOC2"/>
        <w:rPr>
          <w:rFonts w:asciiTheme="minorHAnsi" w:eastAsiaTheme="minorEastAsia" w:hAnsiTheme="minorHAnsi"/>
          <w:kern w:val="2"/>
          <w:sz w:val="24"/>
          <w:szCs w:val="24"/>
          <w14:ligatures w14:val="standardContextual"/>
        </w:rPr>
      </w:pPr>
      <w:hyperlink w:anchor="_Toc210138980" w:history="1">
        <w:r w:rsidRPr="00DE22C7">
          <w:rPr>
            <w:rStyle w:val="Hyperlink"/>
            <w:noProof/>
          </w:rPr>
          <w:t>Paid, Outstanding and Incurred Claims Data</w:t>
        </w:r>
        <w:r>
          <w:rPr>
            <w:noProof/>
            <w:webHidden/>
          </w:rPr>
          <w:tab/>
        </w:r>
        <w:r>
          <w:rPr>
            <w:noProof/>
            <w:webHidden/>
          </w:rPr>
          <w:fldChar w:fldCharType="begin"/>
        </w:r>
        <w:r>
          <w:rPr>
            <w:noProof/>
            <w:webHidden/>
          </w:rPr>
          <w:instrText xml:space="preserve"> PAGEREF _Toc210138980 \h </w:instrText>
        </w:r>
        <w:r>
          <w:rPr>
            <w:noProof/>
            <w:webHidden/>
          </w:rPr>
        </w:r>
        <w:r>
          <w:rPr>
            <w:noProof/>
            <w:webHidden/>
          </w:rPr>
          <w:fldChar w:fldCharType="separate"/>
        </w:r>
        <w:r>
          <w:rPr>
            <w:noProof/>
            <w:webHidden/>
          </w:rPr>
          <w:t>11</w:t>
        </w:r>
        <w:r>
          <w:rPr>
            <w:noProof/>
            <w:webHidden/>
          </w:rPr>
          <w:fldChar w:fldCharType="end"/>
        </w:r>
      </w:hyperlink>
    </w:p>
    <w:p w14:paraId="7C517D49" w14:textId="4955EB61" w:rsidR="00257073" w:rsidRDefault="00257073">
      <w:pPr>
        <w:pStyle w:val="TOC2"/>
        <w:rPr>
          <w:rFonts w:asciiTheme="minorHAnsi" w:eastAsiaTheme="minorEastAsia" w:hAnsiTheme="minorHAnsi"/>
          <w:kern w:val="2"/>
          <w:sz w:val="24"/>
          <w:szCs w:val="24"/>
          <w14:ligatures w14:val="standardContextual"/>
        </w:rPr>
      </w:pPr>
      <w:hyperlink w:anchor="_Toc210138981" w:history="1">
        <w:r w:rsidRPr="00DE22C7">
          <w:rPr>
            <w:rStyle w:val="Hyperlink"/>
            <w:noProof/>
          </w:rPr>
          <w:t>Claims Reserving</w:t>
        </w:r>
        <w:r>
          <w:rPr>
            <w:noProof/>
            <w:webHidden/>
          </w:rPr>
          <w:tab/>
        </w:r>
        <w:r>
          <w:rPr>
            <w:noProof/>
            <w:webHidden/>
          </w:rPr>
          <w:fldChar w:fldCharType="begin"/>
        </w:r>
        <w:r>
          <w:rPr>
            <w:noProof/>
            <w:webHidden/>
          </w:rPr>
          <w:instrText xml:space="preserve"> PAGEREF _Toc210138981 \h </w:instrText>
        </w:r>
        <w:r>
          <w:rPr>
            <w:noProof/>
            <w:webHidden/>
          </w:rPr>
        </w:r>
        <w:r>
          <w:rPr>
            <w:noProof/>
            <w:webHidden/>
          </w:rPr>
          <w:fldChar w:fldCharType="separate"/>
        </w:r>
        <w:r>
          <w:rPr>
            <w:noProof/>
            <w:webHidden/>
          </w:rPr>
          <w:t>11</w:t>
        </w:r>
        <w:r>
          <w:rPr>
            <w:noProof/>
            <w:webHidden/>
          </w:rPr>
          <w:fldChar w:fldCharType="end"/>
        </w:r>
      </w:hyperlink>
    </w:p>
    <w:p w14:paraId="5D40585F" w14:textId="5C55EEB0" w:rsidR="00257073" w:rsidRDefault="00257073">
      <w:pPr>
        <w:pStyle w:val="TOC2"/>
        <w:rPr>
          <w:rFonts w:asciiTheme="minorHAnsi" w:eastAsiaTheme="minorEastAsia" w:hAnsiTheme="minorHAnsi"/>
          <w:kern w:val="2"/>
          <w:sz w:val="24"/>
          <w:szCs w:val="24"/>
          <w14:ligatures w14:val="standardContextual"/>
        </w:rPr>
      </w:pPr>
      <w:hyperlink w:anchor="_Toc210138982" w:history="1">
        <w:r w:rsidRPr="00DE22C7">
          <w:rPr>
            <w:rStyle w:val="Hyperlink"/>
            <w:noProof/>
          </w:rPr>
          <w:t>Overview: Run-off Triangles</w:t>
        </w:r>
        <w:r>
          <w:rPr>
            <w:noProof/>
            <w:webHidden/>
          </w:rPr>
          <w:tab/>
        </w:r>
        <w:r>
          <w:rPr>
            <w:noProof/>
            <w:webHidden/>
          </w:rPr>
          <w:fldChar w:fldCharType="begin"/>
        </w:r>
        <w:r>
          <w:rPr>
            <w:noProof/>
            <w:webHidden/>
          </w:rPr>
          <w:instrText xml:space="preserve"> PAGEREF _Toc210138982 \h </w:instrText>
        </w:r>
        <w:r>
          <w:rPr>
            <w:noProof/>
            <w:webHidden/>
          </w:rPr>
        </w:r>
        <w:r>
          <w:rPr>
            <w:noProof/>
            <w:webHidden/>
          </w:rPr>
          <w:fldChar w:fldCharType="separate"/>
        </w:r>
        <w:r>
          <w:rPr>
            <w:noProof/>
            <w:webHidden/>
          </w:rPr>
          <w:t>13</w:t>
        </w:r>
        <w:r>
          <w:rPr>
            <w:noProof/>
            <w:webHidden/>
          </w:rPr>
          <w:fldChar w:fldCharType="end"/>
        </w:r>
      </w:hyperlink>
    </w:p>
    <w:p w14:paraId="088B2249" w14:textId="4DA69E7F" w:rsidR="00257073" w:rsidRDefault="00257073">
      <w:pPr>
        <w:pStyle w:val="TOC2"/>
        <w:rPr>
          <w:rFonts w:asciiTheme="minorHAnsi" w:eastAsiaTheme="minorEastAsia" w:hAnsiTheme="minorHAnsi"/>
          <w:kern w:val="2"/>
          <w:sz w:val="24"/>
          <w:szCs w:val="24"/>
          <w14:ligatures w14:val="standardContextual"/>
        </w:rPr>
      </w:pPr>
      <w:hyperlink w:anchor="_Toc210138983" w:history="1">
        <w:r w:rsidRPr="00DE22C7">
          <w:rPr>
            <w:rStyle w:val="Hyperlink"/>
            <w:noProof/>
          </w:rPr>
          <w:t>Projections using Development Factors</w:t>
        </w:r>
        <w:r>
          <w:rPr>
            <w:noProof/>
            <w:webHidden/>
          </w:rPr>
          <w:tab/>
        </w:r>
        <w:r>
          <w:rPr>
            <w:noProof/>
            <w:webHidden/>
          </w:rPr>
          <w:fldChar w:fldCharType="begin"/>
        </w:r>
        <w:r>
          <w:rPr>
            <w:noProof/>
            <w:webHidden/>
          </w:rPr>
          <w:instrText xml:space="preserve"> PAGEREF _Toc210138983 \h </w:instrText>
        </w:r>
        <w:r>
          <w:rPr>
            <w:noProof/>
            <w:webHidden/>
          </w:rPr>
        </w:r>
        <w:r>
          <w:rPr>
            <w:noProof/>
            <w:webHidden/>
          </w:rPr>
          <w:fldChar w:fldCharType="separate"/>
        </w:r>
        <w:r>
          <w:rPr>
            <w:noProof/>
            <w:webHidden/>
          </w:rPr>
          <w:t>14</w:t>
        </w:r>
        <w:r>
          <w:rPr>
            <w:noProof/>
            <w:webHidden/>
          </w:rPr>
          <w:fldChar w:fldCharType="end"/>
        </w:r>
      </w:hyperlink>
    </w:p>
    <w:p w14:paraId="5CAF01F7" w14:textId="0E9F283F" w:rsidR="00257073" w:rsidRDefault="00257073">
      <w:pPr>
        <w:pStyle w:val="TOC2"/>
        <w:rPr>
          <w:rFonts w:asciiTheme="minorHAnsi" w:eastAsiaTheme="minorEastAsia" w:hAnsiTheme="minorHAnsi"/>
          <w:kern w:val="2"/>
          <w:sz w:val="24"/>
          <w:szCs w:val="24"/>
          <w14:ligatures w14:val="standardContextual"/>
        </w:rPr>
      </w:pPr>
      <w:hyperlink w:anchor="_Toc210138984" w:history="1">
        <w:r w:rsidRPr="00DE22C7">
          <w:rPr>
            <w:rStyle w:val="Hyperlink"/>
            <w:noProof/>
          </w:rPr>
          <w:t>IBNR Computation</w:t>
        </w:r>
        <w:r>
          <w:rPr>
            <w:noProof/>
            <w:webHidden/>
          </w:rPr>
          <w:tab/>
        </w:r>
        <w:r>
          <w:rPr>
            <w:noProof/>
            <w:webHidden/>
          </w:rPr>
          <w:fldChar w:fldCharType="begin"/>
        </w:r>
        <w:r>
          <w:rPr>
            <w:noProof/>
            <w:webHidden/>
          </w:rPr>
          <w:instrText xml:space="preserve"> PAGEREF _Toc210138984 \h </w:instrText>
        </w:r>
        <w:r>
          <w:rPr>
            <w:noProof/>
            <w:webHidden/>
          </w:rPr>
        </w:r>
        <w:r>
          <w:rPr>
            <w:noProof/>
            <w:webHidden/>
          </w:rPr>
          <w:fldChar w:fldCharType="separate"/>
        </w:r>
        <w:r>
          <w:rPr>
            <w:noProof/>
            <w:webHidden/>
          </w:rPr>
          <w:t>15</w:t>
        </w:r>
        <w:r>
          <w:rPr>
            <w:noProof/>
            <w:webHidden/>
          </w:rPr>
          <w:fldChar w:fldCharType="end"/>
        </w:r>
      </w:hyperlink>
    </w:p>
    <w:p w14:paraId="40EB4A74" w14:textId="0CEE3521" w:rsidR="00257073" w:rsidRDefault="00257073">
      <w:pPr>
        <w:pStyle w:val="TOC2"/>
        <w:rPr>
          <w:rFonts w:asciiTheme="minorHAnsi" w:eastAsiaTheme="minorEastAsia" w:hAnsiTheme="minorHAnsi"/>
          <w:kern w:val="2"/>
          <w:sz w:val="24"/>
          <w:szCs w:val="24"/>
          <w14:ligatures w14:val="standardContextual"/>
        </w:rPr>
      </w:pPr>
      <w:hyperlink w:anchor="_Toc210138985" w:history="1">
        <w:r w:rsidRPr="00DE22C7">
          <w:rPr>
            <w:rStyle w:val="Hyperlink"/>
            <w:noProof/>
          </w:rPr>
          <w:t>Assumptions</w:t>
        </w:r>
        <w:r>
          <w:rPr>
            <w:noProof/>
            <w:webHidden/>
          </w:rPr>
          <w:tab/>
        </w:r>
        <w:r>
          <w:rPr>
            <w:noProof/>
            <w:webHidden/>
          </w:rPr>
          <w:fldChar w:fldCharType="begin"/>
        </w:r>
        <w:r>
          <w:rPr>
            <w:noProof/>
            <w:webHidden/>
          </w:rPr>
          <w:instrText xml:space="preserve"> PAGEREF _Toc210138985 \h </w:instrText>
        </w:r>
        <w:r>
          <w:rPr>
            <w:noProof/>
            <w:webHidden/>
          </w:rPr>
        </w:r>
        <w:r>
          <w:rPr>
            <w:noProof/>
            <w:webHidden/>
          </w:rPr>
          <w:fldChar w:fldCharType="separate"/>
        </w:r>
        <w:r>
          <w:rPr>
            <w:noProof/>
            <w:webHidden/>
          </w:rPr>
          <w:t>15</w:t>
        </w:r>
        <w:r>
          <w:rPr>
            <w:noProof/>
            <w:webHidden/>
          </w:rPr>
          <w:fldChar w:fldCharType="end"/>
        </w:r>
      </w:hyperlink>
    </w:p>
    <w:p w14:paraId="1D94294C" w14:textId="1C25EC50" w:rsidR="00257073" w:rsidRDefault="00257073">
      <w:pPr>
        <w:pStyle w:val="TOC2"/>
        <w:rPr>
          <w:rFonts w:asciiTheme="minorHAnsi" w:eastAsiaTheme="minorEastAsia" w:hAnsiTheme="minorHAnsi"/>
          <w:kern w:val="2"/>
          <w:sz w:val="24"/>
          <w:szCs w:val="24"/>
          <w14:ligatures w14:val="standardContextual"/>
        </w:rPr>
      </w:pPr>
      <w:hyperlink w:anchor="_Toc210138986" w:history="1">
        <w:r w:rsidRPr="00DE22C7">
          <w:rPr>
            <w:rStyle w:val="Hyperlink"/>
            <w:noProof/>
          </w:rPr>
          <w:t>Adjustments to Claims Data</w:t>
        </w:r>
        <w:r>
          <w:rPr>
            <w:noProof/>
            <w:webHidden/>
          </w:rPr>
          <w:tab/>
        </w:r>
        <w:r>
          <w:rPr>
            <w:noProof/>
            <w:webHidden/>
          </w:rPr>
          <w:fldChar w:fldCharType="begin"/>
        </w:r>
        <w:r>
          <w:rPr>
            <w:noProof/>
            <w:webHidden/>
          </w:rPr>
          <w:instrText xml:space="preserve"> PAGEREF _Toc210138986 \h </w:instrText>
        </w:r>
        <w:r>
          <w:rPr>
            <w:noProof/>
            <w:webHidden/>
          </w:rPr>
        </w:r>
        <w:r>
          <w:rPr>
            <w:noProof/>
            <w:webHidden/>
          </w:rPr>
          <w:fldChar w:fldCharType="separate"/>
        </w:r>
        <w:r>
          <w:rPr>
            <w:noProof/>
            <w:webHidden/>
          </w:rPr>
          <w:t>16</w:t>
        </w:r>
        <w:r>
          <w:rPr>
            <w:noProof/>
            <w:webHidden/>
          </w:rPr>
          <w:fldChar w:fldCharType="end"/>
        </w:r>
      </w:hyperlink>
    </w:p>
    <w:p w14:paraId="58010453" w14:textId="4CB6FF39" w:rsidR="00257073" w:rsidRDefault="00257073">
      <w:pPr>
        <w:pStyle w:val="TOC1"/>
        <w:rPr>
          <w:rFonts w:asciiTheme="minorHAnsi" w:eastAsiaTheme="minorEastAsia" w:hAnsiTheme="minorHAnsi"/>
          <w:kern w:val="2"/>
          <w:sz w:val="24"/>
          <w:szCs w:val="24"/>
          <w14:ligatures w14:val="standardContextual"/>
        </w:rPr>
      </w:pPr>
      <w:hyperlink w:anchor="_Toc210138987" w:history="1">
        <w:r w:rsidRPr="00DE22C7">
          <w:rPr>
            <w:rStyle w:val="Hyperlink"/>
            <w:noProof/>
          </w:rPr>
          <w:t>6</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RISK ADJUSTMENT</w:t>
        </w:r>
        <w:r>
          <w:rPr>
            <w:noProof/>
            <w:webHidden/>
          </w:rPr>
          <w:tab/>
        </w:r>
        <w:r>
          <w:rPr>
            <w:noProof/>
            <w:webHidden/>
          </w:rPr>
          <w:fldChar w:fldCharType="begin"/>
        </w:r>
        <w:r>
          <w:rPr>
            <w:noProof/>
            <w:webHidden/>
          </w:rPr>
          <w:instrText xml:space="preserve"> PAGEREF _Toc210138987 \h </w:instrText>
        </w:r>
        <w:r>
          <w:rPr>
            <w:noProof/>
            <w:webHidden/>
          </w:rPr>
        </w:r>
        <w:r>
          <w:rPr>
            <w:noProof/>
            <w:webHidden/>
          </w:rPr>
          <w:fldChar w:fldCharType="separate"/>
        </w:r>
        <w:r>
          <w:rPr>
            <w:noProof/>
            <w:webHidden/>
          </w:rPr>
          <w:t>17</w:t>
        </w:r>
        <w:r>
          <w:rPr>
            <w:noProof/>
            <w:webHidden/>
          </w:rPr>
          <w:fldChar w:fldCharType="end"/>
        </w:r>
      </w:hyperlink>
    </w:p>
    <w:p w14:paraId="3A0FDB70" w14:textId="372046FA" w:rsidR="00257073" w:rsidRDefault="00257073">
      <w:pPr>
        <w:pStyle w:val="TOC2"/>
        <w:rPr>
          <w:rFonts w:asciiTheme="minorHAnsi" w:eastAsiaTheme="minorEastAsia" w:hAnsiTheme="minorHAnsi"/>
          <w:kern w:val="2"/>
          <w:sz w:val="24"/>
          <w:szCs w:val="24"/>
          <w14:ligatures w14:val="standardContextual"/>
        </w:rPr>
      </w:pPr>
      <w:hyperlink w:anchor="_Toc210138988" w:history="1">
        <w:r w:rsidRPr="00DE22C7">
          <w:rPr>
            <w:rStyle w:val="Hyperlink"/>
            <w:noProof/>
          </w:rPr>
          <w:t>Bootstrapping Method</w:t>
        </w:r>
        <w:r>
          <w:rPr>
            <w:noProof/>
            <w:webHidden/>
          </w:rPr>
          <w:tab/>
        </w:r>
        <w:r>
          <w:rPr>
            <w:noProof/>
            <w:webHidden/>
          </w:rPr>
          <w:fldChar w:fldCharType="begin"/>
        </w:r>
        <w:r>
          <w:rPr>
            <w:noProof/>
            <w:webHidden/>
          </w:rPr>
          <w:instrText xml:space="preserve"> PAGEREF _Toc210138988 \h </w:instrText>
        </w:r>
        <w:r>
          <w:rPr>
            <w:noProof/>
            <w:webHidden/>
          </w:rPr>
        </w:r>
        <w:r>
          <w:rPr>
            <w:noProof/>
            <w:webHidden/>
          </w:rPr>
          <w:fldChar w:fldCharType="separate"/>
        </w:r>
        <w:r>
          <w:rPr>
            <w:noProof/>
            <w:webHidden/>
          </w:rPr>
          <w:t>17</w:t>
        </w:r>
        <w:r>
          <w:rPr>
            <w:noProof/>
            <w:webHidden/>
          </w:rPr>
          <w:fldChar w:fldCharType="end"/>
        </w:r>
      </w:hyperlink>
    </w:p>
    <w:p w14:paraId="0D623820" w14:textId="4BB0DB4A" w:rsidR="00257073" w:rsidRDefault="00257073">
      <w:pPr>
        <w:pStyle w:val="TOC2"/>
        <w:rPr>
          <w:rFonts w:asciiTheme="minorHAnsi" w:eastAsiaTheme="minorEastAsia" w:hAnsiTheme="minorHAnsi"/>
          <w:kern w:val="2"/>
          <w:sz w:val="24"/>
          <w:szCs w:val="24"/>
          <w14:ligatures w14:val="standardContextual"/>
        </w:rPr>
      </w:pPr>
      <w:hyperlink w:anchor="_Toc210138989" w:history="1">
        <w:r w:rsidRPr="00DE22C7">
          <w:rPr>
            <w:rStyle w:val="Hyperlink"/>
            <w:noProof/>
          </w:rPr>
          <w:t>Cost of Capital (CoC) Method</w:t>
        </w:r>
        <w:r>
          <w:rPr>
            <w:noProof/>
            <w:webHidden/>
          </w:rPr>
          <w:tab/>
        </w:r>
        <w:r>
          <w:rPr>
            <w:noProof/>
            <w:webHidden/>
          </w:rPr>
          <w:fldChar w:fldCharType="begin"/>
        </w:r>
        <w:r>
          <w:rPr>
            <w:noProof/>
            <w:webHidden/>
          </w:rPr>
          <w:instrText xml:space="preserve"> PAGEREF _Toc210138989 \h </w:instrText>
        </w:r>
        <w:r>
          <w:rPr>
            <w:noProof/>
            <w:webHidden/>
          </w:rPr>
        </w:r>
        <w:r>
          <w:rPr>
            <w:noProof/>
            <w:webHidden/>
          </w:rPr>
          <w:fldChar w:fldCharType="separate"/>
        </w:r>
        <w:r>
          <w:rPr>
            <w:noProof/>
            <w:webHidden/>
          </w:rPr>
          <w:t>18</w:t>
        </w:r>
        <w:r>
          <w:rPr>
            <w:noProof/>
            <w:webHidden/>
          </w:rPr>
          <w:fldChar w:fldCharType="end"/>
        </w:r>
      </w:hyperlink>
    </w:p>
    <w:p w14:paraId="0C0FCE56" w14:textId="645935A3" w:rsidR="00257073" w:rsidRDefault="00257073">
      <w:pPr>
        <w:pStyle w:val="TOC1"/>
        <w:rPr>
          <w:rFonts w:asciiTheme="minorHAnsi" w:eastAsiaTheme="minorEastAsia" w:hAnsiTheme="minorHAnsi"/>
          <w:kern w:val="2"/>
          <w:sz w:val="24"/>
          <w:szCs w:val="24"/>
          <w14:ligatures w14:val="standardContextual"/>
        </w:rPr>
      </w:pPr>
      <w:hyperlink w:anchor="_Toc210138990" w:history="1">
        <w:r w:rsidRPr="00DE22C7">
          <w:rPr>
            <w:rStyle w:val="Hyperlink"/>
            <w:noProof/>
          </w:rPr>
          <w:t>7</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DISCOUNTING</w:t>
        </w:r>
        <w:r>
          <w:rPr>
            <w:noProof/>
            <w:webHidden/>
          </w:rPr>
          <w:tab/>
        </w:r>
        <w:r>
          <w:rPr>
            <w:noProof/>
            <w:webHidden/>
          </w:rPr>
          <w:fldChar w:fldCharType="begin"/>
        </w:r>
        <w:r>
          <w:rPr>
            <w:noProof/>
            <w:webHidden/>
          </w:rPr>
          <w:instrText xml:space="preserve"> PAGEREF _Toc210138990 \h </w:instrText>
        </w:r>
        <w:r>
          <w:rPr>
            <w:noProof/>
            <w:webHidden/>
          </w:rPr>
        </w:r>
        <w:r>
          <w:rPr>
            <w:noProof/>
            <w:webHidden/>
          </w:rPr>
          <w:fldChar w:fldCharType="separate"/>
        </w:r>
        <w:r>
          <w:rPr>
            <w:noProof/>
            <w:webHidden/>
          </w:rPr>
          <w:t>19</w:t>
        </w:r>
        <w:r>
          <w:rPr>
            <w:noProof/>
            <w:webHidden/>
          </w:rPr>
          <w:fldChar w:fldCharType="end"/>
        </w:r>
      </w:hyperlink>
    </w:p>
    <w:p w14:paraId="556B813F" w14:textId="33CD760C" w:rsidR="00257073" w:rsidRDefault="00257073">
      <w:pPr>
        <w:pStyle w:val="TOC1"/>
        <w:rPr>
          <w:rFonts w:asciiTheme="minorHAnsi" w:eastAsiaTheme="minorEastAsia" w:hAnsiTheme="minorHAnsi"/>
          <w:kern w:val="2"/>
          <w:sz w:val="24"/>
          <w:szCs w:val="24"/>
          <w14:ligatures w14:val="standardContextual"/>
        </w:rPr>
      </w:pPr>
      <w:hyperlink w:anchor="_Toc210138991" w:history="1">
        <w:r w:rsidRPr="00DE22C7">
          <w:rPr>
            <w:rStyle w:val="Hyperlink"/>
            <w:noProof/>
          </w:rPr>
          <w:t>8</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ASSUMPTIONS</w:t>
        </w:r>
        <w:r>
          <w:rPr>
            <w:noProof/>
            <w:webHidden/>
          </w:rPr>
          <w:tab/>
        </w:r>
        <w:r>
          <w:rPr>
            <w:noProof/>
            <w:webHidden/>
          </w:rPr>
          <w:fldChar w:fldCharType="begin"/>
        </w:r>
        <w:r>
          <w:rPr>
            <w:noProof/>
            <w:webHidden/>
          </w:rPr>
          <w:instrText xml:space="preserve"> PAGEREF _Toc210138991 \h </w:instrText>
        </w:r>
        <w:r>
          <w:rPr>
            <w:noProof/>
            <w:webHidden/>
          </w:rPr>
        </w:r>
        <w:r>
          <w:rPr>
            <w:noProof/>
            <w:webHidden/>
          </w:rPr>
          <w:fldChar w:fldCharType="separate"/>
        </w:r>
        <w:r>
          <w:rPr>
            <w:noProof/>
            <w:webHidden/>
          </w:rPr>
          <w:t>20</w:t>
        </w:r>
        <w:r>
          <w:rPr>
            <w:noProof/>
            <w:webHidden/>
          </w:rPr>
          <w:fldChar w:fldCharType="end"/>
        </w:r>
      </w:hyperlink>
    </w:p>
    <w:p w14:paraId="184A3D15" w14:textId="034960E4" w:rsidR="00257073" w:rsidRDefault="00257073">
      <w:pPr>
        <w:pStyle w:val="TOC2"/>
        <w:rPr>
          <w:rFonts w:asciiTheme="minorHAnsi" w:eastAsiaTheme="minorEastAsia" w:hAnsiTheme="minorHAnsi"/>
          <w:kern w:val="2"/>
          <w:sz w:val="24"/>
          <w:szCs w:val="24"/>
          <w14:ligatures w14:val="standardContextual"/>
        </w:rPr>
      </w:pPr>
      <w:hyperlink w:anchor="_Toc210138992" w:history="1">
        <w:r w:rsidRPr="00DE22C7">
          <w:rPr>
            <w:rStyle w:val="Hyperlink"/>
            <w:b/>
            <w:noProof/>
          </w:rPr>
          <w:t>Reinsurance Recoveries</w:t>
        </w:r>
        <w:r>
          <w:rPr>
            <w:noProof/>
            <w:webHidden/>
          </w:rPr>
          <w:tab/>
        </w:r>
        <w:r>
          <w:rPr>
            <w:noProof/>
            <w:webHidden/>
          </w:rPr>
          <w:fldChar w:fldCharType="begin"/>
        </w:r>
        <w:r>
          <w:rPr>
            <w:noProof/>
            <w:webHidden/>
          </w:rPr>
          <w:instrText xml:space="preserve"> PAGEREF _Toc210138992 \h </w:instrText>
        </w:r>
        <w:r>
          <w:rPr>
            <w:noProof/>
            <w:webHidden/>
          </w:rPr>
        </w:r>
        <w:r>
          <w:rPr>
            <w:noProof/>
            <w:webHidden/>
          </w:rPr>
          <w:fldChar w:fldCharType="separate"/>
        </w:r>
        <w:r>
          <w:rPr>
            <w:noProof/>
            <w:webHidden/>
          </w:rPr>
          <w:t>20</w:t>
        </w:r>
        <w:r>
          <w:rPr>
            <w:noProof/>
            <w:webHidden/>
          </w:rPr>
          <w:fldChar w:fldCharType="end"/>
        </w:r>
      </w:hyperlink>
    </w:p>
    <w:p w14:paraId="73161762" w14:textId="520AF6F0" w:rsidR="00257073" w:rsidRDefault="00257073">
      <w:pPr>
        <w:pStyle w:val="TOC1"/>
        <w:rPr>
          <w:rFonts w:asciiTheme="minorHAnsi" w:eastAsiaTheme="minorEastAsia" w:hAnsiTheme="minorHAnsi"/>
          <w:kern w:val="2"/>
          <w:sz w:val="24"/>
          <w:szCs w:val="24"/>
          <w14:ligatures w14:val="standardContextual"/>
        </w:rPr>
      </w:pPr>
      <w:hyperlink w:anchor="_Toc210138993" w:history="1">
        <w:r w:rsidRPr="00DE22C7">
          <w:rPr>
            <w:rStyle w:val="Hyperlink"/>
            <w:noProof/>
          </w:rPr>
          <w:t>9</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REVIEW &amp; SIGN-OFF</w:t>
        </w:r>
        <w:r>
          <w:rPr>
            <w:noProof/>
            <w:webHidden/>
          </w:rPr>
          <w:tab/>
        </w:r>
        <w:r>
          <w:rPr>
            <w:noProof/>
            <w:webHidden/>
          </w:rPr>
          <w:fldChar w:fldCharType="begin"/>
        </w:r>
        <w:r>
          <w:rPr>
            <w:noProof/>
            <w:webHidden/>
          </w:rPr>
          <w:instrText xml:space="preserve"> PAGEREF _Toc210138993 \h </w:instrText>
        </w:r>
        <w:r>
          <w:rPr>
            <w:noProof/>
            <w:webHidden/>
          </w:rPr>
        </w:r>
        <w:r>
          <w:rPr>
            <w:noProof/>
            <w:webHidden/>
          </w:rPr>
          <w:fldChar w:fldCharType="separate"/>
        </w:r>
        <w:r>
          <w:rPr>
            <w:noProof/>
            <w:webHidden/>
          </w:rPr>
          <w:t>21</w:t>
        </w:r>
        <w:r>
          <w:rPr>
            <w:noProof/>
            <w:webHidden/>
          </w:rPr>
          <w:fldChar w:fldCharType="end"/>
        </w:r>
      </w:hyperlink>
    </w:p>
    <w:p w14:paraId="318BF2C1" w14:textId="4961B62F" w:rsidR="00257073" w:rsidRDefault="00257073">
      <w:pPr>
        <w:pStyle w:val="TOC1"/>
        <w:rPr>
          <w:rFonts w:asciiTheme="minorHAnsi" w:eastAsiaTheme="minorEastAsia" w:hAnsiTheme="minorHAnsi"/>
          <w:kern w:val="2"/>
          <w:sz w:val="24"/>
          <w:szCs w:val="24"/>
          <w14:ligatures w14:val="standardContextual"/>
        </w:rPr>
      </w:pPr>
      <w:hyperlink w:anchor="_Toc210138994" w:history="1">
        <w:r w:rsidRPr="00DE22C7">
          <w:rPr>
            <w:rStyle w:val="Hyperlink"/>
            <w:noProof/>
          </w:rPr>
          <w:t>10</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APPENDICES</w:t>
        </w:r>
        <w:r>
          <w:rPr>
            <w:noProof/>
            <w:webHidden/>
          </w:rPr>
          <w:tab/>
        </w:r>
        <w:r>
          <w:rPr>
            <w:noProof/>
            <w:webHidden/>
          </w:rPr>
          <w:fldChar w:fldCharType="begin"/>
        </w:r>
        <w:r>
          <w:rPr>
            <w:noProof/>
            <w:webHidden/>
          </w:rPr>
          <w:instrText xml:space="preserve"> PAGEREF _Toc210138994 \h </w:instrText>
        </w:r>
        <w:r>
          <w:rPr>
            <w:noProof/>
            <w:webHidden/>
          </w:rPr>
        </w:r>
        <w:r>
          <w:rPr>
            <w:noProof/>
            <w:webHidden/>
          </w:rPr>
          <w:fldChar w:fldCharType="separate"/>
        </w:r>
        <w:r>
          <w:rPr>
            <w:noProof/>
            <w:webHidden/>
          </w:rPr>
          <w:t>22</w:t>
        </w:r>
        <w:r>
          <w:rPr>
            <w:noProof/>
            <w:webHidden/>
          </w:rPr>
          <w:fldChar w:fldCharType="end"/>
        </w:r>
      </w:hyperlink>
    </w:p>
    <w:p w14:paraId="60EC9C2B" w14:textId="736E191D" w:rsidR="00257073" w:rsidRDefault="00257073">
      <w:pPr>
        <w:pStyle w:val="TOC2"/>
        <w:rPr>
          <w:rFonts w:asciiTheme="minorHAnsi" w:eastAsiaTheme="minorEastAsia" w:hAnsiTheme="minorHAnsi"/>
          <w:kern w:val="2"/>
          <w:sz w:val="24"/>
          <w:szCs w:val="24"/>
          <w14:ligatures w14:val="standardContextual"/>
        </w:rPr>
      </w:pPr>
      <w:hyperlink w:anchor="_Toc210138995" w:history="1">
        <w:r w:rsidRPr="00DE22C7">
          <w:rPr>
            <w:rStyle w:val="Hyperlink"/>
            <w:rFonts w:ascii="Nunito Sans Black" w:hAnsi="Nunito Sans Black"/>
            <w:noProof/>
          </w:rPr>
          <w:t>Appendix 1: Sign-Off Template</w:t>
        </w:r>
        <w:r>
          <w:rPr>
            <w:noProof/>
            <w:webHidden/>
          </w:rPr>
          <w:tab/>
        </w:r>
        <w:r>
          <w:rPr>
            <w:noProof/>
            <w:webHidden/>
          </w:rPr>
          <w:fldChar w:fldCharType="begin"/>
        </w:r>
        <w:r>
          <w:rPr>
            <w:noProof/>
            <w:webHidden/>
          </w:rPr>
          <w:instrText xml:space="preserve"> PAGEREF _Toc210138995 \h </w:instrText>
        </w:r>
        <w:r>
          <w:rPr>
            <w:noProof/>
            <w:webHidden/>
          </w:rPr>
        </w:r>
        <w:r>
          <w:rPr>
            <w:noProof/>
            <w:webHidden/>
          </w:rPr>
          <w:fldChar w:fldCharType="separate"/>
        </w:r>
        <w:r>
          <w:rPr>
            <w:noProof/>
            <w:webHidden/>
          </w:rPr>
          <w:t>22</w:t>
        </w:r>
        <w:r>
          <w:rPr>
            <w:noProof/>
            <w:webHidden/>
          </w:rPr>
          <w:fldChar w:fldCharType="end"/>
        </w:r>
      </w:hyperlink>
    </w:p>
    <w:p w14:paraId="70301774" w14:textId="113F41EF" w:rsidR="00257073" w:rsidRDefault="00257073">
      <w:pPr>
        <w:pStyle w:val="TOC1"/>
        <w:rPr>
          <w:rFonts w:asciiTheme="minorHAnsi" w:eastAsiaTheme="minorEastAsia" w:hAnsiTheme="minorHAnsi"/>
          <w:kern w:val="2"/>
          <w:sz w:val="24"/>
          <w:szCs w:val="24"/>
          <w14:ligatures w14:val="standardContextual"/>
        </w:rPr>
      </w:pPr>
      <w:hyperlink w:anchor="_Toc210138996" w:history="1">
        <w:r w:rsidRPr="00DE22C7">
          <w:rPr>
            <w:rStyle w:val="Hyperlink"/>
            <w:noProof/>
          </w:rPr>
          <w:t>11</w:t>
        </w:r>
        <w:r>
          <w:rPr>
            <w:rFonts w:asciiTheme="minorHAnsi" w:eastAsiaTheme="minorEastAsia" w:hAnsiTheme="minorHAnsi"/>
            <w:kern w:val="2"/>
            <w:sz w:val="24"/>
            <w:szCs w:val="24"/>
            <w14:ligatures w14:val="standardContextual"/>
          </w:rPr>
          <w:tab/>
        </w:r>
        <w:r w:rsidRPr="00DE22C7">
          <w:rPr>
            <w:rStyle w:val="Hyperlink"/>
            <w:rFonts w:ascii="Nunito Sans Black" w:hAnsi="Nunito Sans Black"/>
            <w:noProof/>
          </w:rPr>
          <w:t>APPROVAL</w:t>
        </w:r>
        <w:r>
          <w:rPr>
            <w:noProof/>
            <w:webHidden/>
          </w:rPr>
          <w:tab/>
        </w:r>
        <w:r>
          <w:rPr>
            <w:noProof/>
            <w:webHidden/>
          </w:rPr>
          <w:fldChar w:fldCharType="begin"/>
        </w:r>
        <w:r>
          <w:rPr>
            <w:noProof/>
            <w:webHidden/>
          </w:rPr>
          <w:instrText xml:space="preserve"> PAGEREF _Toc210138996 \h </w:instrText>
        </w:r>
        <w:r>
          <w:rPr>
            <w:noProof/>
            <w:webHidden/>
          </w:rPr>
        </w:r>
        <w:r>
          <w:rPr>
            <w:noProof/>
            <w:webHidden/>
          </w:rPr>
          <w:fldChar w:fldCharType="separate"/>
        </w:r>
        <w:r>
          <w:rPr>
            <w:noProof/>
            <w:webHidden/>
          </w:rPr>
          <w:t>23</w:t>
        </w:r>
        <w:r>
          <w:rPr>
            <w:noProof/>
            <w:webHidden/>
          </w:rPr>
          <w:fldChar w:fldCharType="end"/>
        </w:r>
      </w:hyperlink>
    </w:p>
    <w:p w14:paraId="39EB737E" w14:textId="0000A452" w:rsidR="00B758AF" w:rsidRPr="00C26087" w:rsidRDefault="005163F4" w:rsidP="006038E5">
      <w:pPr>
        <w:spacing w:after="160" w:line="259" w:lineRule="auto"/>
        <w:ind w:right="0"/>
      </w:pPr>
      <w:r w:rsidRPr="00C26087">
        <w:fldChar w:fldCharType="end"/>
      </w:r>
    </w:p>
    <w:p w14:paraId="455FBC26" w14:textId="77777777" w:rsidR="00B758AF" w:rsidRPr="00C26087" w:rsidRDefault="00B758AF" w:rsidP="006038E5">
      <w:pPr>
        <w:spacing w:after="160" w:line="259" w:lineRule="auto"/>
        <w:ind w:right="0"/>
      </w:pPr>
    </w:p>
    <w:p w14:paraId="22C1D586" w14:textId="77777777" w:rsidR="00695542" w:rsidRPr="006F03C9" w:rsidRDefault="00695542">
      <w:pPr>
        <w:spacing w:after="160" w:line="259" w:lineRule="auto"/>
        <w:ind w:right="0"/>
      </w:pPr>
      <w:r w:rsidRPr="006F03C9">
        <w:br w:type="page"/>
      </w:r>
    </w:p>
    <w:p w14:paraId="1A8091DE" w14:textId="5F8F97DD" w:rsidR="00B758AF" w:rsidRPr="006F03C9" w:rsidRDefault="00695542" w:rsidP="00695542">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sz="6" w:space="0" w:color="0137A6"/>
          <w:bottom w:val="single" w:sz="6" w:space="0" w:color="0137A6"/>
          <w:insideH w:val="single" w:sz="6" w:space="0" w:color="0137A6"/>
        </w:tblBorders>
        <w:tblCellMar>
          <w:top w:w="83" w:type="dxa"/>
          <w:right w:w="167" w:type="dxa"/>
        </w:tblCellMar>
        <w:tblLook w:val="04A0" w:firstRow="1" w:lastRow="0" w:firstColumn="1" w:lastColumn="0" w:noHBand="0" w:noVBand="1"/>
      </w:tblPr>
      <w:tblGrid>
        <w:gridCol w:w="2047"/>
        <w:gridCol w:w="8751"/>
      </w:tblGrid>
      <w:tr w:rsidR="00532DD8" w:rsidRPr="006F03C9" w14:paraId="77F26465" w14:textId="77777777">
        <w:trPr>
          <w:trHeight w:val="318"/>
        </w:trPr>
        <w:tc>
          <w:tcPr>
            <w:tcW w:w="948" w:type="pct"/>
            <w:shd w:val="clear" w:color="auto" w:fill="0137A6"/>
            <w:vAlign w:val="center"/>
          </w:tcPr>
          <w:p w14:paraId="79E7846F" w14:textId="77777777" w:rsidR="00532DD8" w:rsidRPr="00716ED7" w:rsidRDefault="00532DD8">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14:paraId="41D087B1" w14:textId="77777777" w:rsidR="00532DD8" w:rsidRPr="006F03C9" w:rsidRDefault="00532DD8">
            <w:pPr>
              <w:rPr>
                <w:rFonts w:ascii="Nunito Sans SemiBold" w:hAnsi="Nunito Sans SemiBold"/>
              </w:rPr>
            </w:pPr>
            <w:r w:rsidRPr="006F03C9">
              <w:rPr>
                <w:rFonts w:ascii="Nunito Sans SemiBold" w:hAnsi="Nunito Sans SemiBold"/>
                <w:b/>
                <w:color w:val="FFFFFF"/>
              </w:rPr>
              <w:t>DEFINITION</w:t>
            </w:r>
          </w:p>
        </w:tc>
      </w:tr>
      <w:tr w:rsidR="00256464" w:rsidRPr="006F03C9" w14:paraId="27C58BD7" w14:textId="77777777" w:rsidTr="00256464">
        <w:trPr>
          <w:trHeight w:val="318"/>
        </w:trPr>
        <w:tc>
          <w:tcPr>
            <w:tcW w:w="948" w:type="pct"/>
            <w:vAlign w:val="center"/>
          </w:tcPr>
          <w:p w14:paraId="0A42A0A6" w14:textId="409B5D2C" w:rsidR="00256464" w:rsidRPr="00256464" w:rsidRDefault="001B3273" w:rsidP="00256464">
            <w:pPr>
              <w:spacing w:line="259" w:lineRule="auto"/>
              <w:ind w:right="50"/>
              <w:jc w:val="right"/>
              <w:rPr>
                <w:rFonts w:ascii="Nunito Sans" w:hAnsi="Nunito Sans"/>
                <w:b/>
                <w:color w:val="0137A6"/>
                <w:szCs w:val="18"/>
              </w:rPr>
            </w:pPr>
            <w:r w:rsidRPr="00D72352">
              <w:rPr>
                <w:rFonts w:ascii="Nunito Sans" w:hAnsi="Nunito Sans"/>
                <w:b/>
                <w:color w:val="0137A6"/>
                <w:szCs w:val="18"/>
              </w:rPr>
              <w:t>Actuary</w:t>
            </w:r>
          </w:p>
        </w:tc>
        <w:tc>
          <w:tcPr>
            <w:tcW w:w="4052" w:type="pct"/>
            <w:vAlign w:val="center"/>
          </w:tcPr>
          <w:p w14:paraId="3919A46C" w14:textId="34912DEB" w:rsidR="00256464" w:rsidRPr="00256464" w:rsidRDefault="001B3273" w:rsidP="00256464">
            <w:pPr>
              <w:spacing w:line="259" w:lineRule="auto"/>
              <w:ind w:right="50"/>
              <w:rPr>
                <w:rFonts w:ascii="Nunito Sans" w:hAnsi="Nunito Sans"/>
                <w:szCs w:val="18"/>
              </w:rPr>
            </w:pPr>
            <w:r w:rsidRPr="001B3273">
              <w:rPr>
                <w:rFonts w:ascii="Nunito Sans" w:hAnsi="Nunito Sans"/>
                <w:szCs w:val="18"/>
              </w:rPr>
              <w:t>A Fellow of the IFoA/Society of Actuaries</w:t>
            </w:r>
          </w:p>
        </w:tc>
      </w:tr>
      <w:tr w:rsidR="00256464" w:rsidRPr="006F03C9" w14:paraId="557926C6" w14:textId="77777777" w:rsidTr="00256464">
        <w:trPr>
          <w:trHeight w:val="318"/>
        </w:trPr>
        <w:tc>
          <w:tcPr>
            <w:tcW w:w="948" w:type="pct"/>
            <w:vAlign w:val="center"/>
          </w:tcPr>
          <w:p w14:paraId="5BC47F7D" w14:textId="77777777" w:rsidR="00D72352" w:rsidRPr="00D72352" w:rsidRDefault="00D72352" w:rsidP="00D72352">
            <w:pPr>
              <w:spacing w:line="259" w:lineRule="auto"/>
              <w:ind w:right="50"/>
              <w:jc w:val="right"/>
              <w:rPr>
                <w:rFonts w:ascii="Nunito Sans" w:hAnsi="Nunito Sans"/>
                <w:b/>
                <w:color w:val="0137A6"/>
                <w:szCs w:val="18"/>
              </w:rPr>
            </w:pPr>
            <w:r w:rsidRPr="00D72352">
              <w:rPr>
                <w:rFonts w:ascii="Nunito Sans" w:hAnsi="Nunito Sans"/>
                <w:b/>
                <w:color w:val="0137A6"/>
                <w:szCs w:val="18"/>
              </w:rPr>
              <w:t xml:space="preserve">Actuarial Work </w:t>
            </w:r>
          </w:p>
          <w:p w14:paraId="4E6BE5AE" w14:textId="77777777" w:rsidR="00256464" w:rsidRPr="00256464" w:rsidRDefault="00256464" w:rsidP="00D72352">
            <w:pPr>
              <w:spacing w:line="259" w:lineRule="auto"/>
              <w:ind w:right="50"/>
              <w:jc w:val="right"/>
              <w:rPr>
                <w:rFonts w:ascii="Nunito Sans" w:hAnsi="Nunito Sans"/>
                <w:b/>
                <w:color w:val="0137A6"/>
                <w:szCs w:val="18"/>
              </w:rPr>
            </w:pPr>
          </w:p>
        </w:tc>
        <w:tc>
          <w:tcPr>
            <w:tcW w:w="4052" w:type="pct"/>
            <w:vAlign w:val="center"/>
          </w:tcPr>
          <w:p w14:paraId="1C572027" w14:textId="681FE2E9" w:rsidR="00256464" w:rsidRPr="00256464" w:rsidRDefault="00D72352" w:rsidP="00D72352">
            <w:pPr>
              <w:spacing w:line="259" w:lineRule="auto"/>
              <w:ind w:right="50"/>
              <w:rPr>
                <w:rFonts w:ascii="Nunito Sans" w:hAnsi="Nunito Sans"/>
                <w:szCs w:val="18"/>
              </w:rPr>
            </w:pPr>
            <w:r w:rsidRPr="00D72352">
              <w:rPr>
                <w:rFonts w:ascii="Nunito Sans" w:hAnsi="Nunito Sans"/>
                <w:szCs w:val="18"/>
              </w:rPr>
              <w:t>Work undertaken by a Member, or for which a Member is responsible, or in which a Member is involved, in their capacity as a person with actuarial skills on which the intended recipient of that work is entitled to rely. This may include carrying out calculations, modelling or the rendering of advice, recommendations, findings, or opinions</w:t>
            </w:r>
          </w:p>
        </w:tc>
      </w:tr>
      <w:tr w:rsidR="007C4C78" w:rsidRPr="006F03C9" w14:paraId="01AB7BA3" w14:textId="77777777">
        <w:trPr>
          <w:trHeight w:val="237"/>
        </w:trPr>
        <w:tc>
          <w:tcPr>
            <w:tcW w:w="948" w:type="pct"/>
          </w:tcPr>
          <w:p w14:paraId="2DACB817" w14:textId="375D2905"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BCL</w:t>
            </w:r>
          </w:p>
        </w:tc>
        <w:tc>
          <w:tcPr>
            <w:tcW w:w="4052" w:type="pct"/>
          </w:tcPr>
          <w:p w14:paraId="561F1668" w14:textId="0BFB6A5A" w:rsidR="007C4C78" w:rsidRPr="00FD34D4" w:rsidRDefault="00FD34D4" w:rsidP="007C4C78">
            <w:pPr>
              <w:ind w:left="36"/>
              <w:rPr>
                <w:rFonts w:ascii="Nunito Sans" w:hAnsi="Nunito Sans"/>
                <w:szCs w:val="18"/>
              </w:rPr>
            </w:pPr>
            <w:r w:rsidRPr="00FD34D4">
              <w:rPr>
                <w:rFonts w:ascii="Nunito Sans" w:hAnsi="Nunito Sans"/>
                <w:szCs w:val="18"/>
              </w:rPr>
              <w:t>Basic Chain Ladder</w:t>
            </w:r>
          </w:p>
        </w:tc>
      </w:tr>
      <w:tr w:rsidR="007C4C78" w:rsidRPr="006F03C9" w14:paraId="2BD57E39" w14:textId="77777777">
        <w:trPr>
          <w:trHeight w:val="237"/>
        </w:trPr>
        <w:tc>
          <w:tcPr>
            <w:tcW w:w="948" w:type="pct"/>
          </w:tcPr>
          <w:p w14:paraId="185DBA37" w14:textId="472BC7C0"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BF</w:t>
            </w:r>
          </w:p>
        </w:tc>
        <w:tc>
          <w:tcPr>
            <w:tcW w:w="4052" w:type="pct"/>
          </w:tcPr>
          <w:p w14:paraId="5EBDA0FA" w14:textId="759AEE68" w:rsidR="007C4C78" w:rsidRPr="00FD34D4" w:rsidRDefault="00FD34D4" w:rsidP="007C4C78">
            <w:pPr>
              <w:ind w:left="36"/>
              <w:rPr>
                <w:rFonts w:ascii="Nunito Sans" w:hAnsi="Nunito Sans"/>
                <w:szCs w:val="18"/>
              </w:rPr>
            </w:pPr>
            <w:r w:rsidRPr="00FD34D4">
              <w:rPr>
                <w:rFonts w:ascii="Nunito Sans" w:hAnsi="Nunito Sans"/>
                <w:szCs w:val="18"/>
              </w:rPr>
              <w:t>Bornhuetter Ferguson</w:t>
            </w:r>
          </w:p>
        </w:tc>
      </w:tr>
      <w:tr w:rsidR="007C4C78" w:rsidRPr="006F03C9" w14:paraId="62A2AD3E" w14:textId="77777777">
        <w:trPr>
          <w:trHeight w:val="237"/>
        </w:trPr>
        <w:tc>
          <w:tcPr>
            <w:tcW w:w="948" w:type="pct"/>
            <w:shd w:val="clear" w:color="auto" w:fill="FFFFFF"/>
          </w:tcPr>
          <w:p w14:paraId="2F876ED0" w14:textId="53B90DEE"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GEP</w:t>
            </w:r>
          </w:p>
        </w:tc>
        <w:tc>
          <w:tcPr>
            <w:tcW w:w="4052" w:type="pct"/>
            <w:shd w:val="clear" w:color="auto" w:fill="FFFFFF"/>
          </w:tcPr>
          <w:p w14:paraId="79B2FD0C" w14:textId="7D5850EE"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Gross Earned Premium</w:t>
            </w:r>
          </w:p>
        </w:tc>
      </w:tr>
      <w:tr w:rsidR="007C4C78" w:rsidRPr="006F03C9" w14:paraId="54023E44" w14:textId="77777777">
        <w:trPr>
          <w:trHeight w:val="237"/>
        </w:trPr>
        <w:tc>
          <w:tcPr>
            <w:tcW w:w="948" w:type="pct"/>
          </w:tcPr>
          <w:p w14:paraId="48B9E9BF" w14:textId="4025A2C3"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IBNER</w:t>
            </w:r>
          </w:p>
        </w:tc>
        <w:tc>
          <w:tcPr>
            <w:tcW w:w="4052" w:type="pct"/>
          </w:tcPr>
          <w:p w14:paraId="1F49244C" w14:textId="7EE1E6AE"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Incurred But Not Enough Reported</w:t>
            </w:r>
          </w:p>
        </w:tc>
      </w:tr>
      <w:tr w:rsidR="007C4C78" w:rsidRPr="006F03C9" w14:paraId="202858B8" w14:textId="77777777">
        <w:trPr>
          <w:trHeight w:val="237"/>
        </w:trPr>
        <w:tc>
          <w:tcPr>
            <w:tcW w:w="948" w:type="pct"/>
            <w:shd w:val="clear" w:color="auto" w:fill="FFFFFF"/>
          </w:tcPr>
          <w:p w14:paraId="2585AC25" w14:textId="3B5BAB3B"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IBNR</w:t>
            </w:r>
          </w:p>
        </w:tc>
        <w:tc>
          <w:tcPr>
            <w:tcW w:w="4052" w:type="pct"/>
            <w:shd w:val="clear" w:color="auto" w:fill="FFFFFF"/>
          </w:tcPr>
          <w:p w14:paraId="1429BC45" w14:textId="46C4C063"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Incurred But Not Reported</w:t>
            </w:r>
          </w:p>
        </w:tc>
      </w:tr>
      <w:tr w:rsidR="007C4C78" w:rsidRPr="006F03C9" w14:paraId="7B9E989C" w14:textId="77777777">
        <w:trPr>
          <w:trHeight w:val="237"/>
        </w:trPr>
        <w:tc>
          <w:tcPr>
            <w:tcW w:w="948" w:type="pct"/>
          </w:tcPr>
          <w:p w14:paraId="793DA272" w14:textId="05157A86"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IRA</w:t>
            </w:r>
          </w:p>
        </w:tc>
        <w:tc>
          <w:tcPr>
            <w:tcW w:w="4052" w:type="pct"/>
          </w:tcPr>
          <w:p w14:paraId="4C8DEBDF" w14:textId="240A1104"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Insurance Regulatory Authority</w:t>
            </w:r>
          </w:p>
        </w:tc>
      </w:tr>
      <w:tr w:rsidR="007C4C78" w:rsidRPr="006F03C9" w14:paraId="1CC662A1" w14:textId="77777777">
        <w:trPr>
          <w:trHeight w:val="237"/>
        </w:trPr>
        <w:tc>
          <w:tcPr>
            <w:tcW w:w="948" w:type="pct"/>
          </w:tcPr>
          <w:p w14:paraId="5A4B605D" w14:textId="313B91FB"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KAFS</w:t>
            </w:r>
          </w:p>
        </w:tc>
        <w:tc>
          <w:tcPr>
            <w:tcW w:w="4052" w:type="pct"/>
          </w:tcPr>
          <w:p w14:paraId="18BCC460" w14:textId="555C279E"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Kenbright Actuarial &amp; Financial Services Limited</w:t>
            </w:r>
          </w:p>
        </w:tc>
      </w:tr>
      <w:tr w:rsidR="007C4C78" w:rsidRPr="006F03C9" w14:paraId="3889A78A" w14:textId="77777777">
        <w:trPr>
          <w:trHeight w:val="237"/>
        </w:trPr>
        <w:tc>
          <w:tcPr>
            <w:tcW w:w="948" w:type="pct"/>
          </w:tcPr>
          <w:p w14:paraId="4F0DE9E7" w14:textId="4B68C5A5"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LC</w:t>
            </w:r>
          </w:p>
        </w:tc>
        <w:tc>
          <w:tcPr>
            <w:tcW w:w="4052" w:type="pct"/>
          </w:tcPr>
          <w:p w14:paraId="63D33448" w14:textId="0D731E57"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Loss Component</w:t>
            </w:r>
          </w:p>
        </w:tc>
      </w:tr>
      <w:tr w:rsidR="007C4C78" w:rsidRPr="006F03C9" w14:paraId="491E69A5" w14:textId="77777777">
        <w:trPr>
          <w:trHeight w:val="237"/>
        </w:trPr>
        <w:tc>
          <w:tcPr>
            <w:tcW w:w="948" w:type="pct"/>
          </w:tcPr>
          <w:p w14:paraId="0E0CA80B" w14:textId="145FA974"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LIC</w:t>
            </w:r>
          </w:p>
        </w:tc>
        <w:tc>
          <w:tcPr>
            <w:tcW w:w="4052" w:type="pct"/>
          </w:tcPr>
          <w:p w14:paraId="16976585" w14:textId="34F4834F"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Liability for Incurred Claims</w:t>
            </w:r>
          </w:p>
        </w:tc>
      </w:tr>
      <w:tr w:rsidR="007C4C78" w:rsidRPr="006F03C9" w14:paraId="660B6567" w14:textId="77777777">
        <w:trPr>
          <w:trHeight w:val="237"/>
        </w:trPr>
        <w:tc>
          <w:tcPr>
            <w:tcW w:w="948" w:type="pct"/>
          </w:tcPr>
          <w:p w14:paraId="23AFFF69" w14:textId="235E4212"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LRC</w:t>
            </w:r>
          </w:p>
        </w:tc>
        <w:tc>
          <w:tcPr>
            <w:tcW w:w="4052" w:type="pct"/>
          </w:tcPr>
          <w:p w14:paraId="31E62AF9" w14:textId="7219743E"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Liability for Remaining Coverage</w:t>
            </w:r>
          </w:p>
        </w:tc>
      </w:tr>
      <w:tr w:rsidR="00D72352" w:rsidRPr="006F03C9" w14:paraId="2C563131" w14:textId="77777777">
        <w:trPr>
          <w:trHeight w:val="237"/>
        </w:trPr>
        <w:tc>
          <w:tcPr>
            <w:tcW w:w="948" w:type="pct"/>
          </w:tcPr>
          <w:p w14:paraId="46501E31" w14:textId="1A385266" w:rsidR="00D72352" w:rsidRPr="00146F71" w:rsidRDefault="00146F71" w:rsidP="007C4C78">
            <w:pPr>
              <w:spacing w:line="259" w:lineRule="auto"/>
              <w:ind w:right="50"/>
              <w:jc w:val="right"/>
              <w:rPr>
                <w:rFonts w:ascii="Nunito Sans" w:hAnsi="Nunito Sans"/>
                <w:b/>
                <w:color w:val="0137A6"/>
                <w:szCs w:val="18"/>
              </w:rPr>
            </w:pPr>
            <w:r w:rsidRPr="00146F71">
              <w:rPr>
                <w:rFonts w:ascii="Nunito Sans" w:hAnsi="Nunito Sans"/>
                <w:b/>
                <w:color w:val="0137A6"/>
                <w:szCs w:val="18"/>
              </w:rPr>
              <w:t>Member</w:t>
            </w:r>
          </w:p>
        </w:tc>
        <w:tc>
          <w:tcPr>
            <w:tcW w:w="4052" w:type="pct"/>
          </w:tcPr>
          <w:p w14:paraId="0AA30DD4" w14:textId="2EB5BCB2" w:rsidR="00D72352" w:rsidRPr="00FD34D4" w:rsidRDefault="00B364B0" w:rsidP="007C4C78">
            <w:pPr>
              <w:spacing w:line="259" w:lineRule="auto"/>
              <w:ind w:right="50"/>
              <w:rPr>
                <w:szCs w:val="18"/>
              </w:rPr>
            </w:pPr>
            <w:r w:rsidRPr="00B364B0">
              <w:rPr>
                <w:szCs w:val="18"/>
              </w:rPr>
              <w:t>A member, of any category, of the IFoA or any other acknowledged actuarial professional body</w:t>
            </w:r>
          </w:p>
        </w:tc>
      </w:tr>
      <w:tr w:rsidR="007C4C78" w:rsidRPr="006F03C9" w14:paraId="2A7F047B" w14:textId="77777777">
        <w:trPr>
          <w:trHeight w:val="237"/>
        </w:trPr>
        <w:tc>
          <w:tcPr>
            <w:tcW w:w="948" w:type="pct"/>
          </w:tcPr>
          <w:p w14:paraId="34303E9B" w14:textId="3177D26D"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NSE</w:t>
            </w:r>
          </w:p>
        </w:tc>
        <w:tc>
          <w:tcPr>
            <w:tcW w:w="4052" w:type="pct"/>
          </w:tcPr>
          <w:p w14:paraId="39DE9175" w14:textId="5CD07397" w:rsidR="007C4C78" w:rsidRPr="00FD34D4" w:rsidRDefault="00FD34D4" w:rsidP="007C4C78">
            <w:pPr>
              <w:spacing w:line="259" w:lineRule="auto"/>
              <w:ind w:right="50"/>
              <w:rPr>
                <w:rFonts w:ascii="Nunito Sans" w:hAnsi="Nunito Sans"/>
                <w:szCs w:val="18"/>
              </w:rPr>
            </w:pPr>
            <w:r w:rsidRPr="00FD34D4">
              <w:rPr>
                <w:rFonts w:ascii="Nunito Sans" w:hAnsi="Nunito Sans"/>
                <w:szCs w:val="18"/>
              </w:rPr>
              <w:t>Nairobi Securities Exchange</w:t>
            </w:r>
          </w:p>
        </w:tc>
      </w:tr>
      <w:tr w:rsidR="00FD34D4" w:rsidRPr="006F03C9" w14:paraId="175CC442" w14:textId="77777777">
        <w:trPr>
          <w:trHeight w:val="237"/>
        </w:trPr>
        <w:tc>
          <w:tcPr>
            <w:tcW w:w="948" w:type="pct"/>
          </w:tcPr>
          <w:p w14:paraId="2E816C32" w14:textId="43EF5972" w:rsidR="00FD34D4" w:rsidRPr="00FD34D4" w:rsidRDefault="00FD34D4" w:rsidP="00FD34D4">
            <w:pPr>
              <w:spacing w:line="259" w:lineRule="auto"/>
              <w:ind w:right="50"/>
              <w:jc w:val="right"/>
              <w:rPr>
                <w:rFonts w:ascii="Nunito Sans" w:hAnsi="Nunito Sans"/>
                <w:b/>
                <w:color w:val="0137A6"/>
                <w:szCs w:val="18"/>
              </w:rPr>
            </w:pPr>
            <w:r w:rsidRPr="00FD34D4">
              <w:rPr>
                <w:rFonts w:ascii="Nunito Sans" w:hAnsi="Nunito Sans"/>
                <w:b/>
                <w:color w:val="0137A6"/>
                <w:szCs w:val="18"/>
              </w:rPr>
              <w:t>OCR</w:t>
            </w:r>
          </w:p>
        </w:tc>
        <w:tc>
          <w:tcPr>
            <w:tcW w:w="4052" w:type="pct"/>
          </w:tcPr>
          <w:p w14:paraId="36207CB4" w14:textId="50475257" w:rsidR="00FD34D4" w:rsidRPr="00FD34D4" w:rsidRDefault="00FD34D4" w:rsidP="00FD34D4">
            <w:pPr>
              <w:spacing w:line="259" w:lineRule="auto"/>
              <w:ind w:right="50"/>
              <w:rPr>
                <w:rFonts w:ascii="Nunito Sans" w:hAnsi="Nunito Sans"/>
                <w:bCs/>
                <w:szCs w:val="18"/>
              </w:rPr>
            </w:pPr>
            <w:r w:rsidRPr="00FD34D4">
              <w:rPr>
                <w:rFonts w:ascii="Nunito Sans" w:hAnsi="Nunito Sans"/>
                <w:szCs w:val="18"/>
              </w:rPr>
              <w:t xml:space="preserve">Outstanding Claims Reserves </w:t>
            </w:r>
          </w:p>
        </w:tc>
      </w:tr>
      <w:tr w:rsidR="00FD34D4" w:rsidRPr="006F03C9" w14:paraId="25CD7CF1" w14:textId="77777777">
        <w:trPr>
          <w:trHeight w:val="237"/>
        </w:trPr>
        <w:tc>
          <w:tcPr>
            <w:tcW w:w="948" w:type="pct"/>
          </w:tcPr>
          <w:p w14:paraId="2B3361A0" w14:textId="5B2EAAF8" w:rsidR="00FD34D4" w:rsidRPr="00FD34D4" w:rsidRDefault="00FD34D4" w:rsidP="00FD34D4">
            <w:pPr>
              <w:spacing w:line="259" w:lineRule="auto"/>
              <w:ind w:right="50"/>
              <w:jc w:val="right"/>
              <w:rPr>
                <w:rFonts w:ascii="Nunito Sans" w:hAnsi="Nunito Sans"/>
                <w:b/>
                <w:color w:val="0137A6"/>
                <w:szCs w:val="18"/>
              </w:rPr>
            </w:pPr>
            <w:r w:rsidRPr="00FD34D4">
              <w:rPr>
                <w:rFonts w:ascii="Nunito Sans" w:hAnsi="Nunito Sans"/>
                <w:b/>
                <w:color w:val="0137A6"/>
                <w:szCs w:val="18"/>
              </w:rPr>
              <w:t>PAA</w:t>
            </w:r>
          </w:p>
        </w:tc>
        <w:tc>
          <w:tcPr>
            <w:tcW w:w="4052" w:type="pct"/>
          </w:tcPr>
          <w:p w14:paraId="6D350353" w14:textId="2861E45B" w:rsidR="00FD34D4" w:rsidRPr="00FD34D4" w:rsidRDefault="00FD34D4" w:rsidP="00FD34D4">
            <w:pPr>
              <w:spacing w:line="259" w:lineRule="auto"/>
              <w:ind w:right="50"/>
              <w:rPr>
                <w:rFonts w:ascii="Nunito Sans" w:hAnsi="Nunito Sans"/>
                <w:bCs/>
                <w:szCs w:val="18"/>
              </w:rPr>
            </w:pPr>
            <w:r w:rsidRPr="00FD34D4">
              <w:rPr>
                <w:rFonts w:ascii="Nunito Sans" w:hAnsi="Nunito Sans"/>
                <w:szCs w:val="18"/>
              </w:rPr>
              <w:t>Premium Allocation Approach</w:t>
            </w:r>
          </w:p>
        </w:tc>
      </w:tr>
      <w:tr w:rsidR="00FD34D4" w:rsidRPr="006F03C9" w14:paraId="0E23D01D" w14:textId="77777777">
        <w:trPr>
          <w:trHeight w:val="237"/>
        </w:trPr>
        <w:tc>
          <w:tcPr>
            <w:tcW w:w="948" w:type="pct"/>
          </w:tcPr>
          <w:p w14:paraId="298957C0" w14:textId="4E823EFD" w:rsidR="00FD34D4" w:rsidRPr="00FD34D4" w:rsidRDefault="00FD34D4" w:rsidP="00FD34D4">
            <w:pPr>
              <w:spacing w:line="259" w:lineRule="auto"/>
              <w:ind w:right="50"/>
              <w:jc w:val="right"/>
              <w:rPr>
                <w:rFonts w:ascii="Nunito Sans" w:hAnsi="Nunito Sans"/>
                <w:b/>
                <w:color w:val="0137A6"/>
                <w:szCs w:val="18"/>
              </w:rPr>
            </w:pPr>
            <w:r w:rsidRPr="00FD34D4">
              <w:rPr>
                <w:rFonts w:ascii="Nunito Sans" w:hAnsi="Nunito Sans"/>
                <w:b/>
                <w:color w:val="0137A6"/>
                <w:szCs w:val="18"/>
              </w:rPr>
              <w:t>RA</w:t>
            </w:r>
          </w:p>
        </w:tc>
        <w:tc>
          <w:tcPr>
            <w:tcW w:w="4052" w:type="pct"/>
          </w:tcPr>
          <w:p w14:paraId="14F82157" w14:textId="75B75822" w:rsidR="00FD34D4" w:rsidRPr="00FD34D4" w:rsidRDefault="00FD34D4" w:rsidP="00FD34D4">
            <w:pPr>
              <w:spacing w:line="259" w:lineRule="auto"/>
              <w:ind w:right="50"/>
              <w:rPr>
                <w:rFonts w:ascii="Nunito Sans" w:hAnsi="Nunito Sans"/>
                <w:bCs/>
                <w:szCs w:val="18"/>
              </w:rPr>
            </w:pPr>
            <w:r w:rsidRPr="00FD34D4">
              <w:rPr>
                <w:rFonts w:ascii="Nunito Sans" w:hAnsi="Nunito Sans"/>
                <w:szCs w:val="18"/>
              </w:rPr>
              <w:t>Risk Adjustment</w:t>
            </w:r>
          </w:p>
        </w:tc>
      </w:tr>
      <w:tr w:rsidR="00FD34D4" w:rsidRPr="006F03C9" w14:paraId="0E961676" w14:textId="77777777">
        <w:trPr>
          <w:trHeight w:val="237"/>
        </w:trPr>
        <w:tc>
          <w:tcPr>
            <w:tcW w:w="948" w:type="pct"/>
          </w:tcPr>
          <w:p w14:paraId="1F45C4AF" w14:textId="15BD0398" w:rsidR="00FD34D4" w:rsidRPr="00FD34D4" w:rsidRDefault="00FD34D4" w:rsidP="00FD34D4">
            <w:pPr>
              <w:spacing w:line="259" w:lineRule="auto"/>
              <w:ind w:right="50"/>
              <w:jc w:val="right"/>
              <w:rPr>
                <w:rFonts w:ascii="Nunito Sans" w:hAnsi="Nunito Sans"/>
                <w:b/>
                <w:color w:val="0137A6"/>
                <w:szCs w:val="18"/>
              </w:rPr>
            </w:pPr>
            <w:r w:rsidRPr="00FD34D4">
              <w:rPr>
                <w:rFonts w:ascii="Nunito Sans" w:hAnsi="Nunito Sans"/>
                <w:b/>
                <w:color w:val="0137A6"/>
                <w:szCs w:val="18"/>
              </w:rPr>
              <w:t>ULAE</w:t>
            </w:r>
          </w:p>
        </w:tc>
        <w:tc>
          <w:tcPr>
            <w:tcW w:w="4052" w:type="pct"/>
          </w:tcPr>
          <w:p w14:paraId="529739ED" w14:textId="0F3F9FC9" w:rsidR="00FD34D4" w:rsidRPr="00FD34D4" w:rsidRDefault="00FD34D4" w:rsidP="00FD34D4">
            <w:pPr>
              <w:spacing w:line="259" w:lineRule="auto"/>
              <w:ind w:right="50"/>
              <w:rPr>
                <w:rFonts w:ascii="Nunito Sans" w:hAnsi="Nunito Sans"/>
                <w:bCs/>
                <w:szCs w:val="18"/>
              </w:rPr>
            </w:pPr>
            <w:r w:rsidRPr="00FD34D4">
              <w:rPr>
                <w:rFonts w:ascii="Nunito Sans" w:hAnsi="Nunito Sans"/>
                <w:szCs w:val="18"/>
              </w:rPr>
              <w:t>Unallocated Loss Adjustment Expenses</w:t>
            </w:r>
          </w:p>
        </w:tc>
      </w:tr>
      <w:tr w:rsidR="00FD34D4" w:rsidRPr="006F03C9" w14:paraId="7835EFF4" w14:textId="77777777">
        <w:trPr>
          <w:trHeight w:val="237"/>
        </w:trPr>
        <w:tc>
          <w:tcPr>
            <w:tcW w:w="948" w:type="pct"/>
          </w:tcPr>
          <w:p w14:paraId="01BA837F" w14:textId="16E19307" w:rsidR="00FD34D4" w:rsidRPr="00FD34D4" w:rsidRDefault="00FD34D4" w:rsidP="00FD34D4">
            <w:pPr>
              <w:spacing w:line="259" w:lineRule="auto"/>
              <w:ind w:right="50"/>
              <w:jc w:val="right"/>
              <w:rPr>
                <w:rFonts w:ascii="Nunito Sans" w:hAnsi="Nunito Sans"/>
                <w:b/>
                <w:color w:val="0137A6"/>
                <w:szCs w:val="18"/>
              </w:rPr>
            </w:pPr>
            <w:r w:rsidRPr="00FD34D4">
              <w:rPr>
                <w:rFonts w:ascii="Nunito Sans" w:hAnsi="Nunito Sans"/>
                <w:b/>
                <w:color w:val="0137A6"/>
                <w:szCs w:val="18"/>
              </w:rPr>
              <w:t>UPR</w:t>
            </w:r>
          </w:p>
        </w:tc>
        <w:tc>
          <w:tcPr>
            <w:tcW w:w="4052" w:type="pct"/>
          </w:tcPr>
          <w:p w14:paraId="6B535D7A" w14:textId="66D21F13" w:rsidR="00FD34D4" w:rsidRPr="00FD34D4" w:rsidRDefault="00FD34D4" w:rsidP="00FD34D4">
            <w:pPr>
              <w:spacing w:line="259" w:lineRule="auto"/>
              <w:ind w:right="50"/>
              <w:rPr>
                <w:rFonts w:ascii="Nunito Sans" w:hAnsi="Nunito Sans"/>
                <w:bCs/>
                <w:szCs w:val="18"/>
              </w:rPr>
            </w:pPr>
            <w:r w:rsidRPr="00FD34D4">
              <w:rPr>
                <w:rFonts w:ascii="Nunito Sans" w:hAnsi="Nunito Sans"/>
                <w:szCs w:val="18"/>
              </w:rPr>
              <w:t>Unearned Premium Reserves</w:t>
            </w:r>
          </w:p>
        </w:tc>
      </w:tr>
      <w:tr w:rsidR="007C4C78" w:rsidRPr="006F03C9" w14:paraId="3AD4D736" w14:textId="77777777">
        <w:trPr>
          <w:trHeight w:val="237"/>
        </w:trPr>
        <w:tc>
          <w:tcPr>
            <w:tcW w:w="948" w:type="pct"/>
            <w:shd w:val="clear" w:color="auto" w:fill="FFFFFF"/>
          </w:tcPr>
          <w:p w14:paraId="3ED7C74F" w14:textId="12510B69" w:rsidR="007C4C78" w:rsidRPr="00FD34D4" w:rsidRDefault="007C4C78" w:rsidP="007C4C78">
            <w:pPr>
              <w:spacing w:line="259" w:lineRule="auto"/>
              <w:ind w:right="50"/>
              <w:jc w:val="right"/>
              <w:rPr>
                <w:rFonts w:ascii="Nunito Sans" w:hAnsi="Nunito Sans"/>
                <w:b/>
                <w:color w:val="0137A6"/>
                <w:spacing w:val="-5"/>
                <w:szCs w:val="18"/>
              </w:rPr>
            </w:pPr>
            <w:r w:rsidRPr="00FD34D4">
              <w:rPr>
                <w:rFonts w:ascii="Nunito Sans" w:hAnsi="Nunito Sans"/>
                <w:b/>
                <w:color w:val="0137A6"/>
                <w:spacing w:val="-5"/>
                <w:szCs w:val="18"/>
              </w:rPr>
              <w:t>TAS</w:t>
            </w:r>
          </w:p>
        </w:tc>
        <w:tc>
          <w:tcPr>
            <w:tcW w:w="4052" w:type="pct"/>
            <w:shd w:val="clear" w:color="auto" w:fill="FFFFFF"/>
          </w:tcPr>
          <w:p w14:paraId="7705F6AA" w14:textId="4A2F77FC" w:rsidR="007C4C78" w:rsidRPr="00FD34D4" w:rsidRDefault="007C4C78" w:rsidP="007C4C78">
            <w:pPr>
              <w:spacing w:line="259" w:lineRule="auto"/>
              <w:ind w:right="50"/>
              <w:rPr>
                <w:rFonts w:ascii="Nunito Sans" w:hAnsi="Nunito Sans"/>
                <w:szCs w:val="18"/>
              </w:rPr>
            </w:pPr>
            <w:r w:rsidRPr="00FD34D4">
              <w:rPr>
                <w:rFonts w:ascii="Nunito Sans" w:hAnsi="Nunito Sans"/>
                <w:szCs w:val="18"/>
              </w:rPr>
              <w:t>Technical</w:t>
            </w:r>
            <w:r w:rsidRPr="00FD34D4">
              <w:rPr>
                <w:rFonts w:ascii="Nunito Sans" w:hAnsi="Nunito Sans"/>
                <w:spacing w:val="-5"/>
                <w:szCs w:val="18"/>
              </w:rPr>
              <w:t xml:space="preserve"> </w:t>
            </w:r>
            <w:r w:rsidRPr="00FD34D4">
              <w:rPr>
                <w:rFonts w:ascii="Nunito Sans" w:hAnsi="Nunito Sans"/>
                <w:szCs w:val="18"/>
              </w:rPr>
              <w:t>Actuarial</w:t>
            </w:r>
            <w:r w:rsidRPr="00FD34D4">
              <w:rPr>
                <w:rFonts w:ascii="Nunito Sans" w:hAnsi="Nunito Sans"/>
                <w:spacing w:val="-5"/>
                <w:szCs w:val="18"/>
              </w:rPr>
              <w:t xml:space="preserve"> </w:t>
            </w:r>
            <w:r w:rsidRPr="00FD34D4">
              <w:rPr>
                <w:rFonts w:ascii="Nunito Sans" w:hAnsi="Nunito Sans"/>
                <w:spacing w:val="-2"/>
                <w:szCs w:val="18"/>
              </w:rPr>
              <w:t>Standards</w:t>
            </w:r>
          </w:p>
        </w:tc>
      </w:tr>
      <w:tr w:rsidR="007C4C78" w:rsidRPr="006F03C9" w14:paraId="4982CD82" w14:textId="77777777">
        <w:trPr>
          <w:trHeight w:val="237"/>
        </w:trPr>
        <w:tc>
          <w:tcPr>
            <w:tcW w:w="948" w:type="pct"/>
            <w:shd w:val="clear" w:color="auto" w:fill="FFFFFF"/>
          </w:tcPr>
          <w:p w14:paraId="14D6C60E" w14:textId="3A12D915" w:rsidR="007C4C78" w:rsidRPr="00FD34D4" w:rsidRDefault="007C4C78" w:rsidP="007C4C78">
            <w:pPr>
              <w:spacing w:line="259" w:lineRule="auto"/>
              <w:ind w:right="50"/>
              <w:jc w:val="right"/>
              <w:rPr>
                <w:rFonts w:ascii="Nunito Sans" w:hAnsi="Nunito Sans"/>
                <w:b/>
                <w:color w:val="0137A6"/>
                <w:spacing w:val="-5"/>
                <w:szCs w:val="18"/>
              </w:rPr>
            </w:pPr>
            <w:r w:rsidRPr="00FD34D4">
              <w:rPr>
                <w:rFonts w:ascii="Nunito Sans" w:hAnsi="Nunito Sans"/>
                <w:b/>
                <w:color w:val="0137A6"/>
                <w:spacing w:val="-5"/>
                <w:szCs w:val="18"/>
              </w:rPr>
              <w:t>UPR</w:t>
            </w:r>
          </w:p>
        </w:tc>
        <w:tc>
          <w:tcPr>
            <w:tcW w:w="4052" w:type="pct"/>
            <w:shd w:val="clear" w:color="auto" w:fill="FFFFFF"/>
          </w:tcPr>
          <w:p w14:paraId="0E78C0A2" w14:textId="001EC0D7" w:rsidR="007C4C78" w:rsidRPr="00FD34D4" w:rsidRDefault="007C4C78" w:rsidP="007C4C78">
            <w:pPr>
              <w:spacing w:line="259" w:lineRule="auto"/>
              <w:ind w:right="50"/>
              <w:rPr>
                <w:rFonts w:ascii="Nunito Sans" w:hAnsi="Nunito Sans"/>
                <w:szCs w:val="18"/>
              </w:rPr>
            </w:pPr>
            <w:r w:rsidRPr="00FD34D4">
              <w:rPr>
                <w:rFonts w:ascii="Nunito Sans" w:hAnsi="Nunito Sans"/>
                <w:szCs w:val="18"/>
              </w:rPr>
              <w:t>Unearned</w:t>
            </w:r>
            <w:r w:rsidRPr="00FD34D4">
              <w:rPr>
                <w:rFonts w:ascii="Nunito Sans" w:hAnsi="Nunito Sans"/>
                <w:spacing w:val="-8"/>
                <w:szCs w:val="18"/>
              </w:rPr>
              <w:t xml:space="preserve"> </w:t>
            </w:r>
            <w:r w:rsidRPr="00FD34D4">
              <w:rPr>
                <w:rFonts w:ascii="Nunito Sans" w:hAnsi="Nunito Sans"/>
                <w:szCs w:val="18"/>
              </w:rPr>
              <w:t>Premium</w:t>
            </w:r>
            <w:r w:rsidRPr="00FD34D4">
              <w:rPr>
                <w:rFonts w:ascii="Nunito Sans" w:hAnsi="Nunito Sans"/>
                <w:spacing w:val="-7"/>
                <w:szCs w:val="18"/>
              </w:rPr>
              <w:t xml:space="preserve"> </w:t>
            </w:r>
            <w:r w:rsidRPr="00FD34D4">
              <w:rPr>
                <w:rFonts w:ascii="Nunito Sans" w:hAnsi="Nunito Sans"/>
                <w:spacing w:val="-2"/>
                <w:szCs w:val="18"/>
              </w:rPr>
              <w:t>Reserve</w:t>
            </w:r>
          </w:p>
        </w:tc>
      </w:tr>
      <w:tr w:rsidR="001C2738" w:rsidRPr="006F03C9" w14:paraId="48BF182C" w14:textId="77777777">
        <w:trPr>
          <w:trHeight w:val="237"/>
        </w:trPr>
        <w:tc>
          <w:tcPr>
            <w:tcW w:w="948" w:type="pct"/>
            <w:shd w:val="clear" w:color="auto" w:fill="FFFFFF"/>
          </w:tcPr>
          <w:p w14:paraId="140B71B1" w14:textId="4D0A24F9" w:rsidR="001C2738" w:rsidRPr="007A7FB1" w:rsidRDefault="007A7FB1" w:rsidP="007C4C78">
            <w:pPr>
              <w:spacing w:line="259" w:lineRule="auto"/>
              <w:ind w:right="50"/>
              <w:jc w:val="right"/>
              <w:rPr>
                <w:rFonts w:ascii="Nunito Sans" w:hAnsi="Nunito Sans"/>
                <w:b/>
                <w:color w:val="0137A6"/>
                <w:spacing w:val="-5"/>
                <w:szCs w:val="18"/>
              </w:rPr>
            </w:pPr>
            <w:r w:rsidRPr="007A7FB1">
              <w:rPr>
                <w:rFonts w:ascii="Nunito Sans" w:hAnsi="Nunito Sans"/>
                <w:b/>
                <w:color w:val="0137A6"/>
                <w:spacing w:val="-5"/>
                <w:szCs w:val="18"/>
              </w:rPr>
              <w:t>Valuation Date</w:t>
            </w:r>
          </w:p>
        </w:tc>
        <w:tc>
          <w:tcPr>
            <w:tcW w:w="4052" w:type="pct"/>
            <w:shd w:val="clear" w:color="auto" w:fill="FFFFFF"/>
          </w:tcPr>
          <w:p w14:paraId="1615432F" w14:textId="4D9E4D59" w:rsidR="001C2738" w:rsidRPr="00FD34D4" w:rsidRDefault="007A7FB1" w:rsidP="007C4C78">
            <w:pPr>
              <w:spacing w:line="259" w:lineRule="auto"/>
              <w:ind w:right="50"/>
              <w:rPr>
                <w:szCs w:val="18"/>
              </w:rPr>
            </w:pPr>
            <w:r w:rsidRPr="007A7FB1">
              <w:rPr>
                <w:szCs w:val="18"/>
              </w:rPr>
              <w:t>The date at which liabilities of an insurer are determined, e.g. final day of a quarter or financial year</w:t>
            </w:r>
          </w:p>
        </w:tc>
      </w:tr>
    </w:tbl>
    <w:p w14:paraId="387F182F" w14:textId="77777777" w:rsidR="00B758AF" w:rsidRPr="006F03C9" w:rsidRDefault="00B758AF" w:rsidP="006038E5">
      <w:pPr>
        <w:spacing w:after="160" w:line="259" w:lineRule="auto"/>
        <w:ind w:right="0"/>
      </w:pPr>
    </w:p>
    <w:p w14:paraId="7B9307E5" w14:textId="77777777" w:rsidR="00B758AF" w:rsidRPr="006F03C9" w:rsidRDefault="00B758AF" w:rsidP="006038E5">
      <w:pPr>
        <w:spacing w:after="160" w:line="259" w:lineRule="auto"/>
        <w:ind w:right="0"/>
      </w:pPr>
    </w:p>
    <w:p w14:paraId="1BDC92CC" w14:textId="1BBBBC73" w:rsidR="00B758AF" w:rsidRPr="006F03C9" w:rsidRDefault="00B758AF" w:rsidP="006038E5">
      <w:pPr>
        <w:spacing w:after="160" w:line="259" w:lineRule="auto"/>
        <w:ind w:right="0"/>
        <w:rPr>
          <w:sz w:val="14"/>
          <w:szCs w:val="14"/>
        </w:rPr>
      </w:pPr>
    </w:p>
    <w:p w14:paraId="09E2F6D9" w14:textId="77777777" w:rsidR="00CB2376" w:rsidRPr="006F03C9" w:rsidRDefault="00CB2376">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0FAF08F0" w14:textId="24580177" w:rsidR="00BA359A" w:rsidRPr="00257073" w:rsidRDefault="00BA359A" w:rsidP="00B01932">
      <w:pPr>
        <w:pStyle w:val="Heading1"/>
        <w:numPr>
          <w:ilvl w:val="0"/>
          <w:numId w:val="6"/>
        </w:numPr>
        <w:tabs>
          <w:tab w:val="num" w:pos="360"/>
        </w:tabs>
        <w:ind w:left="720" w:hanging="540"/>
        <w:rPr>
          <w:rFonts w:ascii="Nunito Sans Black" w:hAnsi="Nunito Sans Black"/>
        </w:rPr>
      </w:pPr>
      <w:bookmarkStart w:id="0" w:name="_Toc210138966"/>
      <w:r w:rsidRPr="00257073">
        <w:rPr>
          <w:rFonts w:ascii="Nunito Sans Black" w:hAnsi="Nunito Sans Black"/>
        </w:rPr>
        <w:lastRenderedPageBreak/>
        <w:t>INTRODUCTION</w:t>
      </w:r>
      <w:bookmarkEnd w:id="0"/>
    </w:p>
    <w:p w14:paraId="0E50C385" w14:textId="2BA58EC3" w:rsidR="00157846" w:rsidRDefault="00157846" w:rsidP="00451CA8">
      <w:pPr>
        <w:pStyle w:val="Heading2"/>
        <w:autoSpaceDE w:val="0"/>
        <w:autoSpaceDN w:val="0"/>
        <w:adjustRightInd w:val="0"/>
        <w:spacing w:line="240" w:lineRule="auto"/>
      </w:pPr>
      <w:bookmarkStart w:id="1" w:name="_Toc210138967"/>
      <w:r>
        <w:t xml:space="preserve">Background on Valuation of </w:t>
      </w:r>
      <w:r w:rsidR="004E7900">
        <w:t>Technical Liabilities</w:t>
      </w:r>
      <w:bookmarkEnd w:id="1"/>
    </w:p>
    <w:p w14:paraId="49090A21" w14:textId="77777777" w:rsidR="004E7900" w:rsidRDefault="004E7900" w:rsidP="004E7900">
      <w:pPr>
        <w:numPr>
          <w:ilvl w:val="1"/>
          <w:numId w:val="2"/>
        </w:numPr>
        <w:autoSpaceDE w:val="0"/>
        <w:autoSpaceDN w:val="0"/>
        <w:adjustRightInd w:val="0"/>
        <w:spacing w:before="240" w:after="240"/>
        <w:ind w:left="720" w:right="0" w:hanging="720"/>
        <w:jc w:val="both"/>
      </w:pPr>
      <w:r>
        <w:t xml:space="preserve">With the global adoption and implementation of the IFRS 17 Standard, the general insurance valuation procedures outlined below have been based on the Standard. </w:t>
      </w:r>
    </w:p>
    <w:p w14:paraId="7AD680EE" w14:textId="5BED1D24" w:rsidR="004E7900" w:rsidRDefault="004E7900" w:rsidP="004E7900">
      <w:pPr>
        <w:numPr>
          <w:ilvl w:val="1"/>
          <w:numId w:val="2"/>
        </w:numPr>
        <w:autoSpaceDE w:val="0"/>
        <w:autoSpaceDN w:val="0"/>
        <w:adjustRightInd w:val="0"/>
        <w:spacing w:before="240" w:after="240"/>
        <w:ind w:left="720" w:right="0" w:hanging="720"/>
        <w:jc w:val="both"/>
      </w:pPr>
      <w:r w:rsidRPr="00DF7EA7">
        <w:t xml:space="preserve">Insurance liabilities include both </w:t>
      </w:r>
      <w:r w:rsidR="000B3C58">
        <w:t xml:space="preserve">premium and claim liabilities which are recognized as </w:t>
      </w:r>
      <w:r>
        <w:t>Liability for Remaining Coverage</w:t>
      </w:r>
      <w:r w:rsidRPr="00DF7EA7">
        <w:t xml:space="preserve"> and </w:t>
      </w:r>
      <w:r>
        <w:t>the Liability for Incurred</w:t>
      </w:r>
      <w:r w:rsidRPr="00DF7EA7">
        <w:t xml:space="preserve"> Claims.</w:t>
      </w:r>
    </w:p>
    <w:p w14:paraId="121D2EB6" w14:textId="40EE4E90" w:rsidR="004E7900" w:rsidRDefault="004E7900" w:rsidP="004E7900">
      <w:pPr>
        <w:numPr>
          <w:ilvl w:val="1"/>
          <w:numId w:val="2"/>
        </w:numPr>
        <w:autoSpaceDE w:val="0"/>
        <w:autoSpaceDN w:val="0"/>
        <w:adjustRightInd w:val="0"/>
        <w:spacing w:before="240" w:after="240"/>
        <w:ind w:left="720" w:right="0" w:hanging="720"/>
        <w:jc w:val="both"/>
      </w:pPr>
      <w:r>
        <w:t>Under the IFRS 17 Standard, the</w:t>
      </w:r>
      <w:r w:rsidR="00BB589D">
        <w:t xml:space="preserve"> claim liabilities</w:t>
      </w:r>
      <w:r>
        <w:t xml:space="preserve"> are</w:t>
      </w:r>
      <w:r w:rsidR="00BB589D">
        <w:t xml:space="preserve"> as</w:t>
      </w:r>
      <w:r>
        <w:t xml:space="preserve"> identified below: </w:t>
      </w:r>
    </w:p>
    <w:p w14:paraId="29C8479E" w14:textId="77777777" w:rsidR="004E7900" w:rsidRPr="005956AF" w:rsidRDefault="004E7900" w:rsidP="004E7900">
      <w:pPr>
        <w:numPr>
          <w:ilvl w:val="1"/>
          <w:numId w:val="2"/>
        </w:numPr>
        <w:autoSpaceDE w:val="0"/>
        <w:autoSpaceDN w:val="0"/>
        <w:adjustRightInd w:val="0"/>
        <w:spacing w:before="200" w:after="200"/>
        <w:ind w:left="709" w:right="0" w:hanging="709"/>
        <w:jc w:val="both"/>
        <w:rPr>
          <w:bCs/>
          <w:szCs w:val="18"/>
        </w:rPr>
      </w:pPr>
      <w:r w:rsidRPr="005956AF">
        <w:rPr>
          <w:b/>
          <w:szCs w:val="18"/>
        </w:rPr>
        <w:t xml:space="preserve">Liability for Incurred Claims (LIC) – </w:t>
      </w:r>
      <w:r w:rsidRPr="005956AF">
        <w:rPr>
          <w:bCs/>
          <w:szCs w:val="18"/>
        </w:rPr>
        <w:t>mainly include claims incurred and reported prior to the valuation date but are yet to be settled and those which have been incurred but not yet reported. They include, among others:</w:t>
      </w:r>
    </w:p>
    <w:p w14:paraId="03704C2C" w14:textId="77777777" w:rsidR="004E7900" w:rsidRPr="005956AF" w:rsidRDefault="004E7900" w:rsidP="004E7900">
      <w:pPr>
        <w:numPr>
          <w:ilvl w:val="2"/>
          <w:numId w:val="2"/>
        </w:numPr>
        <w:spacing w:before="120" w:after="120"/>
        <w:ind w:left="1224" w:right="0" w:hanging="360"/>
        <w:jc w:val="both"/>
        <w:rPr>
          <w:szCs w:val="18"/>
        </w:rPr>
      </w:pPr>
      <w:r w:rsidRPr="005956AF">
        <w:rPr>
          <w:b/>
          <w:bCs/>
          <w:szCs w:val="18"/>
        </w:rPr>
        <w:t xml:space="preserve">Outstanding Claims Reported (OCR) </w:t>
      </w:r>
      <w:r w:rsidRPr="005956AF">
        <w:rPr>
          <w:szCs w:val="18"/>
        </w:rPr>
        <w:t>are claim reserves incurred prior to the valuation date, which have been reported but are yet to be settled.</w:t>
      </w:r>
    </w:p>
    <w:p w14:paraId="0626EA50" w14:textId="77777777" w:rsidR="004E7900" w:rsidRPr="005956AF" w:rsidRDefault="004E7900" w:rsidP="004E7900">
      <w:pPr>
        <w:numPr>
          <w:ilvl w:val="2"/>
          <w:numId w:val="2"/>
        </w:numPr>
        <w:spacing w:before="120" w:after="120"/>
        <w:ind w:left="1224" w:right="0" w:hanging="360"/>
        <w:jc w:val="both"/>
        <w:rPr>
          <w:szCs w:val="18"/>
        </w:rPr>
      </w:pPr>
      <w:r w:rsidRPr="005956AF">
        <w:rPr>
          <w:b/>
          <w:bCs/>
          <w:szCs w:val="18"/>
        </w:rPr>
        <w:t xml:space="preserve">Incurred but not Reported (IBNR) </w:t>
      </w:r>
      <w:r w:rsidRPr="005956AF">
        <w:rPr>
          <w:szCs w:val="18"/>
        </w:rPr>
        <w:t>reserves are for claims incurred prior to the valuation date but are yet to be reported.</w:t>
      </w:r>
    </w:p>
    <w:p w14:paraId="1DF7A6A1" w14:textId="77777777" w:rsidR="004E7900" w:rsidRPr="005956AF" w:rsidRDefault="004E7900" w:rsidP="004E7900">
      <w:pPr>
        <w:numPr>
          <w:ilvl w:val="2"/>
          <w:numId w:val="2"/>
        </w:numPr>
        <w:spacing w:before="120" w:after="120"/>
        <w:ind w:left="1224" w:right="0" w:hanging="360"/>
        <w:jc w:val="both"/>
        <w:rPr>
          <w:b/>
          <w:bCs/>
          <w:szCs w:val="18"/>
        </w:rPr>
      </w:pPr>
      <w:r w:rsidRPr="005956AF">
        <w:rPr>
          <w:b/>
          <w:bCs/>
          <w:szCs w:val="18"/>
        </w:rPr>
        <w:t xml:space="preserve">Incurred but not Enough Reported (IBNER) </w:t>
      </w:r>
      <w:r w:rsidRPr="005956AF">
        <w:rPr>
          <w:szCs w:val="18"/>
        </w:rPr>
        <w:t>are claims reserves to cater for inadequacies within the reserves held in respect of outstanding reported claims.</w:t>
      </w:r>
    </w:p>
    <w:p w14:paraId="40C01E5E" w14:textId="77777777" w:rsidR="004E7900" w:rsidRPr="00E33DDB" w:rsidRDefault="004E7900" w:rsidP="004E7900">
      <w:pPr>
        <w:numPr>
          <w:ilvl w:val="2"/>
          <w:numId w:val="2"/>
        </w:numPr>
        <w:spacing w:before="120" w:after="120"/>
        <w:ind w:left="1224" w:right="0" w:hanging="360"/>
        <w:jc w:val="both"/>
        <w:rPr>
          <w:szCs w:val="18"/>
        </w:rPr>
      </w:pPr>
      <w:r w:rsidRPr="005956AF">
        <w:rPr>
          <w:b/>
          <w:bCs/>
          <w:szCs w:val="18"/>
        </w:rPr>
        <w:t xml:space="preserve">Unallocated Loss Adjustment Expenses (ULAE) </w:t>
      </w:r>
      <w:r w:rsidRPr="005956AF">
        <w:rPr>
          <w:szCs w:val="18"/>
        </w:rPr>
        <w:t>means a reserve to cater for costs which are related to the settlement of claims, but which are not directly attributable to individual claim.</w:t>
      </w:r>
    </w:p>
    <w:p w14:paraId="2559D89D" w14:textId="77777777" w:rsidR="004E7900" w:rsidRPr="00C30197" w:rsidRDefault="004E7900" w:rsidP="004E7900">
      <w:pPr>
        <w:numPr>
          <w:ilvl w:val="2"/>
          <w:numId w:val="2"/>
        </w:numPr>
        <w:spacing w:before="120" w:after="120"/>
        <w:ind w:left="1224" w:right="0" w:hanging="360"/>
        <w:jc w:val="both"/>
        <w:rPr>
          <w:szCs w:val="18"/>
        </w:rPr>
      </w:pPr>
      <w:r>
        <w:rPr>
          <w:b/>
          <w:bCs/>
          <w:szCs w:val="18"/>
        </w:rPr>
        <w:t xml:space="preserve">Risk Adjustment (RA) </w:t>
      </w:r>
      <w:r w:rsidRPr="006209C1">
        <w:rPr>
          <w:szCs w:val="18"/>
          <w:lang w:val="en-GB"/>
        </w:rPr>
        <w:t>means the compensation an entity requires for bearing the uncertainty about the amount and timing of the cash flows that arise from non-financial risk as the entity fulfils insurance contracts.</w:t>
      </w:r>
    </w:p>
    <w:p w14:paraId="7332B0BE" w14:textId="0FD84DBB" w:rsidR="00C30197" w:rsidRPr="004E7900" w:rsidRDefault="00787700" w:rsidP="00E25E0B">
      <w:pPr>
        <w:numPr>
          <w:ilvl w:val="1"/>
          <w:numId w:val="2"/>
        </w:numPr>
        <w:autoSpaceDE w:val="0"/>
        <w:autoSpaceDN w:val="0"/>
        <w:adjustRightInd w:val="0"/>
        <w:spacing w:before="240" w:after="240"/>
        <w:ind w:left="720" w:right="0" w:hanging="720"/>
        <w:jc w:val="both"/>
        <w:rPr>
          <w:szCs w:val="18"/>
        </w:rPr>
      </w:pPr>
      <w:r w:rsidRPr="00787700">
        <w:rPr>
          <w:szCs w:val="18"/>
        </w:rPr>
        <w:t>In accordance with IFRS 17 (para</w:t>
      </w:r>
      <w:r>
        <w:rPr>
          <w:szCs w:val="18"/>
        </w:rPr>
        <w:t>graph</w:t>
      </w:r>
      <w:r w:rsidRPr="00787700">
        <w:rPr>
          <w:szCs w:val="18"/>
        </w:rPr>
        <w:t xml:space="preserve"> 36), the valuation of </w:t>
      </w:r>
      <w:r w:rsidR="00E25E0B">
        <w:rPr>
          <w:szCs w:val="18"/>
        </w:rPr>
        <w:t xml:space="preserve">liabilities should also </w:t>
      </w:r>
      <w:r w:rsidRPr="00787700">
        <w:rPr>
          <w:szCs w:val="18"/>
        </w:rPr>
        <w:t xml:space="preserve">incorporate </w:t>
      </w:r>
      <w:r w:rsidRPr="00BB589D">
        <w:rPr>
          <w:b/>
          <w:bCs/>
          <w:szCs w:val="18"/>
        </w:rPr>
        <w:t>discounting</w:t>
      </w:r>
      <w:r w:rsidRPr="00787700">
        <w:rPr>
          <w:szCs w:val="18"/>
        </w:rPr>
        <w:t xml:space="preserve"> to reflect the time value of money.</w:t>
      </w:r>
    </w:p>
    <w:p w14:paraId="1D454D9D" w14:textId="3896DFE4" w:rsidR="004E7900" w:rsidRPr="00E33DDB" w:rsidRDefault="00C30197" w:rsidP="00451CA8">
      <w:pPr>
        <w:pStyle w:val="Heading2"/>
      </w:pPr>
      <w:bookmarkStart w:id="2" w:name="_Toc210138968"/>
      <w:r>
        <w:t>Purpose</w:t>
      </w:r>
      <w:bookmarkEnd w:id="2"/>
    </w:p>
    <w:p w14:paraId="3C3E4ED1" w14:textId="13A83FAF" w:rsidR="00451CA8" w:rsidRDefault="00157846" w:rsidP="00451CA8">
      <w:pPr>
        <w:numPr>
          <w:ilvl w:val="1"/>
          <w:numId w:val="2"/>
        </w:numPr>
        <w:autoSpaceDE w:val="0"/>
        <w:autoSpaceDN w:val="0"/>
        <w:adjustRightInd w:val="0"/>
        <w:spacing w:before="240" w:after="240"/>
        <w:ind w:left="720" w:right="0" w:hanging="720"/>
        <w:jc w:val="both"/>
      </w:pPr>
      <w:r>
        <w:t xml:space="preserve">The purpose of this course is to equip learners with comprehensive understanding of Liability for </w:t>
      </w:r>
      <w:r w:rsidR="00C30197">
        <w:t xml:space="preserve">Incurred </w:t>
      </w:r>
      <w:r w:rsidR="00736E3C">
        <w:t>Claims (‘</w:t>
      </w:r>
      <w:r>
        <w:t>L</w:t>
      </w:r>
      <w:r w:rsidR="00C30197">
        <w:t>IC</w:t>
      </w:r>
      <w:r>
        <w:t>’)</w:t>
      </w:r>
      <w:r w:rsidR="00C30197">
        <w:t>, Discounting and Risk Adjustment</w:t>
      </w:r>
      <w:r>
        <w:t xml:space="preserve"> within the context of general insurance.</w:t>
      </w:r>
    </w:p>
    <w:p w14:paraId="575B41DD" w14:textId="162A7FF1" w:rsidR="00E25E0B" w:rsidRDefault="00451CA8" w:rsidP="00451CA8">
      <w:pPr>
        <w:spacing w:after="160" w:line="259" w:lineRule="auto"/>
        <w:ind w:right="0"/>
      </w:pPr>
      <w:r>
        <w:br w:type="page"/>
      </w:r>
    </w:p>
    <w:p w14:paraId="459A6EB1" w14:textId="7531B9BA" w:rsidR="009442BE" w:rsidRPr="00257073" w:rsidRDefault="00113FA8" w:rsidP="00B01932">
      <w:pPr>
        <w:pStyle w:val="Heading1"/>
        <w:numPr>
          <w:ilvl w:val="0"/>
          <w:numId w:val="6"/>
        </w:numPr>
        <w:tabs>
          <w:tab w:val="num" w:pos="360"/>
        </w:tabs>
        <w:ind w:left="720" w:hanging="540"/>
        <w:rPr>
          <w:rFonts w:ascii="Nunito Sans Black" w:hAnsi="Nunito Sans Black"/>
        </w:rPr>
      </w:pPr>
      <w:bookmarkStart w:id="3" w:name="_Toc210138969"/>
      <w:r w:rsidRPr="00257073">
        <w:rPr>
          <w:rFonts w:ascii="Nunito Sans Black" w:hAnsi="Nunito Sans Black"/>
        </w:rPr>
        <w:lastRenderedPageBreak/>
        <w:t>PROFESSIONAL JUDGEMENT IN ACTUARIAL WORK</w:t>
      </w:r>
      <w:bookmarkEnd w:id="3"/>
    </w:p>
    <w:p w14:paraId="21641B2C" w14:textId="094496B2" w:rsidR="00E025A7" w:rsidRPr="006F03C9" w:rsidRDefault="00E025A7" w:rsidP="005E3AEF">
      <w:pPr>
        <w:pStyle w:val="Heading2"/>
        <w:autoSpaceDE w:val="0"/>
        <w:autoSpaceDN w:val="0"/>
        <w:adjustRightInd w:val="0"/>
        <w:spacing w:line="240" w:lineRule="auto"/>
      </w:pPr>
      <w:bookmarkStart w:id="4" w:name="_Toc210138970"/>
      <w:r w:rsidRPr="006F03C9">
        <w:t xml:space="preserve">Background </w:t>
      </w:r>
      <w:r w:rsidR="005E3AEF" w:rsidRPr="006F03C9">
        <w:t>on Professional Judgement</w:t>
      </w:r>
      <w:bookmarkEnd w:id="4"/>
    </w:p>
    <w:p w14:paraId="7DEE6B20" w14:textId="77777777" w:rsidR="00451CA8" w:rsidRPr="00451CA8" w:rsidRDefault="00451CA8" w:rsidP="00451CA8">
      <w:pPr>
        <w:pStyle w:val="ListParagraph"/>
        <w:numPr>
          <w:ilvl w:val="0"/>
          <w:numId w:val="2"/>
        </w:numPr>
        <w:autoSpaceDE w:val="0"/>
        <w:autoSpaceDN w:val="0"/>
        <w:adjustRightInd w:val="0"/>
        <w:spacing w:line="240" w:lineRule="auto"/>
        <w:rPr>
          <w:rFonts w:cstheme="minorBidi"/>
          <w:vanish/>
          <w:szCs w:val="22"/>
        </w:rPr>
      </w:pPr>
    </w:p>
    <w:p w14:paraId="38B4D091" w14:textId="0C7734CC" w:rsidR="005E3AEF" w:rsidRPr="006F03C9" w:rsidRDefault="005E3AEF" w:rsidP="00451CA8">
      <w:pPr>
        <w:numPr>
          <w:ilvl w:val="1"/>
          <w:numId w:val="2"/>
        </w:numPr>
        <w:autoSpaceDE w:val="0"/>
        <w:autoSpaceDN w:val="0"/>
        <w:adjustRightInd w:val="0"/>
        <w:spacing w:before="240" w:after="240"/>
        <w:ind w:left="720" w:right="0" w:hanging="720"/>
        <w:jc w:val="both"/>
      </w:pPr>
      <w:r w:rsidRPr="006F03C9">
        <w:t>The International Actuarial Association (IAA) defines professional judgement under the International Standards of Actuarial Practice (ISAP) Glossary as the judgment of an actuary based on their actuarial training and experience. Key point is that the judgement needs to be based on actuarial principles.</w:t>
      </w:r>
    </w:p>
    <w:p w14:paraId="3F070882" w14:textId="00CB435D" w:rsidR="005E3AEF" w:rsidRPr="006F03C9" w:rsidRDefault="005E3AEF" w:rsidP="0063402F">
      <w:pPr>
        <w:numPr>
          <w:ilvl w:val="1"/>
          <w:numId w:val="2"/>
        </w:numPr>
        <w:autoSpaceDE w:val="0"/>
        <w:autoSpaceDN w:val="0"/>
        <w:adjustRightInd w:val="0"/>
        <w:spacing w:before="240" w:after="240"/>
        <w:ind w:left="720" w:right="0" w:hanging="720"/>
        <w:jc w:val="both"/>
      </w:pPr>
      <w:r w:rsidRPr="006F03C9">
        <w:t xml:space="preserve">It is important to provide guidance on how professional judgment is implemented. Key to ensuring that </w:t>
      </w:r>
      <w:r w:rsidR="00537A38" w:rsidRPr="006F03C9">
        <w:t>professional</w:t>
      </w:r>
      <w:r w:rsidRPr="006F03C9">
        <w:t xml:space="preserve"> judgement is managed appropriately within the business is ensuring that a robust, clear, transparent, and consistent approach to decision making is in place. </w:t>
      </w:r>
    </w:p>
    <w:p w14:paraId="67218F1F" w14:textId="53DE9D9D" w:rsidR="005E3AEF" w:rsidRPr="006F03C9" w:rsidRDefault="005E3AEF" w:rsidP="0063402F">
      <w:pPr>
        <w:numPr>
          <w:ilvl w:val="1"/>
          <w:numId w:val="2"/>
        </w:numPr>
        <w:autoSpaceDE w:val="0"/>
        <w:autoSpaceDN w:val="0"/>
        <w:adjustRightInd w:val="0"/>
        <w:spacing w:before="240" w:after="240"/>
        <w:ind w:left="720" w:right="0" w:hanging="720"/>
        <w:jc w:val="both"/>
      </w:pPr>
      <w:r w:rsidRPr="006F03C9">
        <w:t>This should involve embedding an expert judgement framework, including the creation of an expert judgement policy, suitable governance structures, appropriate standards, a fit-for-purpose expert judgement process and effective validation.</w:t>
      </w:r>
    </w:p>
    <w:p w14:paraId="7EDA0D5B" w14:textId="77777777" w:rsidR="005E3AEF" w:rsidRPr="006F03C9" w:rsidRDefault="005E3AEF" w:rsidP="0063402F">
      <w:pPr>
        <w:numPr>
          <w:ilvl w:val="1"/>
          <w:numId w:val="2"/>
        </w:numPr>
        <w:autoSpaceDE w:val="0"/>
        <w:autoSpaceDN w:val="0"/>
        <w:adjustRightInd w:val="0"/>
        <w:spacing w:before="240" w:after="240"/>
        <w:ind w:left="720" w:right="0" w:hanging="720"/>
        <w:jc w:val="both"/>
      </w:pPr>
      <w:r w:rsidRPr="006F03C9">
        <w:t xml:space="preserve">Providing clarity on the process and validation should provide a better and more consistent decision-making process for material judgements that need to be made across complex businesses. </w:t>
      </w:r>
    </w:p>
    <w:p w14:paraId="256E21A9" w14:textId="77777777" w:rsidR="005E3AEF" w:rsidRPr="006F03C9" w:rsidRDefault="005E3AEF" w:rsidP="0063402F">
      <w:pPr>
        <w:numPr>
          <w:ilvl w:val="1"/>
          <w:numId w:val="2"/>
        </w:numPr>
        <w:autoSpaceDE w:val="0"/>
        <w:autoSpaceDN w:val="0"/>
        <w:adjustRightInd w:val="0"/>
        <w:spacing w:before="240" w:after="240"/>
        <w:ind w:left="720" w:right="0" w:hanging="720"/>
        <w:jc w:val="both"/>
      </w:pPr>
      <w:r w:rsidRPr="006F03C9">
        <w:t xml:space="preserve">Professional judgement will however not be applied to all actuarial work undertaken. In particular, according to the TAS 100 guidance note, the greater the complexity of a calculation the greater the likelihood that an element of judgement will be involved in the work, rendering it ‘technical actuarial work’. </w:t>
      </w:r>
    </w:p>
    <w:p w14:paraId="561594E6" w14:textId="77777777" w:rsidR="005E3AEF" w:rsidRPr="006F03C9" w:rsidRDefault="005E3AEF" w:rsidP="0063402F">
      <w:pPr>
        <w:numPr>
          <w:ilvl w:val="1"/>
          <w:numId w:val="2"/>
        </w:numPr>
        <w:autoSpaceDE w:val="0"/>
        <w:autoSpaceDN w:val="0"/>
        <w:adjustRightInd w:val="0"/>
        <w:spacing w:before="240" w:after="240"/>
        <w:ind w:left="720" w:right="0" w:hanging="720"/>
        <w:jc w:val="both"/>
      </w:pPr>
      <w:r w:rsidRPr="006F03C9">
        <w:t xml:space="preserve">Understanding the nature and complexity of work undertaken will be key in determining the extent to which professional judgement will be incorporated in the work. </w:t>
      </w:r>
    </w:p>
    <w:p w14:paraId="4FC86B36" w14:textId="77777777" w:rsidR="005E3AEF" w:rsidRPr="006F03C9" w:rsidRDefault="005E3AEF" w:rsidP="0063402F">
      <w:pPr>
        <w:numPr>
          <w:ilvl w:val="1"/>
          <w:numId w:val="2"/>
        </w:numPr>
        <w:autoSpaceDE w:val="0"/>
        <w:autoSpaceDN w:val="0"/>
        <w:adjustRightInd w:val="0"/>
        <w:spacing w:before="240" w:after="240"/>
        <w:ind w:left="720" w:right="0" w:hanging="720"/>
        <w:jc w:val="both"/>
      </w:pPr>
      <w:r w:rsidRPr="006F03C9">
        <w:t xml:space="preserve">Guidance is applied in a wide array of activities when undertaking actuarial work. These may include key activities such as scrutinizing data, choosing assumptions, constructing and using models and communicating information to users. </w:t>
      </w:r>
    </w:p>
    <w:p w14:paraId="4B8D03A5" w14:textId="19A8D224" w:rsidR="0063402F" w:rsidRPr="006F03C9" w:rsidRDefault="005E3AEF" w:rsidP="0063402F">
      <w:pPr>
        <w:numPr>
          <w:ilvl w:val="1"/>
          <w:numId w:val="2"/>
        </w:numPr>
        <w:autoSpaceDE w:val="0"/>
        <w:autoSpaceDN w:val="0"/>
        <w:adjustRightInd w:val="0"/>
        <w:spacing w:before="240" w:after="240"/>
        <w:ind w:left="720" w:right="0" w:hanging="720"/>
        <w:jc w:val="both"/>
      </w:pPr>
      <w:r w:rsidRPr="006F03C9">
        <w:t>Taken at its simplest, professional judgement is involved in work requiring anything more than straightforward arithmetic calculations where no decisions are required on data, assumptions or methodology.</w:t>
      </w:r>
    </w:p>
    <w:p w14:paraId="4412A588" w14:textId="3EFE96B3" w:rsidR="009442BE" w:rsidRPr="006F03C9" w:rsidRDefault="009442BE" w:rsidP="00524486">
      <w:pPr>
        <w:pStyle w:val="NormalBilaNumbers"/>
        <w:rPr>
          <w:color w:val="0137A6"/>
          <w:sz w:val="36"/>
          <w:szCs w:val="36"/>
        </w:rPr>
      </w:pPr>
      <w:r w:rsidRPr="006F03C9">
        <w:br w:type="page"/>
      </w:r>
    </w:p>
    <w:p w14:paraId="1A652714" w14:textId="55CD0039" w:rsidR="009442BE" w:rsidRPr="006F03C9" w:rsidRDefault="00676E48" w:rsidP="00B01932">
      <w:pPr>
        <w:pStyle w:val="Heading1"/>
        <w:numPr>
          <w:ilvl w:val="0"/>
          <w:numId w:val="6"/>
        </w:numPr>
        <w:tabs>
          <w:tab w:val="num" w:pos="360"/>
        </w:tabs>
        <w:ind w:left="720" w:hanging="540"/>
        <w:rPr>
          <w:rFonts w:ascii="Nunito Sans Black" w:hAnsi="Nunito Sans Black"/>
        </w:rPr>
      </w:pPr>
      <w:bookmarkStart w:id="5" w:name="_Toc210138971"/>
      <w:r>
        <w:rPr>
          <w:rFonts w:ascii="Nunito Sans Black" w:hAnsi="Nunito Sans Black"/>
        </w:rPr>
        <w:lastRenderedPageBreak/>
        <w:t>APPROAC</w:t>
      </w:r>
      <w:r w:rsidR="00112447">
        <w:rPr>
          <w:rFonts w:ascii="Nunito Sans Black" w:hAnsi="Nunito Sans Black"/>
        </w:rPr>
        <w:t>H</w:t>
      </w:r>
      <w:bookmarkEnd w:id="5"/>
    </w:p>
    <w:p w14:paraId="386A2AEA" w14:textId="77777777" w:rsidR="00F237E7" w:rsidRPr="00F237E7" w:rsidRDefault="00F237E7" w:rsidP="00F237E7">
      <w:pPr>
        <w:pStyle w:val="ListParagraph"/>
        <w:numPr>
          <w:ilvl w:val="0"/>
          <w:numId w:val="2"/>
        </w:numPr>
        <w:autoSpaceDE w:val="0"/>
        <w:autoSpaceDN w:val="0"/>
        <w:adjustRightInd w:val="0"/>
        <w:spacing w:line="240" w:lineRule="auto"/>
        <w:rPr>
          <w:rFonts w:cstheme="minorBidi"/>
          <w:vanish/>
          <w:szCs w:val="22"/>
        </w:rPr>
      </w:pPr>
    </w:p>
    <w:p w14:paraId="2B056C5A" w14:textId="3272CB13" w:rsidR="00DF7EA7" w:rsidRPr="00DF7EA7" w:rsidRDefault="00DF7EA7" w:rsidP="00AE2E0F">
      <w:pPr>
        <w:numPr>
          <w:ilvl w:val="1"/>
          <w:numId w:val="2"/>
        </w:numPr>
        <w:autoSpaceDE w:val="0"/>
        <w:autoSpaceDN w:val="0"/>
        <w:adjustRightInd w:val="0"/>
        <w:spacing w:before="240" w:after="240"/>
        <w:ind w:left="720" w:right="0" w:hanging="720"/>
        <w:jc w:val="both"/>
      </w:pPr>
      <w:r w:rsidRPr="00DF7EA7">
        <w:t>Before embarking on the liability valuation exercise, it is prudent to review previous liability reports prepared by the insurer’s</w:t>
      </w:r>
      <w:r w:rsidR="007B532A">
        <w:t xml:space="preserve"> </w:t>
      </w:r>
      <w:r w:rsidRPr="00DF7EA7">
        <w:t>internal team or the external actuary.</w:t>
      </w:r>
    </w:p>
    <w:p w14:paraId="0A1A7AB6" w14:textId="77777777" w:rsidR="00DF7EA7" w:rsidRPr="00DF7EA7" w:rsidRDefault="00DF7EA7" w:rsidP="00DF7EA7">
      <w:pPr>
        <w:numPr>
          <w:ilvl w:val="1"/>
          <w:numId w:val="2"/>
        </w:numPr>
        <w:autoSpaceDE w:val="0"/>
        <w:autoSpaceDN w:val="0"/>
        <w:adjustRightInd w:val="0"/>
        <w:spacing w:before="240" w:after="240"/>
        <w:ind w:left="720" w:right="0" w:hanging="720"/>
        <w:jc w:val="both"/>
      </w:pPr>
      <w:r w:rsidRPr="00DF7EA7">
        <w:t>You will therefore need to review such reports over a one-year prior period. While reviewing such reports, take note of the key assumptions adopted and any recommendations put across.</w:t>
      </w:r>
    </w:p>
    <w:p w14:paraId="34E24C91" w14:textId="393D9CEF" w:rsidR="00DF7EA7" w:rsidRPr="00DF7EA7" w:rsidRDefault="00DF7EA7" w:rsidP="00DF7EA7">
      <w:pPr>
        <w:numPr>
          <w:ilvl w:val="1"/>
          <w:numId w:val="2"/>
        </w:numPr>
        <w:autoSpaceDE w:val="0"/>
        <w:autoSpaceDN w:val="0"/>
        <w:adjustRightInd w:val="0"/>
        <w:spacing w:before="240" w:after="240"/>
        <w:ind w:left="720" w:right="0" w:hanging="720"/>
        <w:jc w:val="both"/>
      </w:pPr>
      <w:r w:rsidRPr="00DF7EA7">
        <w:t xml:space="preserve">For the key assumptions, take this </w:t>
      </w:r>
      <w:r w:rsidR="00771417" w:rsidRPr="00DF7EA7">
        <w:t>in</w:t>
      </w:r>
      <w:r w:rsidR="00771417">
        <w:t>to</w:t>
      </w:r>
      <w:r w:rsidRPr="00DF7EA7">
        <w:t xml:space="preserve"> account while developing your own assumptions for the valuation exercise. Any large discrepancies should be noted down for discussion with the supervisor and the client.</w:t>
      </w:r>
    </w:p>
    <w:p w14:paraId="68A03635" w14:textId="77777777" w:rsidR="00DF7EA7" w:rsidRPr="00DF7EA7" w:rsidRDefault="00DF7EA7" w:rsidP="00DF7EA7">
      <w:pPr>
        <w:numPr>
          <w:ilvl w:val="1"/>
          <w:numId w:val="2"/>
        </w:numPr>
        <w:autoSpaceDE w:val="0"/>
        <w:autoSpaceDN w:val="0"/>
        <w:adjustRightInd w:val="0"/>
        <w:spacing w:before="240" w:after="240"/>
        <w:ind w:left="720" w:right="0" w:hanging="720"/>
        <w:jc w:val="both"/>
      </w:pPr>
      <w:r w:rsidRPr="00DF7EA7">
        <w:t>For the recommendations, these should be reviewed and where appropriate, request for an update on the implementation of the recommendations from the insurer.</w:t>
      </w:r>
    </w:p>
    <w:p w14:paraId="6F429BB8" w14:textId="747C678F" w:rsidR="00680515" w:rsidRDefault="00DF7EA7" w:rsidP="005F0179">
      <w:pPr>
        <w:numPr>
          <w:ilvl w:val="1"/>
          <w:numId w:val="2"/>
        </w:numPr>
        <w:autoSpaceDE w:val="0"/>
        <w:autoSpaceDN w:val="0"/>
        <w:adjustRightInd w:val="0"/>
        <w:spacing w:before="240" w:after="240"/>
        <w:ind w:left="720" w:right="0" w:hanging="720"/>
        <w:jc w:val="both"/>
      </w:pPr>
      <w:r w:rsidRPr="00DF7EA7">
        <w:t>A summary of the implementation status should be included in the liability valuation model for review by the client</w:t>
      </w:r>
      <w:r>
        <w:t>.</w:t>
      </w:r>
    </w:p>
    <w:p w14:paraId="3E85A01C" w14:textId="550CD1E2" w:rsidR="00676E48" w:rsidRDefault="00676E48" w:rsidP="00676E48">
      <w:pPr>
        <w:pStyle w:val="Heading2"/>
      </w:pPr>
      <w:bookmarkStart w:id="6" w:name="_Toc210138972"/>
      <w:r>
        <w:t>Assumptions</w:t>
      </w:r>
      <w:bookmarkEnd w:id="6"/>
    </w:p>
    <w:p w14:paraId="520E3F6A" w14:textId="77777777" w:rsidR="00676E48" w:rsidRPr="005956AF" w:rsidRDefault="00676E48" w:rsidP="00676E48">
      <w:pPr>
        <w:numPr>
          <w:ilvl w:val="1"/>
          <w:numId w:val="2"/>
        </w:numPr>
        <w:autoSpaceDE w:val="0"/>
        <w:autoSpaceDN w:val="0"/>
        <w:adjustRightInd w:val="0"/>
        <w:spacing w:before="200" w:after="200"/>
        <w:ind w:left="709" w:right="0" w:hanging="709"/>
        <w:jc w:val="both"/>
        <w:rPr>
          <w:szCs w:val="18"/>
        </w:rPr>
      </w:pPr>
      <w:r w:rsidRPr="005956AF">
        <w:rPr>
          <w:szCs w:val="18"/>
        </w:rPr>
        <w:t>When using the Basic Chain Ladder method, we assum</w:t>
      </w:r>
      <w:r>
        <w:rPr>
          <w:szCs w:val="18"/>
        </w:rPr>
        <w:t>e</w:t>
      </w:r>
      <w:r w:rsidRPr="005956AF">
        <w:rPr>
          <w:szCs w:val="18"/>
        </w:rPr>
        <w:t xml:space="preserve"> that there is consistency in claims reporting and payment patterns.</w:t>
      </w:r>
    </w:p>
    <w:p w14:paraId="07A39B74" w14:textId="77777777" w:rsidR="00676E48" w:rsidRPr="005956AF" w:rsidRDefault="00676E48" w:rsidP="00676E48">
      <w:pPr>
        <w:numPr>
          <w:ilvl w:val="1"/>
          <w:numId w:val="2"/>
        </w:numPr>
        <w:tabs>
          <w:tab w:val="left" w:pos="5670"/>
        </w:tabs>
        <w:autoSpaceDE w:val="0"/>
        <w:autoSpaceDN w:val="0"/>
        <w:adjustRightInd w:val="0"/>
        <w:spacing w:before="200" w:after="200"/>
        <w:ind w:left="709" w:right="0" w:hanging="709"/>
        <w:jc w:val="both"/>
        <w:rPr>
          <w:szCs w:val="18"/>
        </w:rPr>
      </w:pPr>
      <w:r w:rsidRPr="005956AF">
        <w:rPr>
          <w:szCs w:val="18"/>
        </w:rPr>
        <w:t xml:space="preserve">Under the Bornhuetter-Fergusson method, we assume the ultimate values can be better projected by looking at the recent experience on loss ratio or any other </w:t>
      </w:r>
      <w:r w:rsidRPr="005956AF">
        <w:rPr>
          <w:i/>
          <w:szCs w:val="18"/>
        </w:rPr>
        <w:t>a priori</w:t>
      </w:r>
      <w:r w:rsidRPr="005956AF">
        <w:rPr>
          <w:szCs w:val="18"/>
        </w:rPr>
        <w:t xml:space="preserve"> estimate in addition to the claims observed to date.</w:t>
      </w:r>
    </w:p>
    <w:p w14:paraId="2A8F71BB" w14:textId="77777777" w:rsidR="00676E48" w:rsidRPr="005956AF" w:rsidRDefault="00676E48" w:rsidP="00676E48">
      <w:pPr>
        <w:numPr>
          <w:ilvl w:val="1"/>
          <w:numId w:val="2"/>
        </w:numPr>
        <w:autoSpaceDE w:val="0"/>
        <w:autoSpaceDN w:val="0"/>
        <w:adjustRightInd w:val="0"/>
        <w:spacing w:before="200" w:after="200"/>
        <w:ind w:left="709" w:right="0" w:hanging="709"/>
        <w:jc w:val="both"/>
        <w:rPr>
          <w:szCs w:val="18"/>
        </w:rPr>
      </w:pPr>
      <w:r w:rsidRPr="005956AF">
        <w:rPr>
          <w:szCs w:val="18"/>
        </w:rPr>
        <w:t>The key assumption under the Cape Cod method is that unreported claims will develop based on expected claims.</w:t>
      </w:r>
    </w:p>
    <w:p w14:paraId="5C0ADC70" w14:textId="77777777" w:rsidR="00676E48" w:rsidRPr="005956AF" w:rsidRDefault="00676E48" w:rsidP="00676E48">
      <w:pPr>
        <w:numPr>
          <w:ilvl w:val="1"/>
          <w:numId w:val="2"/>
        </w:numPr>
        <w:autoSpaceDE w:val="0"/>
        <w:autoSpaceDN w:val="0"/>
        <w:adjustRightInd w:val="0"/>
        <w:spacing w:before="200" w:after="200"/>
        <w:ind w:left="709" w:right="0" w:hanging="709"/>
        <w:jc w:val="both"/>
        <w:rPr>
          <w:szCs w:val="18"/>
        </w:rPr>
      </w:pPr>
      <w:r w:rsidRPr="005956AF">
        <w:rPr>
          <w:szCs w:val="18"/>
        </w:rPr>
        <w:t>For Expected Loss Ratio Method, the assumption made is that ultimate claims will develop in line with the expected loss ratios adopted.</w:t>
      </w:r>
    </w:p>
    <w:p w14:paraId="27B795CC" w14:textId="77777777" w:rsidR="00676E48" w:rsidRPr="005956AF" w:rsidRDefault="00676E48" w:rsidP="00676E48">
      <w:pPr>
        <w:pStyle w:val="Heading2"/>
        <w:rPr>
          <w:rFonts w:ascii="Nunito Sans" w:hAnsi="Nunito Sans"/>
          <w:b/>
        </w:rPr>
      </w:pPr>
      <w:bookmarkStart w:id="7" w:name="_Toc210138973"/>
      <w:r w:rsidRPr="005956AF">
        <w:rPr>
          <w:rFonts w:ascii="Nunito Sans" w:hAnsi="Nunito Sans"/>
          <w:b/>
        </w:rPr>
        <w:t>Reinsurance Recoveries</w:t>
      </w:r>
      <w:bookmarkEnd w:id="7"/>
    </w:p>
    <w:p w14:paraId="48FA762C" w14:textId="770AE33F" w:rsidR="00676E48" w:rsidRPr="005956AF" w:rsidRDefault="00676E48" w:rsidP="00676E48">
      <w:pPr>
        <w:pStyle w:val="ListParagraph"/>
        <w:numPr>
          <w:ilvl w:val="1"/>
          <w:numId w:val="2"/>
        </w:numPr>
        <w:autoSpaceDE w:val="0"/>
        <w:autoSpaceDN w:val="0"/>
        <w:adjustRightInd w:val="0"/>
        <w:spacing w:before="0" w:line="240" w:lineRule="auto"/>
        <w:ind w:left="709" w:hanging="709"/>
      </w:pPr>
      <w:r w:rsidRPr="005956AF">
        <w:t>In calculating the Net IBN(E)R, we appl</w:t>
      </w:r>
      <w:r>
        <w:t>y</w:t>
      </w:r>
      <w:r w:rsidRPr="005956AF">
        <w:t xml:space="preserve"> a reinsurance recovery rate per class of business to </w:t>
      </w:r>
      <w:r w:rsidR="00112447" w:rsidRPr="005956AF">
        <w:t>Gross</w:t>
      </w:r>
      <w:r w:rsidRPr="005956AF">
        <w:t xml:space="preserve"> IBN(E)R. </w:t>
      </w:r>
    </w:p>
    <w:p w14:paraId="1C8FC1E5" w14:textId="069ABD7E" w:rsidR="00676E48" w:rsidRPr="006F03C9" w:rsidRDefault="00676E48" w:rsidP="005F243A">
      <w:pPr>
        <w:pStyle w:val="ListParagraph"/>
        <w:numPr>
          <w:ilvl w:val="1"/>
          <w:numId w:val="2"/>
        </w:numPr>
        <w:autoSpaceDE w:val="0"/>
        <w:autoSpaceDN w:val="0"/>
        <w:adjustRightInd w:val="0"/>
        <w:spacing w:before="0" w:line="240" w:lineRule="auto"/>
        <w:ind w:left="709" w:hanging="709"/>
      </w:pPr>
      <w:r w:rsidRPr="005956AF">
        <w:t xml:space="preserve">To estimate the reinsurance recovery rate for each class of business, we analyse the claims retention rates for the company over </w:t>
      </w:r>
      <w:r>
        <w:t>a specified period of</w:t>
      </w:r>
      <w:r w:rsidRPr="005956AF">
        <w:t xml:space="preserve"> years. These </w:t>
      </w:r>
      <w:r>
        <w:t>are</w:t>
      </w:r>
      <w:r w:rsidRPr="005956AF">
        <w:t xml:space="preserve"> then weighted on the estimated expected reserves over the same period.</w:t>
      </w:r>
    </w:p>
    <w:p w14:paraId="12C39C0B" w14:textId="77777777" w:rsidR="00520CD0" w:rsidRPr="006F03C9" w:rsidRDefault="00520CD0" w:rsidP="00520CD0">
      <w:pPr>
        <w:autoSpaceDE w:val="0"/>
        <w:autoSpaceDN w:val="0"/>
        <w:adjustRightInd w:val="0"/>
        <w:spacing w:before="240" w:after="240"/>
        <w:ind w:right="0"/>
        <w:jc w:val="both"/>
      </w:pPr>
    </w:p>
    <w:p w14:paraId="69B8643C" w14:textId="5DBE97F4" w:rsidR="00636312" w:rsidRPr="00BB273C" w:rsidRDefault="00636312" w:rsidP="00BB273C">
      <w:pPr>
        <w:spacing w:after="160" w:line="259" w:lineRule="auto"/>
        <w:ind w:right="0"/>
        <w:rPr>
          <w:rFonts w:ascii="Nunito Sans Black" w:hAnsi="Nunito Sans Black"/>
          <w:color w:val="0137A6"/>
          <w:sz w:val="36"/>
          <w:szCs w:val="36"/>
        </w:rPr>
      </w:pPr>
      <w:r w:rsidRPr="00BB273C">
        <w:rPr>
          <w:rFonts w:ascii="Nunito Sans SemiBold" w:hAnsi="Nunito Sans SemiBold"/>
        </w:rPr>
        <w:br w:type="page"/>
      </w:r>
    </w:p>
    <w:p w14:paraId="444EF76B" w14:textId="77777777" w:rsidR="005F243A" w:rsidRPr="004E241A" w:rsidRDefault="005F243A" w:rsidP="005F243A">
      <w:pPr>
        <w:pStyle w:val="Heading1"/>
        <w:numPr>
          <w:ilvl w:val="0"/>
          <w:numId w:val="6"/>
        </w:numPr>
        <w:tabs>
          <w:tab w:val="num" w:pos="360"/>
        </w:tabs>
        <w:ind w:left="720" w:hanging="540"/>
        <w:rPr>
          <w:rFonts w:ascii="Nunito Sans Black" w:hAnsi="Nunito Sans Black"/>
        </w:rPr>
      </w:pPr>
      <w:bookmarkStart w:id="8" w:name="_Toc210138974"/>
      <w:bookmarkStart w:id="9" w:name="_Toc183438089"/>
      <w:r>
        <w:rPr>
          <w:rFonts w:ascii="Nunito Sans Black" w:hAnsi="Nunito Sans Black"/>
        </w:rPr>
        <w:lastRenderedPageBreak/>
        <w:t>CLAIMS RESERVES UTILISATION ANALYSIS</w:t>
      </w:r>
      <w:bookmarkEnd w:id="8"/>
    </w:p>
    <w:p w14:paraId="2476A8A7" w14:textId="77777777" w:rsidR="005F243A" w:rsidRPr="00523B4F" w:rsidRDefault="005F243A" w:rsidP="005F243A">
      <w:pPr>
        <w:pStyle w:val="ListParagraph"/>
        <w:numPr>
          <w:ilvl w:val="0"/>
          <w:numId w:val="2"/>
        </w:numPr>
        <w:autoSpaceDE w:val="0"/>
        <w:autoSpaceDN w:val="0"/>
        <w:adjustRightInd w:val="0"/>
        <w:spacing w:line="240" w:lineRule="auto"/>
        <w:rPr>
          <w:rFonts w:ascii="Nunito Sans Black" w:hAnsi="Nunito Sans Black" w:cstheme="minorBidi"/>
          <w:vanish/>
          <w:szCs w:val="22"/>
        </w:rPr>
      </w:pPr>
    </w:p>
    <w:p w14:paraId="7730CDE8" w14:textId="77777777" w:rsidR="005F243A" w:rsidRPr="0026657E" w:rsidRDefault="005F243A" w:rsidP="005F243A">
      <w:pPr>
        <w:numPr>
          <w:ilvl w:val="1"/>
          <w:numId w:val="2"/>
        </w:numPr>
        <w:autoSpaceDE w:val="0"/>
        <w:autoSpaceDN w:val="0"/>
        <w:adjustRightInd w:val="0"/>
        <w:spacing w:before="240" w:after="240"/>
        <w:ind w:left="720" w:right="0" w:hanging="720"/>
        <w:jc w:val="both"/>
      </w:pPr>
      <w:r w:rsidRPr="0026657E">
        <w:t>Before computing the claims reserves as at the current valuation date, track the utilisation of the claims (IBNR and Outstanding Claims) reserves estimates held as at the end of each of the past 3 years.</w:t>
      </w:r>
    </w:p>
    <w:p w14:paraId="265822D0" w14:textId="77777777" w:rsidR="005F243A" w:rsidRPr="0026657E" w:rsidRDefault="005F243A" w:rsidP="005F243A">
      <w:pPr>
        <w:numPr>
          <w:ilvl w:val="1"/>
          <w:numId w:val="2"/>
        </w:numPr>
        <w:autoSpaceDE w:val="0"/>
        <w:autoSpaceDN w:val="0"/>
        <w:adjustRightInd w:val="0"/>
        <w:spacing w:before="240" w:after="240"/>
        <w:ind w:left="720" w:right="0" w:hanging="720"/>
        <w:jc w:val="both"/>
      </w:pPr>
      <w:r w:rsidRPr="0026657E">
        <w:t xml:space="preserve">Do this by </w:t>
      </w:r>
      <w:proofErr w:type="spellStart"/>
      <w:r w:rsidRPr="0026657E">
        <w:t>analysing</w:t>
      </w:r>
      <w:proofErr w:type="spellEnd"/>
      <w:r w:rsidRPr="0026657E">
        <w:t xml:space="preserve"> the </w:t>
      </w:r>
      <w:proofErr w:type="spellStart"/>
      <w:r w:rsidRPr="0026657E">
        <w:t>utilisation</w:t>
      </w:r>
      <w:proofErr w:type="spellEnd"/>
      <w:r w:rsidRPr="0026657E">
        <w:t xml:space="preserve"> of both the IBNR and Outstanding Claims </w:t>
      </w:r>
      <w:r>
        <w:t>R</w:t>
      </w:r>
      <w:r w:rsidRPr="0026657E">
        <w:t>eserves held as at the respective past valuation dates.</w:t>
      </w:r>
    </w:p>
    <w:p w14:paraId="1E3C3DD6" w14:textId="77777777" w:rsidR="005F243A" w:rsidRDefault="005F243A" w:rsidP="005F243A">
      <w:pPr>
        <w:numPr>
          <w:ilvl w:val="1"/>
          <w:numId w:val="2"/>
        </w:numPr>
        <w:autoSpaceDE w:val="0"/>
        <w:autoSpaceDN w:val="0"/>
        <w:adjustRightInd w:val="0"/>
        <w:spacing w:before="240" w:after="240"/>
        <w:ind w:left="720" w:right="0" w:hanging="720"/>
        <w:jc w:val="both"/>
      </w:pPr>
      <w:r w:rsidRPr="0026657E">
        <w:t>The claims reserves held at each valuation date is taken from the client’s Accounts and the analysis is done for each year under consideration per class of business</w:t>
      </w:r>
      <w:r>
        <w:t>.</w:t>
      </w:r>
    </w:p>
    <w:p w14:paraId="081CFE08" w14:textId="77777777" w:rsidR="005F243A" w:rsidRPr="00E94F5C" w:rsidRDefault="005F243A" w:rsidP="005F243A">
      <w:pPr>
        <w:pStyle w:val="Heading2"/>
        <w:autoSpaceDE w:val="0"/>
        <w:autoSpaceDN w:val="0"/>
        <w:adjustRightInd w:val="0"/>
        <w:spacing w:line="240" w:lineRule="auto"/>
      </w:pPr>
      <w:bookmarkStart w:id="10" w:name="_Toc210138975"/>
      <w:r w:rsidRPr="001814C3">
        <w:t>IBNR Reserve</w:t>
      </w:r>
      <w:bookmarkEnd w:id="10"/>
    </w:p>
    <w:p w14:paraId="5B4A30BA" w14:textId="77777777" w:rsidR="005F243A" w:rsidRPr="00E94F5C" w:rsidRDefault="005F243A" w:rsidP="005F243A">
      <w:pPr>
        <w:numPr>
          <w:ilvl w:val="1"/>
          <w:numId w:val="2"/>
        </w:numPr>
        <w:autoSpaceDE w:val="0"/>
        <w:autoSpaceDN w:val="0"/>
        <w:adjustRightInd w:val="0"/>
        <w:spacing w:before="240" w:after="240"/>
        <w:ind w:left="720" w:right="0" w:hanging="720"/>
        <w:jc w:val="both"/>
      </w:pPr>
      <w:r w:rsidRPr="00E94F5C">
        <w:t>The utilisation of the IBNR reserve held at the end of each past year under review as at current valuation date is calculated as follows:</w:t>
      </w:r>
    </w:p>
    <w:p w14:paraId="483C35C6" w14:textId="77777777" w:rsidR="005F243A" w:rsidRPr="00E94F5C" w:rsidRDefault="005F243A" w:rsidP="005F243A">
      <w:pPr>
        <w:autoSpaceDE w:val="0"/>
        <w:autoSpaceDN w:val="0"/>
        <w:adjustRightInd w:val="0"/>
        <w:spacing w:before="240" w:after="240"/>
        <w:ind w:left="720" w:right="0"/>
        <w:jc w:val="both"/>
      </w:pPr>
      <w:r w:rsidRPr="00E94F5C">
        <w:t>Let:</w:t>
      </w:r>
    </w:p>
    <w:p w14:paraId="48E7BD7A" w14:textId="77777777" w:rsidR="005F243A" w:rsidRDefault="005F243A" w:rsidP="005F243A">
      <w:pPr>
        <w:autoSpaceDE w:val="0"/>
        <w:autoSpaceDN w:val="0"/>
        <w:adjustRightInd w:val="0"/>
        <w:spacing w:before="240" w:after="240"/>
        <w:ind w:left="720" w:right="0"/>
        <w:jc w:val="both"/>
      </w:pPr>
      <w:r w:rsidRPr="00E94F5C">
        <w:t xml:space="preserve">t = past year under review </w:t>
      </w:r>
    </w:p>
    <w:p w14:paraId="7D5CD545" w14:textId="77777777" w:rsidR="005F243A" w:rsidRPr="00491BAD" w:rsidRDefault="005F243A" w:rsidP="005F243A">
      <w:pPr>
        <w:autoSpaceDE w:val="0"/>
        <w:autoSpaceDN w:val="0"/>
        <w:adjustRightInd w:val="0"/>
        <w:spacing w:before="240" w:after="240"/>
        <w:ind w:left="720" w:right="0"/>
        <w:jc w:val="both"/>
        <w:rPr>
          <w:lang w:val="fr-FR"/>
        </w:rPr>
      </w:pPr>
      <w:r w:rsidRPr="00491BAD">
        <w:rPr>
          <w:lang w:val="fr-FR"/>
        </w:rPr>
        <w:t>U = IBNR utilisation</w:t>
      </w:r>
    </w:p>
    <w:p w14:paraId="6D6EC41B" w14:textId="77777777" w:rsidR="005F243A" w:rsidRPr="00491BAD" w:rsidRDefault="005F243A" w:rsidP="005F243A">
      <w:pPr>
        <w:autoSpaceDE w:val="0"/>
        <w:autoSpaceDN w:val="0"/>
        <w:adjustRightInd w:val="0"/>
        <w:spacing w:before="240" w:after="240"/>
        <w:ind w:left="720" w:right="0"/>
        <w:jc w:val="both"/>
        <w:rPr>
          <w:lang w:val="fr-FR"/>
        </w:rPr>
      </w:pPr>
      <w:r w:rsidRPr="00491BAD">
        <w:rPr>
          <w:lang w:val="fr-FR"/>
        </w:rPr>
        <w:t>V = current Valuation Date</w:t>
      </w:r>
    </w:p>
    <w:tbl>
      <w:tblPr>
        <w:tblW w:w="0" w:type="auto"/>
        <w:tblInd w:w="1590" w:type="dxa"/>
        <w:tblLayout w:type="fixed"/>
        <w:tblCellMar>
          <w:left w:w="0" w:type="dxa"/>
          <w:right w:w="0" w:type="dxa"/>
        </w:tblCellMar>
        <w:tblLook w:val="01E0" w:firstRow="1" w:lastRow="1" w:firstColumn="1" w:lastColumn="1" w:noHBand="0" w:noVBand="0"/>
      </w:tblPr>
      <w:tblGrid>
        <w:gridCol w:w="8172"/>
      </w:tblGrid>
      <w:tr w:rsidR="005F243A" w:rsidRPr="00403741" w14:paraId="63C166B8" w14:textId="77777777" w:rsidTr="00EF737C">
        <w:trPr>
          <w:trHeight w:val="414"/>
        </w:trPr>
        <w:tc>
          <w:tcPr>
            <w:tcW w:w="8172" w:type="dxa"/>
          </w:tcPr>
          <w:p w14:paraId="4D662C61" w14:textId="77777777" w:rsidR="005F243A" w:rsidRPr="00403741" w:rsidRDefault="005F243A" w:rsidP="00EF737C">
            <w:pPr>
              <w:pStyle w:val="TableParagraph"/>
              <w:spacing w:before="6"/>
              <w:ind w:left="50"/>
              <w:rPr>
                <w:rFonts w:ascii="Cambria Math" w:hAnsi="Cambria Math"/>
                <w:color w:val="0137A6"/>
                <w:position w:val="1"/>
                <w:sz w:val="20"/>
                <w:szCs w:val="20"/>
              </w:rPr>
            </w:pPr>
            <w:r w:rsidRPr="00403741">
              <w:rPr>
                <w:rFonts w:ascii="Cambria Math" w:hAnsi="Cambria Math"/>
                <w:color w:val="0137A6"/>
                <w:w w:val="85"/>
                <w:position w:val="1"/>
                <w:sz w:val="20"/>
                <w:szCs w:val="20"/>
              </w:rPr>
              <w:t>Utilisation</w:t>
            </w:r>
            <w:r w:rsidRPr="00403741">
              <w:rPr>
                <w:rFonts w:ascii="Cambria Math" w:hAnsi="Cambria Math"/>
                <w:color w:val="0137A6"/>
                <w:spacing w:val="-6"/>
                <w:position w:val="1"/>
                <w:sz w:val="20"/>
                <w:szCs w:val="20"/>
              </w:rPr>
              <w:t xml:space="preserve"> </w:t>
            </w:r>
            <w:r w:rsidRPr="00403741">
              <w:rPr>
                <w:rFonts w:ascii="Cambria Math" w:hAnsi="Cambria Math"/>
                <w:color w:val="0137A6"/>
                <w:w w:val="85"/>
                <w:position w:val="1"/>
                <w:sz w:val="20"/>
                <w:szCs w:val="20"/>
              </w:rPr>
              <w:t>(U)</w:t>
            </w:r>
            <w:r w:rsidRPr="00403741">
              <w:rPr>
                <w:rFonts w:ascii="Cambria Math" w:hAnsi="Cambria Math"/>
                <w:color w:val="0137A6"/>
                <w:spacing w:val="-7"/>
                <w:position w:val="1"/>
                <w:sz w:val="20"/>
                <w:szCs w:val="20"/>
              </w:rPr>
              <w:t xml:space="preserve"> </w:t>
            </w:r>
            <w:r w:rsidRPr="00403741">
              <w:rPr>
                <w:rFonts w:ascii="Cambria Math" w:hAnsi="Cambria Math"/>
                <w:color w:val="0137A6"/>
                <w:w w:val="85"/>
                <w:sz w:val="20"/>
                <w:szCs w:val="20"/>
              </w:rPr>
              <w:t>V</w:t>
            </w:r>
            <w:r w:rsidRPr="00403741">
              <w:rPr>
                <w:rFonts w:ascii="Cambria Math" w:hAnsi="Cambria Math"/>
                <w:color w:val="0137A6"/>
                <w:spacing w:val="18"/>
                <w:sz w:val="20"/>
                <w:szCs w:val="20"/>
              </w:rPr>
              <w:t xml:space="preserve"> </w:t>
            </w:r>
            <w:r w:rsidRPr="00403741">
              <w:rPr>
                <w:rFonts w:ascii="Cambria Math" w:hAnsi="Cambria Math"/>
                <w:color w:val="0137A6"/>
                <w:w w:val="85"/>
                <w:position w:val="1"/>
                <w:sz w:val="20"/>
                <w:szCs w:val="20"/>
              </w:rPr>
              <w:t>=</w:t>
            </w:r>
            <w:r w:rsidRPr="00403741">
              <w:rPr>
                <w:rFonts w:ascii="Cambria Math" w:hAnsi="Cambria Math"/>
                <w:color w:val="0137A6"/>
                <w:spacing w:val="-5"/>
                <w:position w:val="1"/>
                <w:sz w:val="20"/>
                <w:szCs w:val="20"/>
              </w:rPr>
              <w:t xml:space="preserve"> </w:t>
            </w:r>
            <w:r w:rsidRPr="00403741">
              <w:rPr>
                <w:rFonts w:ascii="Cambria Math" w:hAnsi="Cambria Math"/>
                <w:color w:val="0137A6"/>
                <w:w w:val="85"/>
                <w:position w:val="1"/>
                <w:sz w:val="20"/>
                <w:szCs w:val="20"/>
              </w:rPr>
              <w:t>Total</w:t>
            </w:r>
            <w:r w:rsidRPr="00403741">
              <w:rPr>
                <w:rFonts w:ascii="Cambria Math" w:hAnsi="Cambria Math"/>
                <w:color w:val="0137A6"/>
                <w:spacing w:val="-3"/>
                <w:position w:val="1"/>
                <w:sz w:val="20"/>
                <w:szCs w:val="20"/>
              </w:rPr>
              <w:t xml:space="preserve"> </w:t>
            </w:r>
            <w:r w:rsidRPr="00403741">
              <w:rPr>
                <w:rFonts w:ascii="Cambria Math" w:hAnsi="Cambria Math"/>
                <w:color w:val="0137A6"/>
                <w:w w:val="85"/>
                <w:position w:val="1"/>
                <w:sz w:val="20"/>
                <w:szCs w:val="20"/>
              </w:rPr>
              <w:t>Claims</w:t>
            </w:r>
            <w:r w:rsidRPr="00403741">
              <w:rPr>
                <w:rFonts w:ascii="Cambria Math" w:hAnsi="Cambria Math"/>
                <w:color w:val="0137A6"/>
                <w:spacing w:val="-3"/>
                <w:position w:val="1"/>
                <w:sz w:val="20"/>
                <w:szCs w:val="20"/>
              </w:rPr>
              <w:t xml:space="preserve"> </w:t>
            </w:r>
            <w:r w:rsidRPr="00403741">
              <w:rPr>
                <w:rFonts w:ascii="Cambria Math" w:hAnsi="Cambria Math"/>
                <w:color w:val="0137A6"/>
                <w:w w:val="85"/>
                <w:position w:val="1"/>
                <w:sz w:val="20"/>
                <w:szCs w:val="20"/>
              </w:rPr>
              <w:t>incurred</w:t>
            </w:r>
            <w:r w:rsidRPr="00403741">
              <w:rPr>
                <w:rFonts w:ascii="Cambria Math" w:hAnsi="Cambria Math"/>
                <w:color w:val="0137A6"/>
                <w:spacing w:val="-5"/>
                <w:position w:val="1"/>
                <w:sz w:val="20"/>
                <w:szCs w:val="20"/>
              </w:rPr>
              <w:t xml:space="preserve"> </w:t>
            </w:r>
            <w:r w:rsidRPr="00403741">
              <w:rPr>
                <w:rFonts w:ascii="Cambria Math" w:hAnsi="Cambria Math"/>
                <w:color w:val="0137A6"/>
                <w:w w:val="85"/>
                <w:position w:val="1"/>
                <w:sz w:val="20"/>
                <w:szCs w:val="20"/>
              </w:rPr>
              <w:t>in</w:t>
            </w:r>
            <w:r w:rsidRPr="00403741">
              <w:rPr>
                <w:rFonts w:ascii="Cambria Math" w:hAnsi="Cambria Math"/>
                <w:color w:val="0137A6"/>
                <w:spacing w:val="-1"/>
                <w:position w:val="1"/>
                <w:sz w:val="20"/>
                <w:szCs w:val="20"/>
              </w:rPr>
              <w:t xml:space="preserve"> </w:t>
            </w:r>
            <w:r w:rsidRPr="00403741">
              <w:rPr>
                <w:rFonts w:ascii="Cambria Math" w:hAnsi="Cambria Math"/>
                <w:color w:val="0137A6"/>
                <w:w w:val="85"/>
                <w:position w:val="1"/>
                <w:sz w:val="20"/>
                <w:szCs w:val="20"/>
              </w:rPr>
              <w:t>years</w:t>
            </w:r>
            <w:r w:rsidRPr="00403741">
              <w:rPr>
                <w:rFonts w:ascii="Cambria Math" w:hAnsi="Cambria Math"/>
                <w:color w:val="0137A6"/>
                <w:spacing w:val="-3"/>
                <w:position w:val="1"/>
                <w:sz w:val="20"/>
                <w:szCs w:val="20"/>
              </w:rPr>
              <w:t xml:space="preserve"> </w:t>
            </w:r>
            <w:r w:rsidRPr="00403741">
              <w:rPr>
                <w:rFonts w:ascii="Cambria Math" w:hAnsi="Cambria Math"/>
                <w:color w:val="0137A6"/>
                <w:w w:val="85"/>
                <w:position w:val="1"/>
                <w:sz w:val="20"/>
                <w:szCs w:val="20"/>
              </w:rPr>
              <w:t>t</w:t>
            </w:r>
            <w:r w:rsidRPr="00403741">
              <w:rPr>
                <w:rFonts w:ascii="Cambria Math" w:hAnsi="Cambria Math"/>
                <w:color w:val="0137A6"/>
                <w:spacing w:val="-1"/>
                <w:position w:val="1"/>
                <w:sz w:val="20"/>
                <w:szCs w:val="20"/>
              </w:rPr>
              <w:t xml:space="preserve"> </w:t>
            </w:r>
            <w:r w:rsidRPr="00403741">
              <w:rPr>
                <w:rFonts w:ascii="Cambria Math" w:hAnsi="Cambria Math"/>
                <w:color w:val="0137A6"/>
                <w:w w:val="85"/>
                <w:position w:val="1"/>
                <w:sz w:val="20"/>
                <w:szCs w:val="20"/>
              </w:rPr>
              <w:t>and</w:t>
            </w:r>
            <w:r w:rsidRPr="00403741">
              <w:rPr>
                <w:rFonts w:ascii="Cambria Math" w:hAnsi="Cambria Math"/>
                <w:color w:val="0137A6"/>
                <w:spacing w:val="-2"/>
                <w:position w:val="1"/>
                <w:sz w:val="20"/>
                <w:szCs w:val="20"/>
              </w:rPr>
              <w:t xml:space="preserve"> </w:t>
            </w:r>
            <w:r w:rsidRPr="00403741">
              <w:rPr>
                <w:rFonts w:ascii="Cambria Math" w:hAnsi="Cambria Math"/>
                <w:color w:val="0137A6"/>
                <w:w w:val="85"/>
                <w:position w:val="1"/>
                <w:sz w:val="20"/>
                <w:szCs w:val="20"/>
              </w:rPr>
              <w:t>prior</w:t>
            </w:r>
            <w:r w:rsidRPr="00403741">
              <w:rPr>
                <w:rFonts w:ascii="Cambria Math" w:hAnsi="Cambria Math"/>
                <w:color w:val="0137A6"/>
                <w:spacing w:val="1"/>
                <w:position w:val="1"/>
                <w:sz w:val="20"/>
                <w:szCs w:val="20"/>
              </w:rPr>
              <w:t xml:space="preserve"> </w:t>
            </w:r>
            <w:r w:rsidRPr="00403741">
              <w:rPr>
                <w:rFonts w:ascii="Cambria Math" w:hAnsi="Cambria Math"/>
                <w:color w:val="0137A6"/>
                <w:w w:val="85"/>
                <w:position w:val="1"/>
                <w:sz w:val="20"/>
                <w:szCs w:val="20"/>
              </w:rPr>
              <w:t>but</w:t>
            </w:r>
            <w:r w:rsidRPr="00403741">
              <w:rPr>
                <w:rFonts w:ascii="Cambria Math" w:hAnsi="Cambria Math"/>
                <w:color w:val="0137A6"/>
                <w:spacing w:val="-8"/>
                <w:position w:val="1"/>
                <w:sz w:val="20"/>
                <w:szCs w:val="20"/>
              </w:rPr>
              <w:t xml:space="preserve"> </w:t>
            </w:r>
            <w:r w:rsidRPr="00403741">
              <w:rPr>
                <w:rFonts w:ascii="Cambria Math" w:hAnsi="Cambria Math"/>
                <w:color w:val="0137A6"/>
                <w:w w:val="85"/>
                <w:position w:val="1"/>
                <w:sz w:val="20"/>
                <w:szCs w:val="20"/>
              </w:rPr>
              <w:t>reported</w:t>
            </w:r>
            <w:r w:rsidRPr="00403741">
              <w:rPr>
                <w:rFonts w:ascii="Cambria Math" w:hAnsi="Cambria Math"/>
                <w:color w:val="0137A6"/>
                <w:spacing w:val="-4"/>
                <w:position w:val="1"/>
                <w:sz w:val="20"/>
                <w:szCs w:val="20"/>
              </w:rPr>
              <w:t xml:space="preserve"> </w:t>
            </w:r>
            <w:r w:rsidRPr="00403741">
              <w:rPr>
                <w:rFonts w:ascii="Cambria Math" w:hAnsi="Cambria Math"/>
                <w:color w:val="0137A6"/>
                <w:w w:val="85"/>
                <w:position w:val="1"/>
                <w:sz w:val="20"/>
                <w:szCs w:val="20"/>
              </w:rPr>
              <w:t>in</w:t>
            </w:r>
            <w:r w:rsidRPr="00403741">
              <w:rPr>
                <w:rFonts w:ascii="Cambria Math" w:hAnsi="Cambria Math"/>
                <w:color w:val="0137A6"/>
                <w:spacing w:val="-5"/>
                <w:position w:val="1"/>
                <w:sz w:val="20"/>
                <w:szCs w:val="20"/>
              </w:rPr>
              <w:t xml:space="preserve"> </w:t>
            </w:r>
            <w:r w:rsidRPr="00403741">
              <w:rPr>
                <w:rFonts w:ascii="Cambria Math" w:hAnsi="Cambria Math"/>
                <w:color w:val="0137A6"/>
                <w:w w:val="85"/>
                <w:position w:val="1"/>
                <w:sz w:val="20"/>
                <w:szCs w:val="20"/>
              </w:rPr>
              <w:t>year</w:t>
            </w:r>
            <w:r w:rsidRPr="00403741">
              <w:rPr>
                <w:rFonts w:ascii="Cambria Math" w:hAnsi="Cambria Math"/>
                <w:color w:val="0137A6"/>
                <w:spacing w:val="-3"/>
                <w:position w:val="1"/>
                <w:sz w:val="20"/>
                <w:szCs w:val="20"/>
              </w:rPr>
              <w:t xml:space="preserve"> </w:t>
            </w:r>
            <w:r w:rsidRPr="00403741">
              <w:rPr>
                <w:rFonts w:ascii="Cambria Math" w:hAnsi="Cambria Math"/>
                <w:color w:val="0137A6"/>
                <w:w w:val="85"/>
                <w:position w:val="1"/>
                <w:sz w:val="20"/>
                <w:szCs w:val="20"/>
              </w:rPr>
              <w:t>(t</w:t>
            </w:r>
            <w:r w:rsidRPr="00403741">
              <w:rPr>
                <w:rFonts w:ascii="Cambria Math" w:hAnsi="Cambria Math"/>
                <w:color w:val="0137A6"/>
                <w:spacing w:val="2"/>
                <w:position w:val="1"/>
                <w:sz w:val="20"/>
                <w:szCs w:val="20"/>
              </w:rPr>
              <w:t xml:space="preserve"> </w:t>
            </w:r>
            <w:r w:rsidRPr="00403741">
              <w:rPr>
                <w:rFonts w:ascii="Cambria Math" w:hAnsi="Cambria Math"/>
                <w:color w:val="0137A6"/>
                <w:w w:val="85"/>
                <w:position w:val="1"/>
                <w:sz w:val="20"/>
                <w:szCs w:val="20"/>
              </w:rPr>
              <w:t>+</w:t>
            </w:r>
            <w:r w:rsidRPr="00403741">
              <w:rPr>
                <w:rFonts w:ascii="Cambria Math" w:hAnsi="Cambria Math"/>
                <w:color w:val="0137A6"/>
                <w:spacing w:val="-4"/>
                <w:position w:val="1"/>
                <w:sz w:val="20"/>
                <w:szCs w:val="20"/>
              </w:rPr>
              <w:t xml:space="preserve"> </w:t>
            </w:r>
            <w:r w:rsidRPr="00403741">
              <w:rPr>
                <w:rFonts w:ascii="Cambria Math" w:hAnsi="Cambria Math"/>
                <w:color w:val="0137A6"/>
                <w:w w:val="85"/>
                <w:position w:val="1"/>
                <w:sz w:val="20"/>
                <w:szCs w:val="20"/>
              </w:rPr>
              <w:t>1)</w:t>
            </w:r>
            <w:r w:rsidRPr="00403741">
              <w:rPr>
                <w:rFonts w:ascii="Cambria Math" w:hAnsi="Cambria Math"/>
                <w:color w:val="0137A6"/>
                <w:spacing w:val="-3"/>
                <w:position w:val="1"/>
                <w:sz w:val="20"/>
                <w:szCs w:val="20"/>
              </w:rPr>
              <w:t xml:space="preserve"> </w:t>
            </w:r>
            <w:r w:rsidRPr="00403741">
              <w:rPr>
                <w:rFonts w:ascii="Cambria Math" w:hAnsi="Cambria Math"/>
                <w:color w:val="0137A6"/>
                <w:w w:val="85"/>
                <w:position w:val="1"/>
                <w:sz w:val="20"/>
                <w:szCs w:val="20"/>
              </w:rPr>
              <w:t>to</w:t>
            </w:r>
            <w:r w:rsidRPr="00403741">
              <w:rPr>
                <w:rFonts w:ascii="Cambria Math" w:hAnsi="Cambria Math"/>
                <w:color w:val="0137A6"/>
                <w:spacing w:val="-3"/>
                <w:position w:val="1"/>
                <w:sz w:val="20"/>
                <w:szCs w:val="20"/>
              </w:rPr>
              <w:t xml:space="preserve"> </w:t>
            </w:r>
            <w:r w:rsidRPr="00403741">
              <w:rPr>
                <w:rFonts w:ascii="Cambria Math" w:hAnsi="Cambria Math"/>
                <w:color w:val="0137A6"/>
                <w:spacing w:val="-10"/>
                <w:w w:val="85"/>
                <w:position w:val="1"/>
                <w:sz w:val="20"/>
                <w:szCs w:val="20"/>
              </w:rPr>
              <w:t>V</w:t>
            </w:r>
          </w:p>
        </w:tc>
      </w:tr>
      <w:tr w:rsidR="005F243A" w:rsidRPr="00403741" w14:paraId="2FD4286D" w14:textId="77777777" w:rsidTr="00EF737C">
        <w:trPr>
          <w:trHeight w:val="571"/>
        </w:trPr>
        <w:tc>
          <w:tcPr>
            <w:tcW w:w="8172" w:type="dxa"/>
          </w:tcPr>
          <w:p w14:paraId="0D8E86C0" w14:textId="77777777" w:rsidR="005F243A" w:rsidRPr="00403741" w:rsidRDefault="005F243A" w:rsidP="00EF737C">
            <w:pPr>
              <w:pStyle w:val="TableParagraph"/>
              <w:spacing w:before="158"/>
              <w:ind w:left="50"/>
              <w:rPr>
                <w:rFonts w:ascii="Cambria Math" w:hAnsi="Cambria Math"/>
                <w:color w:val="0137A6"/>
                <w:sz w:val="20"/>
                <w:szCs w:val="20"/>
              </w:rPr>
            </w:pPr>
            <w:r w:rsidRPr="00403741">
              <w:rPr>
                <w:rFonts w:ascii="Cambria Math" w:hAnsi="Cambria Math"/>
                <w:color w:val="0137A6"/>
                <w:w w:val="85"/>
                <w:position w:val="1"/>
                <w:sz w:val="20"/>
                <w:szCs w:val="20"/>
              </w:rPr>
              <w:t>%</w:t>
            </w:r>
            <w:r w:rsidRPr="00403741">
              <w:rPr>
                <w:rFonts w:ascii="Cambria Math" w:hAnsi="Cambria Math"/>
                <w:color w:val="0137A6"/>
                <w:spacing w:val="-8"/>
                <w:position w:val="1"/>
                <w:sz w:val="20"/>
                <w:szCs w:val="20"/>
              </w:rPr>
              <w:t xml:space="preserve"> </w:t>
            </w:r>
            <w:r w:rsidRPr="00403741">
              <w:rPr>
                <w:rFonts w:ascii="Cambria Math" w:hAnsi="Cambria Math"/>
                <w:color w:val="0137A6"/>
                <w:w w:val="85"/>
                <w:position w:val="1"/>
                <w:sz w:val="20"/>
                <w:szCs w:val="20"/>
              </w:rPr>
              <w:t>Utilisation</w:t>
            </w:r>
            <w:r w:rsidRPr="00403741">
              <w:rPr>
                <w:rFonts w:ascii="Cambria Math" w:hAnsi="Cambria Math"/>
                <w:color w:val="0137A6"/>
                <w:spacing w:val="-2"/>
                <w:position w:val="1"/>
                <w:sz w:val="20"/>
                <w:szCs w:val="20"/>
              </w:rPr>
              <w:t xml:space="preserve"> </w:t>
            </w:r>
            <w:r w:rsidRPr="00403741">
              <w:rPr>
                <w:rFonts w:ascii="Cambria Math" w:hAnsi="Cambria Math"/>
                <w:color w:val="0137A6"/>
                <w:w w:val="85"/>
                <w:position w:val="1"/>
                <w:sz w:val="20"/>
                <w:szCs w:val="20"/>
              </w:rPr>
              <w:t>=</w:t>
            </w:r>
            <w:r w:rsidRPr="00403741">
              <w:rPr>
                <w:rFonts w:ascii="Cambria Math" w:hAnsi="Cambria Math"/>
                <w:color w:val="0137A6"/>
                <w:spacing w:val="-4"/>
                <w:position w:val="1"/>
                <w:sz w:val="20"/>
                <w:szCs w:val="20"/>
              </w:rPr>
              <w:t xml:space="preserve"> </w:t>
            </w:r>
            <w:r w:rsidRPr="00403741">
              <w:rPr>
                <w:rFonts w:ascii="Cambria Math" w:hAnsi="Cambria Math"/>
                <w:color w:val="0137A6"/>
                <w:w w:val="85"/>
                <w:position w:val="1"/>
                <w:sz w:val="20"/>
                <w:szCs w:val="20"/>
              </w:rPr>
              <w:t>U/IBNR</w:t>
            </w:r>
            <w:r w:rsidRPr="00403741">
              <w:rPr>
                <w:rFonts w:ascii="Cambria Math" w:hAnsi="Cambria Math"/>
                <w:color w:val="0137A6"/>
                <w:spacing w:val="-3"/>
                <w:position w:val="1"/>
                <w:sz w:val="20"/>
                <w:szCs w:val="20"/>
              </w:rPr>
              <w:t xml:space="preserve"> </w:t>
            </w:r>
            <w:r w:rsidRPr="00403741">
              <w:rPr>
                <w:rFonts w:ascii="Cambria Math" w:hAnsi="Cambria Math"/>
                <w:color w:val="0137A6"/>
                <w:spacing w:val="-10"/>
                <w:w w:val="85"/>
                <w:sz w:val="20"/>
                <w:szCs w:val="20"/>
              </w:rPr>
              <w:t>t</w:t>
            </w:r>
          </w:p>
        </w:tc>
      </w:tr>
      <w:tr w:rsidR="005F243A" w:rsidRPr="00403741" w14:paraId="4F09C9AA" w14:textId="77777777" w:rsidTr="00EF737C">
        <w:trPr>
          <w:trHeight w:val="538"/>
        </w:trPr>
        <w:tc>
          <w:tcPr>
            <w:tcW w:w="8172" w:type="dxa"/>
          </w:tcPr>
          <w:p w14:paraId="791FABAB" w14:textId="77777777" w:rsidR="005F243A" w:rsidRPr="00403741" w:rsidRDefault="005F243A" w:rsidP="00EF737C">
            <w:pPr>
              <w:pStyle w:val="TableParagraph"/>
              <w:spacing w:before="167"/>
              <w:ind w:left="50"/>
              <w:rPr>
                <w:rFonts w:ascii="Cambria Math" w:hAnsi="Cambria Math"/>
                <w:color w:val="0137A6"/>
                <w:sz w:val="20"/>
                <w:szCs w:val="20"/>
              </w:rPr>
            </w:pPr>
            <w:r w:rsidRPr="00403741">
              <w:rPr>
                <w:rFonts w:ascii="Cambria Math" w:hAnsi="Cambria Math"/>
                <w:color w:val="0137A6"/>
                <w:spacing w:val="-2"/>
                <w:sz w:val="20"/>
                <w:szCs w:val="20"/>
              </w:rPr>
              <w:t>Where:</w:t>
            </w:r>
          </w:p>
        </w:tc>
      </w:tr>
      <w:tr w:rsidR="005F243A" w:rsidRPr="00403741" w14:paraId="7AEEFF92" w14:textId="77777777" w:rsidTr="00EF737C">
        <w:trPr>
          <w:trHeight w:val="1461"/>
        </w:trPr>
        <w:tc>
          <w:tcPr>
            <w:tcW w:w="8172" w:type="dxa"/>
          </w:tcPr>
          <w:p w14:paraId="458A530D" w14:textId="77777777" w:rsidR="005F243A" w:rsidRPr="00403741" w:rsidRDefault="005F243A" w:rsidP="00EF737C">
            <w:pPr>
              <w:pStyle w:val="TableParagraph"/>
              <w:spacing w:before="160" w:line="244" w:lineRule="exact"/>
              <w:ind w:left="2" w:right="2"/>
              <w:rPr>
                <w:rFonts w:ascii="Cambria Math" w:hAnsi="Cambria Math"/>
                <w:color w:val="0137A6"/>
                <w:sz w:val="20"/>
                <w:szCs w:val="20"/>
              </w:rPr>
            </w:pPr>
            <w:r w:rsidRPr="00403741">
              <w:rPr>
                <w:rFonts w:ascii="Cambria Math" w:hAnsi="Cambria Math"/>
                <w:color w:val="0137A6"/>
                <w:w w:val="85"/>
                <w:sz w:val="20"/>
                <w:szCs w:val="20"/>
              </w:rPr>
              <w:t>Total</w:t>
            </w:r>
            <w:r w:rsidRPr="00403741">
              <w:rPr>
                <w:rFonts w:ascii="Cambria Math" w:hAnsi="Cambria Math"/>
                <w:color w:val="0137A6"/>
                <w:spacing w:val="-1"/>
                <w:sz w:val="20"/>
                <w:szCs w:val="20"/>
              </w:rPr>
              <w:t xml:space="preserve"> </w:t>
            </w:r>
            <w:r w:rsidRPr="00403741">
              <w:rPr>
                <w:rFonts w:ascii="Cambria Math" w:hAnsi="Cambria Math"/>
                <w:color w:val="0137A6"/>
                <w:w w:val="85"/>
                <w:sz w:val="20"/>
                <w:szCs w:val="20"/>
              </w:rPr>
              <w:t>Claims</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incurred</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z w:val="20"/>
                <w:szCs w:val="20"/>
              </w:rPr>
              <w:t xml:space="preserve"> </w:t>
            </w:r>
            <w:r w:rsidRPr="00403741">
              <w:rPr>
                <w:rFonts w:ascii="Cambria Math" w:hAnsi="Cambria Math"/>
                <w:color w:val="0137A6"/>
                <w:w w:val="85"/>
                <w:sz w:val="20"/>
                <w:szCs w:val="20"/>
              </w:rPr>
              <w:t>years</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and</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prior</w:t>
            </w:r>
            <w:r w:rsidRPr="00403741">
              <w:rPr>
                <w:rFonts w:ascii="Cambria Math" w:hAnsi="Cambria Math"/>
                <w:color w:val="0137A6"/>
                <w:spacing w:val="-1"/>
                <w:sz w:val="20"/>
                <w:szCs w:val="20"/>
              </w:rPr>
              <w:t xml:space="preserve"> </w:t>
            </w:r>
            <w:r w:rsidRPr="00403741">
              <w:rPr>
                <w:rFonts w:ascii="Cambria Math" w:hAnsi="Cambria Math"/>
                <w:color w:val="0137A6"/>
                <w:w w:val="85"/>
                <w:sz w:val="20"/>
                <w:szCs w:val="20"/>
              </w:rPr>
              <w:t>but</w:t>
            </w:r>
            <w:r w:rsidRPr="00403741">
              <w:rPr>
                <w:rFonts w:ascii="Cambria Math" w:hAnsi="Cambria Math"/>
                <w:color w:val="0137A6"/>
                <w:spacing w:val="-6"/>
                <w:sz w:val="20"/>
                <w:szCs w:val="20"/>
              </w:rPr>
              <w:t xml:space="preserve"> </w:t>
            </w:r>
            <w:r w:rsidRPr="00403741">
              <w:rPr>
                <w:rFonts w:ascii="Cambria Math" w:hAnsi="Cambria Math"/>
                <w:color w:val="0137A6"/>
                <w:w w:val="85"/>
                <w:sz w:val="20"/>
                <w:szCs w:val="20"/>
              </w:rPr>
              <w:t>reported</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pacing w:val="-3"/>
                <w:sz w:val="20"/>
                <w:szCs w:val="20"/>
              </w:rPr>
              <w:t xml:space="preserve"> </w:t>
            </w:r>
            <w:r w:rsidRPr="00403741">
              <w:rPr>
                <w:rFonts w:ascii="Cambria Math" w:hAnsi="Cambria Math"/>
                <w:color w:val="0137A6"/>
                <w:w w:val="85"/>
                <w:sz w:val="20"/>
                <w:szCs w:val="20"/>
              </w:rPr>
              <w:t>year</w:t>
            </w:r>
            <w:r w:rsidRPr="00403741">
              <w:rPr>
                <w:rFonts w:ascii="Cambria Math" w:hAnsi="Cambria Math"/>
                <w:color w:val="0137A6"/>
                <w:spacing w:val="1"/>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z w:val="20"/>
                <w:szCs w:val="20"/>
              </w:rPr>
              <w:t xml:space="preserve"> </w:t>
            </w:r>
            <w:r w:rsidRPr="00403741">
              <w:rPr>
                <w:rFonts w:ascii="Cambria Math" w:hAnsi="Cambria Math"/>
                <w:color w:val="0137A6"/>
                <w:w w:val="85"/>
                <w:sz w:val="20"/>
                <w:szCs w:val="20"/>
              </w:rPr>
              <w:t>+</w:t>
            </w:r>
            <w:r w:rsidRPr="00403741">
              <w:rPr>
                <w:rFonts w:ascii="Cambria Math" w:hAnsi="Cambria Math"/>
                <w:color w:val="0137A6"/>
                <w:spacing w:val="1"/>
                <w:sz w:val="20"/>
                <w:szCs w:val="20"/>
              </w:rPr>
              <w:t xml:space="preserve"> </w:t>
            </w:r>
            <w:r w:rsidRPr="00403741">
              <w:rPr>
                <w:rFonts w:ascii="Cambria Math" w:hAnsi="Cambria Math"/>
                <w:color w:val="0137A6"/>
                <w:w w:val="85"/>
                <w:sz w:val="20"/>
                <w:szCs w:val="20"/>
              </w:rPr>
              <w:t>1)</w:t>
            </w:r>
            <w:r w:rsidRPr="00403741">
              <w:rPr>
                <w:rFonts w:ascii="Cambria Math" w:hAnsi="Cambria Math"/>
                <w:color w:val="0137A6"/>
                <w:spacing w:val="56"/>
                <w:sz w:val="20"/>
                <w:szCs w:val="20"/>
              </w:rPr>
              <w:t xml:space="preserve"> </w:t>
            </w:r>
            <w:r w:rsidRPr="00403741">
              <w:rPr>
                <w:rFonts w:ascii="Cambria Math" w:hAnsi="Cambria Math"/>
                <w:color w:val="0137A6"/>
                <w:w w:val="85"/>
                <w:sz w:val="20"/>
                <w:szCs w:val="20"/>
              </w:rPr>
              <w:t>to</w:t>
            </w:r>
            <w:r w:rsidRPr="00403741">
              <w:rPr>
                <w:rFonts w:ascii="Cambria Math" w:hAnsi="Cambria Math"/>
                <w:color w:val="0137A6"/>
                <w:spacing w:val="-1"/>
                <w:sz w:val="20"/>
                <w:szCs w:val="20"/>
              </w:rPr>
              <w:t xml:space="preserve"> </w:t>
            </w:r>
            <w:r w:rsidRPr="00403741">
              <w:rPr>
                <w:rFonts w:ascii="Cambria Math" w:hAnsi="Cambria Math"/>
                <w:color w:val="0137A6"/>
                <w:spacing w:val="-10"/>
                <w:w w:val="85"/>
                <w:sz w:val="20"/>
                <w:szCs w:val="20"/>
              </w:rPr>
              <w:t>V</w:t>
            </w:r>
          </w:p>
          <w:p w14:paraId="66A100D2" w14:textId="77777777" w:rsidR="005F243A" w:rsidRPr="00403741" w:rsidRDefault="005F243A" w:rsidP="00EF737C">
            <w:pPr>
              <w:pStyle w:val="TableParagraph"/>
              <w:spacing w:line="285" w:lineRule="exact"/>
              <w:ind w:left="2"/>
              <w:rPr>
                <w:rFonts w:ascii="Cambria Math" w:hAnsi="Cambria Math"/>
                <w:color w:val="0137A6"/>
                <w:sz w:val="20"/>
                <w:szCs w:val="20"/>
              </w:rPr>
            </w:pPr>
            <w:r w:rsidRPr="00403741">
              <w:rPr>
                <w:rFonts w:ascii="Cambria Math" w:hAnsi="Cambria Math"/>
                <w:color w:val="0137A6"/>
                <w:spacing w:val="-10"/>
                <w:w w:val="80"/>
                <w:sz w:val="20"/>
                <w:szCs w:val="20"/>
              </w:rPr>
              <w:t>=</w:t>
            </w:r>
          </w:p>
          <w:p w14:paraId="49A97618" w14:textId="77777777" w:rsidR="005F243A" w:rsidRPr="00403741" w:rsidRDefault="005F243A" w:rsidP="00EF737C">
            <w:pPr>
              <w:pStyle w:val="TableParagraph"/>
              <w:spacing w:line="243" w:lineRule="exact"/>
              <w:ind w:left="2"/>
              <w:rPr>
                <w:rFonts w:ascii="Cambria Math" w:hAnsi="Cambria Math"/>
                <w:color w:val="0137A6"/>
                <w:sz w:val="20"/>
                <w:szCs w:val="20"/>
              </w:rPr>
            </w:pPr>
            <w:r w:rsidRPr="00403741">
              <w:rPr>
                <w:rFonts w:ascii="Cambria Math" w:hAnsi="Cambria Math"/>
                <w:color w:val="0137A6"/>
                <w:w w:val="85"/>
                <w:sz w:val="20"/>
                <w:szCs w:val="20"/>
              </w:rPr>
              <w:t>Outstanding</w:t>
            </w:r>
            <w:r w:rsidRPr="00403741">
              <w:rPr>
                <w:rFonts w:ascii="Cambria Math" w:hAnsi="Cambria Math"/>
                <w:color w:val="0137A6"/>
                <w:spacing w:val="-3"/>
                <w:sz w:val="20"/>
                <w:szCs w:val="20"/>
              </w:rPr>
              <w:t xml:space="preserve"> </w:t>
            </w:r>
            <w:r w:rsidRPr="00403741">
              <w:rPr>
                <w:rFonts w:ascii="Cambria Math" w:hAnsi="Cambria Math"/>
                <w:color w:val="0137A6"/>
                <w:w w:val="85"/>
                <w:sz w:val="20"/>
                <w:szCs w:val="20"/>
              </w:rPr>
              <w:t>Claims</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as</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at</w:t>
            </w:r>
            <w:r w:rsidRPr="00403741">
              <w:rPr>
                <w:rFonts w:ascii="Cambria Math" w:hAnsi="Cambria Math"/>
                <w:color w:val="0137A6"/>
                <w:sz w:val="20"/>
                <w:szCs w:val="20"/>
              </w:rPr>
              <w:t xml:space="preserve"> </w:t>
            </w:r>
            <w:r w:rsidRPr="00403741">
              <w:rPr>
                <w:rFonts w:ascii="Cambria Math" w:hAnsi="Cambria Math"/>
                <w:color w:val="0137A6"/>
                <w:w w:val="85"/>
                <w:sz w:val="20"/>
                <w:szCs w:val="20"/>
              </w:rPr>
              <w:t>V</w:t>
            </w:r>
            <w:r w:rsidRPr="00403741">
              <w:rPr>
                <w:rFonts w:ascii="Cambria Math" w:hAnsi="Cambria Math"/>
                <w:color w:val="0137A6"/>
                <w:sz w:val="20"/>
                <w:szCs w:val="20"/>
              </w:rPr>
              <w:t xml:space="preserve"> </w:t>
            </w:r>
            <w:r w:rsidRPr="00403741">
              <w:rPr>
                <w:rFonts w:ascii="Cambria Math" w:hAnsi="Cambria Math"/>
                <w:color w:val="0137A6"/>
                <w:w w:val="85"/>
                <w:sz w:val="20"/>
                <w:szCs w:val="20"/>
              </w:rPr>
              <w:t>incurred</w:t>
            </w:r>
            <w:r w:rsidRPr="00403741">
              <w:rPr>
                <w:rFonts w:ascii="Cambria Math" w:hAnsi="Cambria Math"/>
                <w:color w:val="0137A6"/>
                <w:spacing w:val="-1"/>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pacing w:val="-4"/>
                <w:sz w:val="20"/>
                <w:szCs w:val="20"/>
              </w:rPr>
              <w:t xml:space="preserve"> </w:t>
            </w:r>
            <w:r w:rsidRPr="00403741">
              <w:rPr>
                <w:rFonts w:ascii="Cambria Math" w:hAnsi="Cambria Math"/>
                <w:color w:val="0137A6"/>
                <w:w w:val="85"/>
                <w:sz w:val="20"/>
                <w:szCs w:val="20"/>
              </w:rPr>
              <w:t>years</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pacing w:val="-3"/>
                <w:sz w:val="20"/>
                <w:szCs w:val="20"/>
              </w:rPr>
              <w:t xml:space="preserve"> </w:t>
            </w:r>
            <w:r w:rsidRPr="00403741">
              <w:rPr>
                <w:rFonts w:ascii="Cambria Math" w:hAnsi="Cambria Math"/>
                <w:color w:val="0137A6"/>
                <w:w w:val="85"/>
                <w:sz w:val="20"/>
                <w:szCs w:val="20"/>
              </w:rPr>
              <w:t>and</w:t>
            </w:r>
            <w:r w:rsidRPr="00403741">
              <w:rPr>
                <w:rFonts w:ascii="Cambria Math" w:hAnsi="Cambria Math"/>
                <w:color w:val="0137A6"/>
                <w:spacing w:val="-4"/>
                <w:sz w:val="20"/>
                <w:szCs w:val="20"/>
              </w:rPr>
              <w:t xml:space="preserve"> </w:t>
            </w:r>
            <w:r w:rsidRPr="00403741">
              <w:rPr>
                <w:rFonts w:ascii="Cambria Math" w:hAnsi="Cambria Math"/>
                <w:color w:val="0137A6"/>
                <w:w w:val="85"/>
                <w:sz w:val="20"/>
                <w:szCs w:val="20"/>
              </w:rPr>
              <w:t>prior</w:t>
            </w:r>
            <w:r w:rsidRPr="00403741">
              <w:rPr>
                <w:rFonts w:ascii="Cambria Math" w:hAnsi="Cambria Math"/>
                <w:color w:val="0137A6"/>
                <w:spacing w:val="4"/>
                <w:sz w:val="20"/>
                <w:szCs w:val="20"/>
              </w:rPr>
              <w:t xml:space="preserve"> </w:t>
            </w:r>
            <w:r w:rsidRPr="00403741">
              <w:rPr>
                <w:rFonts w:ascii="Cambria Math" w:hAnsi="Cambria Math"/>
                <w:color w:val="0137A6"/>
                <w:w w:val="85"/>
                <w:sz w:val="20"/>
                <w:szCs w:val="20"/>
              </w:rPr>
              <w:t>but</w:t>
            </w:r>
            <w:r w:rsidRPr="00403741">
              <w:rPr>
                <w:rFonts w:ascii="Cambria Math" w:hAnsi="Cambria Math"/>
                <w:color w:val="0137A6"/>
                <w:spacing w:val="-7"/>
                <w:sz w:val="20"/>
                <w:szCs w:val="20"/>
              </w:rPr>
              <w:t xml:space="preserve"> </w:t>
            </w:r>
            <w:r w:rsidRPr="00403741">
              <w:rPr>
                <w:rFonts w:ascii="Cambria Math" w:hAnsi="Cambria Math"/>
                <w:color w:val="0137A6"/>
                <w:w w:val="85"/>
                <w:sz w:val="20"/>
                <w:szCs w:val="20"/>
              </w:rPr>
              <w:t>reported</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pacing w:val="-3"/>
                <w:sz w:val="20"/>
                <w:szCs w:val="20"/>
              </w:rPr>
              <w:t xml:space="preserve"> </w:t>
            </w:r>
            <w:r w:rsidRPr="00403741">
              <w:rPr>
                <w:rFonts w:ascii="Cambria Math" w:hAnsi="Cambria Math"/>
                <w:color w:val="0137A6"/>
                <w:w w:val="85"/>
                <w:sz w:val="20"/>
                <w:szCs w:val="20"/>
              </w:rPr>
              <w:t>year</w:t>
            </w:r>
            <w:r w:rsidRPr="00403741">
              <w:rPr>
                <w:rFonts w:ascii="Cambria Math" w:hAnsi="Cambria Math"/>
                <w:color w:val="0137A6"/>
                <w:spacing w:val="-2"/>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z w:val="20"/>
                <w:szCs w:val="20"/>
              </w:rPr>
              <w:t xml:space="preserve"> </w:t>
            </w:r>
            <w:r w:rsidRPr="00403741">
              <w:rPr>
                <w:rFonts w:ascii="Cambria Math" w:hAnsi="Cambria Math"/>
                <w:color w:val="0137A6"/>
                <w:w w:val="85"/>
                <w:sz w:val="20"/>
                <w:szCs w:val="20"/>
              </w:rPr>
              <w:t>+</w:t>
            </w:r>
            <w:r w:rsidRPr="00403741">
              <w:rPr>
                <w:rFonts w:ascii="Cambria Math" w:hAnsi="Cambria Math"/>
                <w:color w:val="0137A6"/>
                <w:spacing w:val="-4"/>
                <w:sz w:val="20"/>
                <w:szCs w:val="20"/>
              </w:rPr>
              <w:t xml:space="preserve"> </w:t>
            </w:r>
            <w:r w:rsidRPr="00403741">
              <w:rPr>
                <w:rFonts w:ascii="Cambria Math" w:hAnsi="Cambria Math"/>
                <w:color w:val="0137A6"/>
                <w:w w:val="85"/>
                <w:sz w:val="20"/>
                <w:szCs w:val="20"/>
              </w:rPr>
              <w:t>1)</w:t>
            </w:r>
            <w:r w:rsidRPr="00403741">
              <w:rPr>
                <w:rFonts w:ascii="Cambria Math" w:hAnsi="Cambria Math"/>
                <w:color w:val="0137A6"/>
                <w:spacing w:val="1"/>
                <w:sz w:val="20"/>
                <w:szCs w:val="20"/>
              </w:rPr>
              <w:t xml:space="preserve"> </w:t>
            </w:r>
            <w:r w:rsidRPr="00403741">
              <w:rPr>
                <w:rFonts w:ascii="Cambria Math" w:hAnsi="Cambria Math"/>
                <w:color w:val="0137A6"/>
                <w:w w:val="85"/>
                <w:sz w:val="20"/>
                <w:szCs w:val="20"/>
              </w:rPr>
              <w:t>to</w:t>
            </w:r>
            <w:r w:rsidRPr="00403741">
              <w:rPr>
                <w:rFonts w:ascii="Cambria Math" w:hAnsi="Cambria Math"/>
                <w:color w:val="0137A6"/>
                <w:spacing w:val="-3"/>
                <w:sz w:val="20"/>
                <w:szCs w:val="20"/>
              </w:rPr>
              <w:t xml:space="preserve"> </w:t>
            </w:r>
            <w:r w:rsidRPr="00403741">
              <w:rPr>
                <w:rFonts w:ascii="Cambria Math" w:hAnsi="Cambria Math"/>
                <w:color w:val="0137A6"/>
                <w:spacing w:val="-10"/>
                <w:w w:val="85"/>
                <w:sz w:val="20"/>
                <w:szCs w:val="20"/>
              </w:rPr>
              <w:t>V</w:t>
            </w:r>
          </w:p>
          <w:p w14:paraId="05244F96" w14:textId="77777777" w:rsidR="005F243A" w:rsidRPr="00403741" w:rsidRDefault="005F243A" w:rsidP="00EF737C">
            <w:pPr>
              <w:pStyle w:val="TableParagraph"/>
              <w:spacing w:line="286" w:lineRule="exact"/>
              <w:ind w:left="2"/>
              <w:rPr>
                <w:rFonts w:ascii="Cambria Math" w:hAnsi="Cambria Math"/>
                <w:color w:val="0137A6"/>
                <w:sz w:val="20"/>
                <w:szCs w:val="20"/>
              </w:rPr>
            </w:pPr>
            <w:r w:rsidRPr="00403741">
              <w:rPr>
                <w:rFonts w:ascii="Cambria Math" w:hAnsi="Cambria Math"/>
                <w:color w:val="0137A6"/>
                <w:spacing w:val="-10"/>
                <w:w w:val="80"/>
                <w:sz w:val="20"/>
                <w:szCs w:val="20"/>
              </w:rPr>
              <w:t>+</w:t>
            </w:r>
          </w:p>
          <w:p w14:paraId="5D0DF14D" w14:textId="77777777" w:rsidR="005F243A" w:rsidRPr="00403741" w:rsidRDefault="005F243A" w:rsidP="00EF737C">
            <w:pPr>
              <w:pStyle w:val="TableParagraph"/>
              <w:spacing w:line="224" w:lineRule="exact"/>
              <w:ind w:left="2" w:right="2"/>
              <w:rPr>
                <w:rFonts w:ascii="Cambria Math" w:hAnsi="Cambria Math"/>
                <w:color w:val="0137A6"/>
                <w:sz w:val="20"/>
                <w:szCs w:val="20"/>
              </w:rPr>
            </w:pPr>
            <w:r w:rsidRPr="00403741">
              <w:rPr>
                <w:rFonts w:ascii="Cambria Math" w:hAnsi="Cambria Math"/>
                <w:color w:val="0137A6"/>
                <w:w w:val="85"/>
                <w:sz w:val="20"/>
                <w:szCs w:val="20"/>
              </w:rPr>
              <w:t>Claims</w:t>
            </w:r>
            <w:r w:rsidRPr="00403741">
              <w:rPr>
                <w:rFonts w:ascii="Cambria Math" w:hAnsi="Cambria Math"/>
                <w:color w:val="0137A6"/>
                <w:spacing w:val="-6"/>
                <w:sz w:val="20"/>
                <w:szCs w:val="20"/>
              </w:rPr>
              <w:t xml:space="preserve"> </w:t>
            </w:r>
            <w:r w:rsidRPr="00403741">
              <w:rPr>
                <w:rFonts w:ascii="Cambria Math" w:hAnsi="Cambria Math"/>
                <w:color w:val="0137A6"/>
                <w:w w:val="85"/>
                <w:sz w:val="20"/>
                <w:szCs w:val="20"/>
              </w:rPr>
              <w:t>Paid</w:t>
            </w:r>
            <w:r w:rsidRPr="00403741">
              <w:rPr>
                <w:rFonts w:ascii="Cambria Math" w:hAnsi="Cambria Math"/>
                <w:color w:val="0137A6"/>
                <w:spacing w:val="-6"/>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year</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pacing w:val="-4"/>
                <w:sz w:val="20"/>
                <w:szCs w:val="20"/>
              </w:rPr>
              <w:t xml:space="preserve"> </w:t>
            </w:r>
            <w:r w:rsidRPr="00403741">
              <w:rPr>
                <w:rFonts w:ascii="Cambria Math" w:hAnsi="Cambria Math"/>
                <w:color w:val="0137A6"/>
                <w:w w:val="85"/>
                <w:sz w:val="20"/>
                <w:szCs w:val="20"/>
              </w:rPr>
              <w:t>+</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1)</w:t>
            </w:r>
            <w:r w:rsidRPr="00403741">
              <w:rPr>
                <w:rFonts w:ascii="Cambria Math" w:hAnsi="Cambria Math"/>
                <w:color w:val="0137A6"/>
                <w:spacing w:val="-7"/>
                <w:sz w:val="20"/>
                <w:szCs w:val="20"/>
              </w:rPr>
              <w:t xml:space="preserve"> </w:t>
            </w:r>
            <w:r w:rsidRPr="00403741">
              <w:rPr>
                <w:rFonts w:ascii="Cambria Math" w:hAnsi="Cambria Math"/>
                <w:color w:val="0137A6"/>
                <w:w w:val="85"/>
                <w:sz w:val="20"/>
                <w:szCs w:val="20"/>
              </w:rPr>
              <w:t>to</w:t>
            </w:r>
            <w:r w:rsidRPr="00403741">
              <w:rPr>
                <w:rFonts w:ascii="Cambria Math" w:hAnsi="Cambria Math"/>
                <w:color w:val="0137A6"/>
                <w:spacing w:val="-6"/>
                <w:sz w:val="20"/>
                <w:szCs w:val="20"/>
              </w:rPr>
              <w:t xml:space="preserve"> </w:t>
            </w:r>
            <w:r w:rsidRPr="00403741">
              <w:rPr>
                <w:rFonts w:ascii="Cambria Math" w:hAnsi="Cambria Math"/>
                <w:color w:val="0137A6"/>
                <w:w w:val="85"/>
                <w:sz w:val="20"/>
                <w:szCs w:val="20"/>
              </w:rPr>
              <w:t>V,</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reported</w:t>
            </w:r>
            <w:r w:rsidRPr="00403741">
              <w:rPr>
                <w:rFonts w:ascii="Cambria Math" w:hAnsi="Cambria Math"/>
                <w:color w:val="0137A6"/>
                <w:spacing w:val="-6"/>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year</w:t>
            </w:r>
            <w:r w:rsidRPr="00403741">
              <w:rPr>
                <w:rFonts w:ascii="Cambria Math" w:hAnsi="Cambria Math"/>
                <w:color w:val="0137A6"/>
                <w:spacing w:val="-7"/>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pacing w:val="-4"/>
                <w:sz w:val="20"/>
                <w:szCs w:val="20"/>
              </w:rPr>
              <w:t xml:space="preserve"> </w:t>
            </w:r>
            <w:r w:rsidRPr="00403741">
              <w:rPr>
                <w:rFonts w:ascii="Cambria Math" w:hAnsi="Cambria Math"/>
                <w:color w:val="0137A6"/>
                <w:w w:val="85"/>
                <w:sz w:val="20"/>
                <w:szCs w:val="20"/>
              </w:rPr>
              <w:t>+</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1)</w:t>
            </w:r>
            <w:r w:rsidRPr="00403741">
              <w:rPr>
                <w:rFonts w:ascii="Cambria Math" w:hAnsi="Cambria Math"/>
                <w:color w:val="0137A6"/>
                <w:spacing w:val="-5"/>
                <w:sz w:val="20"/>
                <w:szCs w:val="20"/>
              </w:rPr>
              <w:t xml:space="preserve"> </w:t>
            </w:r>
            <w:r w:rsidRPr="00403741">
              <w:rPr>
                <w:rFonts w:ascii="Cambria Math" w:hAnsi="Cambria Math"/>
                <w:color w:val="0137A6"/>
                <w:w w:val="85"/>
                <w:sz w:val="20"/>
                <w:szCs w:val="20"/>
              </w:rPr>
              <w:t>to</w:t>
            </w:r>
            <w:r w:rsidRPr="00403741">
              <w:rPr>
                <w:rFonts w:ascii="Cambria Math" w:hAnsi="Cambria Math"/>
                <w:color w:val="0137A6"/>
                <w:spacing w:val="-6"/>
                <w:sz w:val="20"/>
                <w:szCs w:val="20"/>
              </w:rPr>
              <w:t xml:space="preserve"> </w:t>
            </w:r>
            <w:r w:rsidRPr="00403741">
              <w:rPr>
                <w:rFonts w:ascii="Cambria Math" w:hAnsi="Cambria Math"/>
                <w:color w:val="0137A6"/>
                <w:w w:val="85"/>
                <w:sz w:val="20"/>
                <w:szCs w:val="20"/>
              </w:rPr>
              <w:t>V,</w:t>
            </w:r>
            <w:r w:rsidRPr="00403741">
              <w:rPr>
                <w:rFonts w:ascii="Cambria Math" w:hAnsi="Cambria Math"/>
                <w:color w:val="0137A6"/>
                <w:spacing w:val="-1"/>
                <w:w w:val="85"/>
                <w:sz w:val="20"/>
                <w:szCs w:val="20"/>
              </w:rPr>
              <w:t xml:space="preserve"> </w:t>
            </w:r>
            <w:r w:rsidRPr="00403741">
              <w:rPr>
                <w:rFonts w:ascii="Cambria Math" w:hAnsi="Cambria Math"/>
                <w:color w:val="0137A6"/>
                <w:w w:val="85"/>
                <w:sz w:val="20"/>
                <w:szCs w:val="20"/>
              </w:rPr>
              <w:t>but</w:t>
            </w:r>
            <w:r w:rsidRPr="00403741">
              <w:rPr>
                <w:rFonts w:ascii="Cambria Math" w:hAnsi="Cambria Math"/>
                <w:color w:val="0137A6"/>
                <w:spacing w:val="-2"/>
                <w:w w:val="85"/>
                <w:sz w:val="20"/>
                <w:szCs w:val="20"/>
              </w:rPr>
              <w:t xml:space="preserve"> </w:t>
            </w:r>
            <w:r w:rsidRPr="00403741">
              <w:rPr>
                <w:rFonts w:ascii="Cambria Math" w:hAnsi="Cambria Math"/>
                <w:color w:val="0137A6"/>
                <w:w w:val="85"/>
                <w:sz w:val="20"/>
                <w:szCs w:val="20"/>
              </w:rPr>
              <w:t>incurred</w:t>
            </w:r>
            <w:r w:rsidRPr="00403741">
              <w:rPr>
                <w:rFonts w:ascii="Cambria Math" w:hAnsi="Cambria Math"/>
                <w:color w:val="0137A6"/>
                <w:spacing w:val="-8"/>
                <w:sz w:val="20"/>
                <w:szCs w:val="20"/>
              </w:rPr>
              <w:t xml:space="preserve"> </w:t>
            </w:r>
            <w:r w:rsidRPr="00403741">
              <w:rPr>
                <w:rFonts w:ascii="Cambria Math" w:hAnsi="Cambria Math"/>
                <w:color w:val="0137A6"/>
                <w:w w:val="85"/>
                <w:sz w:val="20"/>
                <w:szCs w:val="20"/>
              </w:rPr>
              <w:t>in</w:t>
            </w:r>
            <w:r w:rsidRPr="00403741">
              <w:rPr>
                <w:rFonts w:ascii="Cambria Math" w:hAnsi="Cambria Math"/>
                <w:color w:val="0137A6"/>
                <w:spacing w:val="-7"/>
                <w:sz w:val="20"/>
                <w:szCs w:val="20"/>
              </w:rPr>
              <w:t xml:space="preserve"> </w:t>
            </w:r>
            <w:r w:rsidRPr="00403741">
              <w:rPr>
                <w:rFonts w:ascii="Cambria Math" w:hAnsi="Cambria Math"/>
                <w:color w:val="0137A6"/>
                <w:w w:val="85"/>
                <w:sz w:val="20"/>
                <w:szCs w:val="20"/>
              </w:rPr>
              <w:t>years</w:t>
            </w:r>
            <w:r w:rsidRPr="00403741">
              <w:rPr>
                <w:rFonts w:ascii="Cambria Math" w:hAnsi="Cambria Math"/>
                <w:color w:val="0137A6"/>
                <w:spacing w:val="-7"/>
                <w:sz w:val="20"/>
                <w:szCs w:val="20"/>
              </w:rPr>
              <w:t xml:space="preserve"> </w:t>
            </w:r>
            <w:r w:rsidRPr="00403741">
              <w:rPr>
                <w:rFonts w:ascii="Cambria Math" w:hAnsi="Cambria Math"/>
                <w:color w:val="0137A6"/>
                <w:w w:val="85"/>
                <w:sz w:val="20"/>
                <w:szCs w:val="20"/>
              </w:rPr>
              <w:t>t</w:t>
            </w:r>
            <w:r w:rsidRPr="00403741">
              <w:rPr>
                <w:rFonts w:ascii="Cambria Math" w:hAnsi="Cambria Math"/>
                <w:color w:val="0137A6"/>
                <w:spacing w:val="-5"/>
                <w:sz w:val="20"/>
                <w:szCs w:val="20"/>
              </w:rPr>
              <w:t xml:space="preserve"> </w:t>
            </w:r>
            <w:r w:rsidRPr="00403741">
              <w:rPr>
                <w:rFonts w:ascii="Cambria Math" w:hAnsi="Cambria Math"/>
                <w:color w:val="0137A6"/>
                <w:w w:val="85"/>
                <w:sz w:val="20"/>
                <w:szCs w:val="20"/>
              </w:rPr>
              <w:t>and</w:t>
            </w:r>
            <w:r w:rsidRPr="00403741">
              <w:rPr>
                <w:rFonts w:ascii="Cambria Math" w:hAnsi="Cambria Math"/>
                <w:color w:val="0137A6"/>
                <w:spacing w:val="-8"/>
                <w:sz w:val="20"/>
                <w:szCs w:val="20"/>
              </w:rPr>
              <w:t xml:space="preserve"> </w:t>
            </w:r>
            <w:r w:rsidRPr="00403741">
              <w:rPr>
                <w:rFonts w:ascii="Cambria Math" w:hAnsi="Cambria Math"/>
                <w:color w:val="0137A6"/>
                <w:spacing w:val="-2"/>
                <w:w w:val="85"/>
                <w:sz w:val="20"/>
                <w:szCs w:val="20"/>
              </w:rPr>
              <w:t>prior</w:t>
            </w:r>
          </w:p>
        </w:tc>
      </w:tr>
    </w:tbl>
    <w:p w14:paraId="3DCF73C2" w14:textId="77777777" w:rsidR="005F243A" w:rsidRDefault="005F243A" w:rsidP="005F243A">
      <w:pPr>
        <w:pStyle w:val="NormalBilaNumbers"/>
      </w:pPr>
    </w:p>
    <w:p w14:paraId="5A98ACB8" w14:textId="77777777" w:rsidR="005F243A" w:rsidRDefault="005F243A" w:rsidP="005F243A">
      <w:pPr>
        <w:spacing w:after="160" w:line="259" w:lineRule="auto"/>
        <w:ind w:right="0"/>
        <w:rPr>
          <w:rFonts w:ascii="Nunito Sans SemiBold" w:hAnsi="Nunito Sans SemiBold" w:cs="Times New Roman"/>
          <w:color w:val="0137A6"/>
          <w:szCs w:val="18"/>
        </w:rPr>
      </w:pPr>
      <w:r>
        <w:rPr>
          <w:rFonts w:ascii="Nunito Sans SemiBold" w:hAnsi="Nunito Sans SemiBold"/>
        </w:rPr>
        <w:br w:type="page"/>
      </w:r>
    </w:p>
    <w:p w14:paraId="2E27077B" w14:textId="77777777" w:rsidR="005F243A" w:rsidRPr="00E94F5C" w:rsidRDefault="005F243A" w:rsidP="005F243A">
      <w:pPr>
        <w:pStyle w:val="Heading2"/>
        <w:autoSpaceDE w:val="0"/>
        <w:autoSpaceDN w:val="0"/>
        <w:adjustRightInd w:val="0"/>
        <w:spacing w:line="240" w:lineRule="auto"/>
      </w:pPr>
      <w:bookmarkStart w:id="11" w:name="_Toc210138976"/>
      <w:r w:rsidRPr="00E94F5C">
        <w:lastRenderedPageBreak/>
        <w:t>Outstanding Claims Reserves (OCR)</w:t>
      </w:r>
      <w:bookmarkEnd w:id="11"/>
    </w:p>
    <w:p w14:paraId="2A56BE18" w14:textId="77777777" w:rsidR="005F243A" w:rsidRDefault="005F243A" w:rsidP="005F243A">
      <w:pPr>
        <w:numPr>
          <w:ilvl w:val="1"/>
          <w:numId w:val="2"/>
        </w:numPr>
        <w:autoSpaceDE w:val="0"/>
        <w:autoSpaceDN w:val="0"/>
        <w:adjustRightInd w:val="0"/>
        <w:spacing w:before="240" w:after="240"/>
        <w:ind w:left="720" w:right="0" w:hanging="720"/>
        <w:jc w:val="both"/>
      </w:pPr>
      <w:r w:rsidRPr="009927D1">
        <w:t>Utilisation analysis on the Outstanding Claims Reserve will also be done for the estimates held at the end of each of the past 3 years.</w:t>
      </w:r>
    </w:p>
    <w:p w14:paraId="5CC77256" w14:textId="77777777" w:rsidR="005F243A" w:rsidRPr="009927D1" w:rsidRDefault="005F243A" w:rsidP="005F243A">
      <w:pPr>
        <w:numPr>
          <w:ilvl w:val="1"/>
          <w:numId w:val="2"/>
        </w:numPr>
        <w:autoSpaceDE w:val="0"/>
        <w:autoSpaceDN w:val="0"/>
        <w:adjustRightInd w:val="0"/>
        <w:spacing w:before="240" w:after="240"/>
        <w:ind w:left="720" w:right="0" w:hanging="720"/>
        <w:jc w:val="both"/>
      </w:pPr>
      <w:r w:rsidRPr="009927D1">
        <w:t xml:space="preserve">Proceed as follows;  </w:t>
      </w:r>
    </w:p>
    <w:p w14:paraId="6A7A425A" w14:textId="77777777" w:rsidR="005F243A" w:rsidRPr="00C23926" w:rsidRDefault="005F243A" w:rsidP="005F243A">
      <w:pPr>
        <w:autoSpaceDE w:val="0"/>
        <w:autoSpaceDN w:val="0"/>
        <w:adjustRightInd w:val="0"/>
        <w:spacing w:before="240" w:after="240"/>
        <w:ind w:left="720" w:right="0"/>
        <w:jc w:val="both"/>
      </w:pPr>
      <w:r w:rsidRPr="00C23926">
        <w:t>Let:</w:t>
      </w:r>
    </w:p>
    <w:p w14:paraId="6F507339" w14:textId="77777777" w:rsidR="005F243A" w:rsidRDefault="005F243A" w:rsidP="005F243A">
      <w:pPr>
        <w:autoSpaceDE w:val="0"/>
        <w:autoSpaceDN w:val="0"/>
        <w:adjustRightInd w:val="0"/>
        <w:spacing w:before="240" w:after="240"/>
        <w:ind w:left="720" w:right="0"/>
        <w:jc w:val="both"/>
      </w:pPr>
      <w:r w:rsidRPr="00C23926">
        <w:t xml:space="preserve">t = past year under review </w:t>
      </w:r>
    </w:p>
    <w:p w14:paraId="7C614D8F" w14:textId="77777777" w:rsidR="005F243A" w:rsidRPr="00C23926" w:rsidRDefault="005F243A" w:rsidP="005F243A">
      <w:pPr>
        <w:autoSpaceDE w:val="0"/>
        <w:autoSpaceDN w:val="0"/>
        <w:adjustRightInd w:val="0"/>
        <w:spacing w:before="240" w:after="240"/>
        <w:ind w:left="720" w:right="0"/>
        <w:jc w:val="both"/>
      </w:pPr>
      <w:r w:rsidRPr="00C23926">
        <w:t>O = OCR utilisation</w:t>
      </w:r>
    </w:p>
    <w:p w14:paraId="3BE970E5" w14:textId="77777777" w:rsidR="005F243A" w:rsidRDefault="005F243A" w:rsidP="005F243A">
      <w:pPr>
        <w:autoSpaceDE w:val="0"/>
        <w:autoSpaceDN w:val="0"/>
        <w:adjustRightInd w:val="0"/>
        <w:spacing w:before="240" w:after="240"/>
        <w:ind w:left="720" w:right="0"/>
        <w:jc w:val="both"/>
      </w:pPr>
      <w:r w:rsidRPr="00C23926">
        <w:t>V = current Valuation Date</w:t>
      </w:r>
    </w:p>
    <w:tbl>
      <w:tblPr>
        <w:tblW w:w="0" w:type="auto"/>
        <w:tblInd w:w="1196" w:type="dxa"/>
        <w:tblLayout w:type="fixed"/>
        <w:tblCellMar>
          <w:left w:w="0" w:type="dxa"/>
          <w:right w:w="0" w:type="dxa"/>
        </w:tblCellMar>
        <w:tblLook w:val="01E0" w:firstRow="1" w:lastRow="1" w:firstColumn="1" w:lastColumn="1" w:noHBand="0" w:noVBand="0"/>
      </w:tblPr>
      <w:tblGrid>
        <w:gridCol w:w="1718"/>
        <w:gridCol w:w="6826"/>
      </w:tblGrid>
      <w:tr w:rsidR="005F243A" w:rsidRPr="00160F28" w14:paraId="73BBE4B5" w14:textId="77777777" w:rsidTr="00EF737C">
        <w:trPr>
          <w:trHeight w:val="628"/>
        </w:trPr>
        <w:tc>
          <w:tcPr>
            <w:tcW w:w="1718" w:type="dxa"/>
          </w:tcPr>
          <w:p w14:paraId="059CC41B" w14:textId="77777777" w:rsidR="005F243A" w:rsidRPr="00160F28" w:rsidRDefault="005F243A" w:rsidP="00EF737C">
            <w:pPr>
              <w:pStyle w:val="TableParagraph"/>
              <w:spacing w:before="6"/>
              <w:ind w:right="108"/>
              <w:jc w:val="right"/>
              <w:rPr>
                <w:rFonts w:ascii="Cambria Math" w:hAnsi="Cambria Math"/>
                <w:color w:val="0137A6"/>
                <w:position w:val="1"/>
                <w:sz w:val="20"/>
                <w:szCs w:val="20"/>
              </w:rPr>
            </w:pPr>
            <w:r w:rsidRPr="00160F28">
              <w:rPr>
                <w:rFonts w:ascii="Cambria Math" w:hAnsi="Cambria Math"/>
                <w:color w:val="0137A6"/>
                <w:w w:val="90"/>
                <w:position w:val="1"/>
                <w:sz w:val="20"/>
                <w:szCs w:val="20"/>
              </w:rPr>
              <w:t>Utilisation</w:t>
            </w:r>
            <w:r w:rsidRPr="00160F28">
              <w:rPr>
                <w:rFonts w:ascii="Cambria Math" w:hAnsi="Cambria Math"/>
                <w:color w:val="0137A6"/>
                <w:spacing w:val="-9"/>
                <w:w w:val="90"/>
                <w:position w:val="1"/>
                <w:sz w:val="20"/>
                <w:szCs w:val="20"/>
              </w:rPr>
              <w:t xml:space="preserve"> </w:t>
            </w:r>
            <w:r w:rsidRPr="00160F28">
              <w:rPr>
                <w:rFonts w:ascii="Cambria Math" w:hAnsi="Cambria Math"/>
                <w:color w:val="0137A6"/>
                <w:w w:val="90"/>
                <w:position w:val="1"/>
                <w:sz w:val="20"/>
                <w:szCs w:val="20"/>
              </w:rPr>
              <w:t>(O)</w:t>
            </w:r>
            <w:r w:rsidRPr="00160F28">
              <w:rPr>
                <w:rFonts w:ascii="Cambria Math" w:hAnsi="Cambria Math"/>
                <w:color w:val="0137A6"/>
                <w:spacing w:val="-9"/>
                <w:w w:val="90"/>
                <w:position w:val="1"/>
                <w:sz w:val="20"/>
                <w:szCs w:val="20"/>
              </w:rPr>
              <w:t xml:space="preserve"> </w:t>
            </w:r>
            <w:r w:rsidRPr="00160F28">
              <w:rPr>
                <w:rFonts w:ascii="Cambria Math" w:hAnsi="Cambria Math"/>
                <w:color w:val="0137A6"/>
                <w:w w:val="90"/>
                <w:sz w:val="20"/>
                <w:szCs w:val="20"/>
              </w:rPr>
              <w:t>V</w:t>
            </w:r>
            <w:r w:rsidRPr="00160F28">
              <w:rPr>
                <w:rFonts w:ascii="Cambria Math" w:hAnsi="Cambria Math"/>
                <w:color w:val="0137A6"/>
                <w:spacing w:val="-1"/>
                <w:sz w:val="20"/>
                <w:szCs w:val="20"/>
              </w:rPr>
              <w:t xml:space="preserve"> </w:t>
            </w:r>
            <w:r w:rsidRPr="00160F28">
              <w:rPr>
                <w:rFonts w:ascii="Cambria Math" w:hAnsi="Cambria Math"/>
                <w:color w:val="0137A6"/>
                <w:spacing w:val="-10"/>
                <w:w w:val="90"/>
                <w:position w:val="1"/>
                <w:sz w:val="20"/>
                <w:szCs w:val="20"/>
              </w:rPr>
              <w:t>=</w:t>
            </w:r>
          </w:p>
        </w:tc>
        <w:tc>
          <w:tcPr>
            <w:tcW w:w="6826" w:type="dxa"/>
          </w:tcPr>
          <w:p w14:paraId="6A1BFB26" w14:textId="77777777" w:rsidR="005F243A" w:rsidRPr="00160F28" w:rsidRDefault="005F243A" w:rsidP="00EF737C">
            <w:pPr>
              <w:pStyle w:val="TableParagraph"/>
              <w:spacing w:before="7" w:line="243" w:lineRule="exact"/>
              <w:ind w:left="107"/>
              <w:rPr>
                <w:rFonts w:ascii="Cambria Math" w:hAnsi="Cambria Math"/>
                <w:color w:val="0137A6"/>
                <w:sz w:val="20"/>
                <w:szCs w:val="20"/>
              </w:rPr>
            </w:pPr>
            <w:r w:rsidRPr="00160F28">
              <w:rPr>
                <w:rFonts w:ascii="Cambria Math" w:hAnsi="Cambria Math"/>
                <w:color w:val="0137A6"/>
                <w:w w:val="85"/>
                <w:sz w:val="20"/>
                <w:szCs w:val="20"/>
              </w:rPr>
              <w:t>Total</w:t>
            </w:r>
            <w:r w:rsidRPr="00160F28">
              <w:rPr>
                <w:rFonts w:ascii="Cambria Math" w:hAnsi="Cambria Math"/>
                <w:color w:val="0137A6"/>
                <w:spacing w:val="3"/>
                <w:sz w:val="20"/>
                <w:szCs w:val="20"/>
              </w:rPr>
              <w:t xml:space="preserve"> </w:t>
            </w:r>
            <w:r w:rsidRPr="00160F28">
              <w:rPr>
                <w:rFonts w:ascii="Cambria Math" w:hAnsi="Cambria Math"/>
                <w:color w:val="0137A6"/>
                <w:w w:val="85"/>
                <w:sz w:val="20"/>
                <w:szCs w:val="20"/>
              </w:rPr>
              <w:t>Outstanding</w:t>
            </w:r>
            <w:r w:rsidRPr="00160F28">
              <w:rPr>
                <w:rFonts w:ascii="Cambria Math" w:hAnsi="Cambria Math"/>
                <w:color w:val="0137A6"/>
                <w:spacing w:val="3"/>
                <w:sz w:val="20"/>
                <w:szCs w:val="20"/>
              </w:rPr>
              <w:t xml:space="preserve"> </w:t>
            </w:r>
            <w:r w:rsidRPr="00160F28">
              <w:rPr>
                <w:rFonts w:ascii="Cambria Math" w:hAnsi="Cambria Math"/>
                <w:color w:val="0137A6"/>
                <w:w w:val="85"/>
                <w:sz w:val="20"/>
                <w:szCs w:val="20"/>
              </w:rPr>
              <w:t>Claims</w:t>
            </w:r>
            <w:r w:rsidRPr="00160F28">
              <w:rPr>
                <w:rFonts w:ascii="Cambria Math" w:hAnsi="Cambria Math"/>
                <w:color w:val="0137A6"/>
                <w:spacing w:val="3"/>
                <w:sz w:val="20"/>
                <w:szCs w:val="20"/>
              </w:rPr>
              <w:t xml:space="preserve"> </w:t>
            </w:r>
            <w:r w:rsidRPr="00160F28">
              <w:rPr>
                <w:rFonts w:ascii="Cambria Math" w:hAnsi="Cambria Math"/>
                <w:color w:val="0137A6"/>
                <w:w w:val="85"/>
                <w:sz w:val="20"/>
                <w:szCs w:val="20"/>
              </w:rPr>
              <w:t>as</w:t>
            </w:r>
            <w:r w:rsidRPr="00160F28">
              <w:rPr>
                <w:rFonts w:ascii="Cambria Math" w:hAnsi="Cambria Math"/>
                <w:color w:val="0137A6"/>
                <w:spacing w:val="6"/>
                <w:sz w:val="20"/>
                <w:szCs w:val="20"/>
              </w:rPr>
              <w:t xml:space="preserve"> </w:t>
            </w:r>
            <w:r w:rsidRPr="00160F28">
              <w:rPr>
                <w:rFonts w:ascii="Cambria Math" w:hAnsi="Cambria Math"/>
                <w:color w:val="0137A6"/>
                <w:w w:val="85"/>
                <w:sz w:val="20"/>
                <w:szCs w:val="20"/>
              </w:rPr>
              <w:t>at</w:t>
            </w:r>
            <w:r w:rsidRPr="00160F28">
              <w:rPr>
                <w:rFonts w:ascii="Cambria Math" w:hAnsi="Cambria Math"/>
                <w:color w:val="0137A6"/>
                <w:spacing w:val="1"/>
                <w:sz w:val="20"/>
                <w:szCs w:val="20"/>
              </w:rPr>
              <w:t xml:space="preserve"> </w:t>
            </w:r>
            <w:r w:rsidRPr="00160F28">
              <w:rPr>
                <w:rFonts w:ascii="Cambria Math" w:hAnsi="Cambria Math"/>
                <w:color w:val="0137A6"/>
                <w:w w:val="85"/>
                <w:sz w:val="20"/>
                <w:szCs w:val="20"/>
              </w:rPr>
              <w:t>V</w:t>
            </w:r>
            <w:r w:rsidRPr="00160F28">
              <w:rPr>
                <w:rFonts w:ascii="Cambria Math" w:hAnsi="Cambria Math"/>
                <w:color w:val="0137A6"/>
                <w:spacing w:val="2"/>
                <w:sz w:val="20"/>
                <w:szCs w:val="20"/>
              </w:rPr>
              <w:t xml:space="preserve"> </w:t>
            </w:r>
            <w:r w:rsidRPr="00160F28">
              <w:rPr>
                <w:rFonts w:ascii="Cambria Math" w:hAnsi="Cambria Math"/>
                <w:color w:val="0137A6"/>
                <w:w w:val="85"/>
                <w:sz w:val="20"/>
                <w:szCs w:val="20"/>
              </w:rPr>
              <w:t>for</w:t>
            </w:r>
            <w:r w:rsidRPr="00160F28">
              <w:rPr>
                <w:rFonts w:ascii="Cambria Math" w:hAnsi="Cambria Math"/>
                <w:color w:val="0137A6"/>
                <w:spacing w:val="2"/>
                <w:sz w:val="20"/>
                <w:szCs w:val="20"/>
              </w:rPr>
              <w:t xml:space="preserve"> </w:t>
            </w:r>
            <w:r w:rsidRPr="00160F28">
              <w:rPr>
                <w:rFonts w:ascii="Cambria Math" w:hAnsi="Cambria Math"/>
                <w:color w:val="0137A6"/>
                <w:w w:val="85"/>
                <w:sz w:val="20"/>
                <w:szCs w:val="20"/>
              </w:rPr>
              <w:t>claims</w:t>
            </w:r>
            <w:r w:rsidRPr="00160F28">
              <w:rPr>
                <w:rFonts w:ascii="Cambria Math" w:hAnsi="Cambria Math"/>
                <w:color w:val="0137A6"/>
                <w:spacing w:val="3"/>
                <w:sz w:val="20"/>
                <w:szCs w:val="20"/>
              </w:rPr>
              <w:t xml:space="preserve"> </w:t>
            </w:r>
            <w:r w:rsidRPr="00160F28">
              <w:rPr>
                <w:rFonts w:ascii="Cambria Math" w:hAnsi="Cambria Math"/>
                <w:color w:val="0137A6"/>
                <w:w w:val="85"/>
                <w:sz w:val="20"/>
                <w:szCs w:val="20"/>
              </w:rPr>
              <w:t>incurred</w:t>
            </w:r>
            <w:r w:rsidRPr="00160F28">
              <w:rPr>
                <w:rFonts w:ascii="Cambria Math" w:hAnsi="Cambria Math"/>
                <w:color w:val="0137A6"/>
                <w:spacing w:val="2"/>
                <w:sz w:val="20"/>
                <w:szCs w:val="20"/>
              </w:rPr>
              <w:t xml:space="preserve"> </w:t>
            </w:r>
            <w:r w:rsidRPr="00160F28">
              <w:rPr>
                <w:rFonts w:ascii="Cambria Math" w:hAnsi="Cambria Math"/>
                <w:color w:val="0137A6"/>
                <w:w w:val="85"/>
                <w:sz w:val="20"/>
                <w:szCs w:val="20"/>
              </w:rPr>
              <w:t>in</w:t>
            </w:r>
            <w:r w:rsidRPr="00160F28">
              <w:rPr>
                <w:rFonts w:ascii="Cambria Math" w:hAnsi="Cambria Math"/>
                <w:color w:val="0137A6"/>
                <w:spacing w:val="6"/>
                <w:sz w:val="20"/>
                <w:szCs w:val="20"/>
              </w:rPr>
              <w:t xml:space="preserve"> </w:t>
            </w:r>
            <w:r w:rsidRPr="00160F28">
              <w:rPr>
                <w:rFonts w:ascii="Cambria Math" w:hAnsi="Cambria Math"/>
                <w:color w:val="0137A6"/>
                <w:w w:val="85"/>
                <w:sz w:val="20"/>
                <w:szCs w:val="20"/>
              </w:rPr>
              <w:t>years</w:t>
            </w:r>
            <w:r w:rsidRPr="00160F28">
              <w:rPr>
                <w:rFonts w:ascii="Cambria Math" w:hAnsi="Cambria Math"/>
                <w:color w:val="0137A6"/>
                <w:spacing w:val="3"/>
                <w:sz w:val="20"/>
                <w:szCs w:val="20"/>
              </w:rPr>
              <w:t xml:space="preserve"> </w:t>
            </w:r>
            <w:r w:rsidRPr="00160F28">
              <w:rPr>
                <w:rFonts w:ascii="Cambria Math" w:hAnsi="Cambria Math"/>
                <w:color w:val="0137A6"/>
                <w:w w:val="85"/>
                <w:sz w:val="20"/>
                <w:szCs w:val="20"/>
              </w:rPr>
              <w:t>t</w:t>
            </w:r>
            <w:r w:rsidRPr="00160F28">
              <w:rPr>
                <w:rFonts w:ascii="Cambria Math" w:hAnsi="Cambria Math"/>
                <w:color w:val="0137A6"/>
                <w:spacing w:val="4"/>
                <w:sz w:val="20"/>
                <w:szCs w:val="20"/>
              </w:rPr>
              <w:t xml:space="preserve"> </w:t>
            </w:r>
            <w:r w:rsidRPr="00160F28">
              <w:rPr>
                <w:rFonts w:ascii="Cambria Math" w:hAnsi="Cambria Math"/>
                <w:color w:val="0137A6"/>
                <w:w w:val="85"/>
                <w:sz w:val="20"/>
                <w:szCs w:val="20"/>
              </w:rPr>
              <w:t>and</w:t>
            </w:r>
            <w:r w:rsidRPr="00160F28">
              <w:rPr>
                <w:rFonts w:ascii="Cambria Math" w:hAnsi="Cambria Math"/>
                <w:color w:val="0137A6"/>
                <w:spacing w:val="2"/>
                <w:sz w:val="20"/>
                <w:szCs w:val="20"/>
              </w:rPr>
              <w:t xml:space="preserve"> </w:t>
            </w:r>
            <w:r w:rsidRPr="00160F28">
              <w:rPr>
                <w:rFonts w:ascii="Cambria Math" w:hAnsi="Cambria Math"/>
                <w:color w:val="0137A6"/>
                <w:w w:val="85"/>
                <w:sz w:val="20"/>
                <w:szCs w:val="20"/>
              </w:rPr>
              <w:t>prior</w:t>
            </w:r>
            <w:r w:rsidRPr="00160F28">
              <w:rPr>
                <w:rFonts w:ascii="Cambria Math" w:hAnsi="Cambria Math"/>
                <w:color w:val="0137A6"/>
                <w:spacing w:val="6"/>
                <w:sz w:val="20"/>
                <w:szCs w:val="20"/>
              </w:rPr>
              <w:t xml:space="preserve"> </w:t>
            </w:r>
            <w:r w:rsidRPr="00160F28">
              <w:rPr>
                <w:rFonts w:ascii="Cambria Math" w:hAnsi="Cambria Math"/>
                <w:color w:val="0137A6"/>
                <w:spacing w:val="-5"/>
                <w:w w:val="85"/>
                <w:sz w:val="20"/>
                <w:szCs w:val="20"/>
              </w:rPr>
              <w:t>but</w:t>
            </w:r>
          </w:p>
          <w:p w14:paraId="4E7EDB9D" w14:textId="77777777" w:rsidR="005F243A" w:rsidRPr="00160F28" w:rsidRDefault="005F243A" w:rsidP="00EF737C">
            <w:pPr>
              <w:pStyle w:val="TableParagraph"/>
              <w:spacing w:line="238" w:lineRule="exact"/>
              <w:ind w:left="107"/>
              <w:rPr>
                <w:rFonts w:ascii="Cambria Math" w:hAnsi="Cambria Math"/>
                <w:color w:val="0137A6"/>
                <w:sz w:val="20"/>
                <w:szCs w:val="20"/>
              </w:rPr>
            </w:pPr>
            <w:r w:rsidRPr="00160F28">
              <w:rPr>
                <w:rFonts w:ascii="Cambria Math" w:hAnsi="Cambria Math"/>
                <w:color w:val="0137A6"/>
                <w:w w:val="85"/>
                <w:sz w:val="20"/>
                <w:szCs w:val="20"/>
              </w:rPr>
              <w:t>reported</w:t>
            </w:r>
            <w:r w:rsidRPr="00160F28">
              <w:rPr>
                <w:rFonts w:ascii="Cambria Math" w:hAnsi="Cambria Math"/>
                <w:color w:val="0137A6"/>
                <w:spacing w:val="-3"/>
                <w:w w:val="85"/>
                <w:sz w:val="20"/>
                <w:szCs w:val="20"/>
              </w:rPr>
              <w:t xml:space="preserve"> </w:t>
            </w:r>
            <w:r w:rsidRPr="00160F28">
              <w:rPr>
                <w:rFonts w:ascii="Cambria Math" w:hAnsi="Cambria Math"/>
                <w:color w:val="0137A6"/>
                <w:w w:val="85"/>
                <w:sz w:val="20"/>
                <w:szCs w:val="20"/>
              </w:rPr>
              <w:t>in</w:t>
            </w:r>
            <w:r w:rsidRPr="00160F28">
              <w:rPr>
                <w:rFonts w:ascii="Cambria Math" w:hAnsi="Cambria Math"/>
                <w:color w:val="0137A6"/>
                <w:spacing w:val="-3"/>
                <w:w w:val="85"/>
                <w:sz w:val="20"/>
                <w:szCs w:val="20"/>
              </w:rPr>
              <w:t xml:space="preserve"> </w:t>
            </w:r>
            <w:r w:rsidRPr="00160F28">
              <w:rPr>
                <w:rFonts w:ascii="Cambria Math" w:hAnsi="Cambria Math"/>
                <w:color w:val="0137A6"/>
                <w:w w:val="85"/>
                <w:sz w:val="20"/>
                <w:szCs w:val="20"/>
              </w:rPr>
              <w:t>year</w:t>
            </w:r>
            <w:r w:rsidRPr="00160F28">
              <w:rPr>
                <w:rFonts w:ascii="Cambria Math" w:hAnsi="Cambria Math"/>
                <w:color w:val="0137A6"/>
                <w:spacing w:val="-3"/>
                <w:w w:val="85"/>
                <w:sz w:val="20"/>
                <w:szCs w:val="20"/>
              </w:rPr>
              <w:t xml:space="preserve"> </w:t>
            </w:r>
            <w:r w:rsidRPr="00160F28">
              <w:rPr>
                <w:rFonts w:ascii="Cambria Math" w:hAnsi="Cambria Math"/>
                <w:color w:val="0137A6"/>
                <w:w w:val="85"/>
                <w:sz w:val="20"/>
                <w:szCs w:val="20"/>
              </w:rPr>
              <w:t>(t</w:t>
            </w:r>
            <w:r w:rsidRPr="00160F28">
              <w:rPr>
                <w:rFonts w:ascii="Cambria Math" w:hAnsi="Cambria Math"/>
                <w:color w:val="0137A6"/>
                <w:spacing w:val="-8"/>
                <w:sz w:val="20"/>
                <w:szCs w:val="20"/>
              </w:rPr>
              <w:t xml:space="preserve"> </w:t>
            </w:r>
            <w:r w:rsidRPr="00160F28">
              <w:rPr>
                <w:rFonts w:ascii="Cambria Math" w:hAnsi="Cambria Math"/>
                <w:color w:val="0137A6"/>
                <w:w w:val="85"/>
                <w:sz w:val="20"/>
                <w:szCs w:val="20"/>
              </w:rPr>
              <w:t>+</w:t>
            </w:r>
            <w:r w:rsidRPr="00160F28">
              <w:rPr>
                <w:rFonts w:ascii="Cambria Math" w:hAnsi="Cambria Math"/>
                <w:color w:val="0137A6"/>
                <w:spacing w:val="-2"/>
                <w:w w:val="85"/>
                <w:sz w:val="20"/>
                <w:szCs w:val="20"/>
              </w:rPr>
              <w:t xml:space="preserve"> </w:t>
            </w:r>
            <w:r w:rsidRPr="00160F28">
              <w:rPr>
                <w:rFonts w:ascii="Cambria Math" w:hAnsi="Cambria Math"/>
                <w:color w:val="0137A6"/>
                <w:w w:val="85"/>
                <w:sz w:val="20"/>
                <w:szCs w:val="20"/>
              </w:rPr>
              <w:t>1)</w:t>
            </w:r>
            <w:r w:rsidRPr="00160F28">
              <w:rPr>
                <w:rFonts w:ascii="Cambria Math" w:hAnsi="Cambria Math"/>
                <w:color w:val="0137A6"/>
                <w:spacing w:val="-2"/>
                <w:w w:val="85"/>
                <w:sz w:val="20"/>
                <w:szCs w:val="20"/>
              </w:rPr>
              <w:t xml:space="preserve"> </w:t>
            </w:r>
            <w:r w:rsidRPr="00160F28">
              <w:rPr>
                <w:rFonts w:ascii="Cambria Math" w:hAnsi="Cambria Math"/>
                <w:color w:val="0137A6"/>
                <w:w w:val="85"/>
                <w:sz w:val="20"/>
                <w:szCs w:val="20"/>
              </w:rPr>
              <w:t>to</w:t>
            </w:r>
            <w:r w:rsidRPr="00160F28">
              <w:rPr>
                <w:rFonts w:ascii="Cambria Math" w:hAnsi="Cambria Math"/>
                <w:color w:val="0137A6"/>
                <w:spacing w:val="-2"/>
                <w:w w:val="85"/>
                <w:sz w:val="20"/>
                <w:szCs w:val="20"/>
              </w:rPr>
              <w:t xml:space="preserve"> </w:t>
            </w:r>
            <w:r w:rsidRPr="00160F28">
              <w:rPr>
                <w:rFonts w:ascii="Cambria Math" w:hAnsi="Cambria Math"/>
                <w:color w:val="0137A6"/>
                <w:spacing w:val="-10"/>
                <w:w w:val="85"/>
                <w:sz w:val="20"/>
                <w:szCs w:val="20"/>
              </w:rPr>
              <w:t>V</w:t>
            </w:r>
          </w:p>
        </w:tc>
      </w:tr>
      <w:tr w:rsidR="005F243A" w:rsidRPr="00160F28" w14:paraId="36781CA2" w14:textId="77777777" w:rsidTr="00EF737C">
        <w:trPr>
          <w:trHeight w:val="528"/>
        </w:trPr>
        <w:tc>
          <w:tcPr>
            <w:tcW w:w="1718" w:type="dxa"/>
          </w:tcPr>
          <w:p w14:paraId="0A41E952" w14:textId="77777777" w:rsidR="005F243A" w:rsidRPr="00160F28" w:rsidRDefault="005F243A" w:rsidP="00EF737C">
            <w:pPr>
              <w:pStyle w:val="TableParagraph"/>
              <w:spacing w:before="135"/>
              <w:ind w:right="108"/>
              <w:jc w:val="right"/>
              <w:rPr>
                <w:rFonts w:ascii="Cambria Math" w:hAnsi="Cambria Math"/>
                <w:color w:val="0137A6"/>
                <w:sz w:val="20"/>
                <w:szCs w:val="20"/>
              </w:rPr>
            </w:pPr>
            <w:r w:rsidRPr="00160F28">
              <w:rPr>
                <w:rFonts w:ascii="Cambria Math" w:hAnsi="Cambria Math"/>
                <w:color w:val="0137A6"/>
                <w:w w:val="85"/>
                <w:sz w:val="20"/>
                <w:szCs w:val="20"/>
              </w:rPr>
              <w:t>%</w:t>
            </w:r>
            <w:r w:rsidRPr="00160F28">
              <w:rPr>
                <w:rFonts w:ascii="Cambria Math" w:hAnsi="Cambria Math"/>
                <w:color w:val="0137A6"/>
                <w:spacing w:val="-6"/>
                <w:sz w:val="20"/>
                <w:szCs w:val="20"/>
              </w:rPr>
              <w:t xml:space="preserve"> </w:t>
            </w:r>
            <w:r w:rsidRPr="00160F28">
              <w:rPr>
                <w:rFonts w:ascii="Cambria Math" w:hAnsi="Cambria Math"/>
                <w:color w:val="0137A6"/>
                <w:w w:val="85"/>
                <w:sz w:val="20"/>
                <w:szCs w:val="20"/>
              </w:rPr>
              <w:t>Utilisation</w:t>
            </w:r>
            <w:r w:rsidRPr="00160F28">
              <w:rPr>
                <w:rFonts w:ascii="Cambria Math" w:hAnsi="Cambria Math"/>
                <w:color w:val="0137A6"/>
                <w:spacing w:val="1"/>
                <w:sz w:val="20"/>
                <w:szCs w:val="20"/>
              </w:rPr>
              <w:t xml:space="preserve"> </w:t>
            </w:r>
            <w:r w:rsidRPr="00160F28">
              <w:rPr>
                <w:rFonts w:ascii="Cambria Math" w:hAnsi="Cambria Math"/>
                <w:color w:val="0137A6"/>
                <w:spacing w:val="-10"/>
                <w:w w:val="85"/>
                <w:sz w:val="20"/>
                <w:szCs w:val="20"/>
              </w:rPr>
              <w:t>=</w:t>
            </w:r>
          </w:p>
        </w:tc>
        <w:tc>
          <w:tcPr>
            <w:tcW w:w="6826" w:type="dxa"/>
          </w:tcPr>
          <w:p w14:paraId="1DA0A21E" w14:textId="77777777" w:rsidR="005F243A" w:rsidRPr="00160F28" w:rsidRDefault="005F243A" w:rsidP="00EF737C">
            <w:pPr>
              <w:pStyle w:val="TableParagraph"/>
              <w:spacing w:before="146"/>
              <w:ind w:left="107"/>
              <w:rPr>
                <w:rFonts w:ascii="Cambria Math" w:hAnsi="Cambria Math"/>
                <w:color w:val="0137A6"/>
                <w:sz w:val="20"/>
                <w:szCs w:val="20"/>
              </w:rPr>
            </w:pPr>
            <w:r w:rsidRPr="00160F28">
              <w:rPr>
                <w:rFonts w:ascii="Cambria Math" w:hAnsi="Cambria Math"/>
                <w:color w:val="0137A6"/>
                <w:spacing w:val="-6"/>
                <w:position w:val="1"/>
                <w:sz w:val="20"/>
                <w:szCs w:val="20"/>
              </w:rPr>
              <w:t>O/OCR</w:t>
            </w:r>
            <w:r w:rsidRPr="00160F28">
              <w:rPr>
                <w:rFonts w:ascii="Cambria Math" w:hAnsi="Cambria Math"/>
                <w:color w:val="0137A6"/>
                <w:spacing w:val="-9"/>
                <w:position w:val="1"/>
                <w:sz w:val="20"/>
                <w:szCs w:val="20"/>
              </w:rPr>
              <w:t xml:space="preserve"> </w:t>
            </w:r>
            <w:r w:rsidRPr="00160F28">
              <w:rPr>
                <w:rFonts w:ascii="Cambria Math" w:hAnsi="Cambria Math"/>
                <w:color w:val="0137A6"/>
                <w:spacing w:val="-10"/>
                <w:sz w:val="20"/>
                <w:szCs w:val="20"/>
              </w:rPr>
              <w:t>t</w:t>
            </w:r>
          </w:p>
        </w:tc>
      </w:tr>
      <w:tr w:rsidR="005F243A" w:rsidRPr="00160F28" w14:paraId="2F00757A" w14:textId="77777777" w:rsidTr="00EF737C">
        <w:trPr>
          <w:trHeight w:val="389"/>
        </w:trPr>
        <w:tc>
          <w:tcPr>
            <w:tcW w:w="1718" w:type="dxa"/>
          </w:tcPr>
          <w:p w14:paraId="38EF547C" w14:textId="77777777" w:rsidR="005F243A" w:rsidRPr="00160F28" w:rsidRDefault="005F243A" w:rsidP="00EF737C">
            <w:pPr>
              <w:pStyle w:val="TableParagraph"/>
              <w:spacing w:before="135" w:line="235" w:lineRule="exact"/>
              <w:ind w:right="106"/>
              <w:jc w:val="right"/>
              <w:rPr>
                <w:rFonts w:ascii="Cambria Math" w:hAnsi="Cambria Math"/>
                <w:color w:val="0137A6"/>
                <w:sz w:val="20"/>
                <w:szCs w:val="20"/>
              </w:rPr>
            </w:pPr>
            <w:r w:rsidRPr="00160F28">
              <w:rPr>
                <w:rFonts w:ascii="Cambria Math" w:hAnsi="Cambria Math"/>
                <w:color w:val="0137A6"/>
                <w:w w:val="90"/>
                <w:sz w:val="20"/>
                <w:szCs w:val="20"/>
              </w:rPr>
              <w:t>IBNER</w:t>
            </w:r>
            <w:r w:rsidRPr="00160F28">
              <w:rPr>
                <w:rFonts w:ascii="Cambria Math" w:hAnsi="Cambria Math"/>
                <w:color w:val="0137A6"/>
                <w:spacing w:val="-3"/>
                <w:w w:val="90"/>
                <w:sz w:val="20"/>
                <w:szCs w:val="20"/>
              </w:rPr>
              <w:t xml:space="preserve"> </w:t>
            </w:r>
            <w:r w:rsidRPr="00160F28">
              <w:rPr>
                <w:rFonts w:ascii="Cambria Math" w:hAnsi="Cambria Math"/>
                <w:color w:val="0137A6"/>
                <w:spacing w:val="-10"/>
                <w:w w:val="95"/>
                <w:sz w:val="20"/>
                <w:szCs w:val="20"/>
              </w:rPr>
              <w:t>=</w:t>
            </w:r>
          </w:p>
        </w:tc>
        <w:tc>
          <w:tcPr>
            <w:tcW w:w="6826" w:type="dxa"/>
          </w:tcPr>
          <w:p w14:paraId="5088E686" w14:textId="77777777" w:rsidR="005F243A" w:rsidRPr="00160F28" w:rsidRDefault="005F243A" w:rsidP="00EF737C">
            <w:pPr>
              <w:pStyle w:val="TableParagraph"/>
              <w:spacing w:before="146" w:line="223" w:lineRule="exact"/>
              <w:ind w:left="107"/>
              <w:rPr>
                <w:rFonts w:ascii="Cambria Math" w:hAnsi="Cambria Math"/>
                <w:color w:val="0137A6"/>
                <w:sz w:val="20"/>
                <w:szCs w:val="20"/>
              </w:rPr>
            </w:pPr>
            <w:r w:rsidRPr="00160F28">
              <w:rPr>
                <w:rFonts w:ascii="Cambria Math" w:hAnsi="Cambria Math"/>
                <w:color w:val="0137A6"/>
                <w:position w:val="1"/>
                <w:sz w:val="20"/>
                <w:szCs w:val="20"/>
              </w:rPr>
              <w:t>OCR</w:t>
            </w:r>
            <w:r w:rsidRPr="00160F28">
              <w:rPr>
                <w:rFonts w:ascii="Cambria Math" w:hAnsi="Cambria Math"/>
                <w:color w:val="0137A6"/>
                <w:spacing w:val="-15"/>
                <w:position w:val="1"/>
                <w:sz w:val="20"/>
                <w:szCs w:val="20"/>
              </w:rPr>
              <w:t xml:space="preserve"> </w:t>
            </w:r>
            <w:r w:rsidRPr="00160F28">
              <w:rPr>
                <w:rFonts w:ascii="Cambria Math" w:hAnsi="Cambria Math"/>
                <w:color w:val="0137A6"/>
                <w:sz w:val="20"/>
                <w:szCs w:val="20"/>
              </w:rPr>
              <w:t>t</w:t>
            </w:r>
            <w:r w:rsidRPr="00160F28">
              <w:rPr>
                <w:rFonts w:ascii="Cambria Math" w:hAnsi="Cambria Math"/>
                <w:color w:val="0137A6"/>
                <w:spacing w:val="-1"/>
                <w:sz w:val="20"/>
                <w:szCs w:val="20"/>
              </w:rPr>
              <w:t xml:space="preserve"> </w:t>
            </w:r>
            <w:r w:rsidRPr="00160F28">
              <w:rPr>
                <w:rFonts w:ascii="Cambria Math" w:hAnsi="Cambria Math"/>
                <w:color w:val="0137A6"/>
                <w:position w:val="1"/>
                <w:sz w:val="20"/>
                <w:szCs w:val="20"/>
              </w:rPr>
              <w:t>–</w:t>
            </w:r>
            <w:r w:rsidRPr="00160F28">
              <w:rPr>
                <w:rFonts w:ascii="Cambria Math" w:hAnsi="Cambria Math"/>
                <w:color w:val="0137A6"/>
                <w:spacing w:val="-14"/>
                <w:position w:val="1"/>
                <w:sz w:val="20"/>
                <w:szCs w:val="20"/>
              </w:rPr>
              <w:t xml:space="preserve"> </w:t>
            </w:r>
            <w:r w:rsidRPr="00160F28">
              <w:rPr>
                <w:rFonts w:ascii="Cambria Math" w:hAnsi="Cambria Math"/>
                <w:color w:val="0137A6"/>
                <w:position w:val="1"/>
                <w:sz w:val="20"/>
                <w:szCs w:val="20"/>
              </w:rPr>
              <w:t>O</w:t>
            </w:r>
            <w:r w:rsidRPr="00160F28">
              <w:rPr>
                <w:rFonts w:ascii="Cambria Math" w:hAnsi="Cambria Math"/>
                <w:color w:val="0137A6"/>
                <w:spacing w:val="-15"/>
                <w:position w:val="1"/>
                <w:sz w:val="20"/>
                <w:szCs w:val="20"/>
              </w:rPr>
              <w:t xml:space="preserve"> </w:t>
            </w:r>
            <w:r w:rsidRPr="00160F28">
              <w:rPr>
                <w:rFonts w:ascii="Cambria Math" w:hAnsi="Cambria Math"/>
                <w:color w:val="0137A6"/>
                <w:spacing w:val="-10"/>
                <w:sz w:val="20"/>
                <w:szCs w:val="20"/>
              </w:rPr>
              <w:t>V</w:t>
            </w:r>
          </w:p>
        </w:tc>
      </w:tr>
    </w:tbl>
    <w:p w14:paraId="3FA79825" w14:textId="77777777" w:rsidR="005F243A" w:rsidRPr="00484908" w:rsidRDefault="005F243A" w:rsidP="005F243A">
      <w:pPr>
        <w:numPr>
          <w:ilvl w:val="1"/>
          <w:numId w:val="2"/>
        </w:numPr>
        <w:autoSpaceDE w:val="0"/>
        <w:autoSpaceDN w:val="0"/>
        <w:adjustRightInd w:val="0"/>
        <w:spacing w:before="240" w:after="240"/>
        <w:ind w:left="720" w:right="0" w:hanging="720"/>
        <w:jc w:val="both"/>
      </w:pPr>
      <w:r w:rsidRPr="00484908">
        <w:t>Peculiar utilisation in either case in a particular class of business should be investigated. This can be an indication of an anomaly, in which case, claims data can be reviewed for insights or clarification sought from the client.</w:t>
      </w:r>
    </w:p>
    <w:p w14:paraId="1B84A094" w14:textId="77777777" w:rsidR="005F243A" w:rsidRPr="00484908" w:rsidRDefault="005F243A" w:rsidP="005F243A">
      <w:pPr>
        <w:numPr>
          <w:ilvl w:val="1"/>
          <w:numId w:val="2"/>
        </w:numPr>
        <w:autoSpaceDE w:val="0"/>
        <w:autoSpaceDN w:val="0"/>
        <w:adjustRightInd w:val="0"/>
        <w:spacing w:before="240" w:after="240"/>
        <w:ind w:left="720" w:right="0" w:hanging="720"/>
        <w:jc w:val="both"/>
      </w:pPr>
      <w:r w:rsidRPr="00484908">
        <w:t>Conduct a trend analysis for the utilisation results over a number of periods to identify a pattern that will guide you in making judgement on the peculiars of the utilisation figures.</w:t>
      </w:r>
    </w:p>
    <w:p w14:paraId="4A111F23" w14:textId="77777777" w:rsidR="005F243A" w:rsidRDefault="005F243A" w:rsidP="005F243A">
      <w:pPr>
        <w:spacing w:after="160" w:line="259" w:lineRule="auto"/>
        <w:ind w:right="0"/>
        <w:rPr>
          <w:rFonts w:ascii="Nunito Sans Black" w:hAnsi="Nunito Sans Black"/>
          <w:color w:val="0137A6"/>
          <w:sz w:val="36"/>
          <w:szCs w:val="36"/>
        </w:rPr>
      </w:pPr>
      <w:r>
        <w:rPr>
          <w:rFonts w:ascii="Nunito Sans Black" w:hAnsi="Nunito Sans Black"/>
        </w:rPr>
        <w:br w:type="page"/>
      </w:r>
    </w:p>
    <w:p w14:paraId="41787FB2" w14:textId="77777777" w:rsidR="00355D3C" w:rsidRDefault="00355D3C" w:rsidP="00355D3C">
      <w:pPr>
        <w:pStyle w:val="Heading1"/>
        <w:numPr>
          <w:ilvl w:val="0"/>
          <w:numId w:val="6"/>
        </w:numPr>
        <w:tabs>
          <w:tab w:val="num" w:pos="360"/>
        </w:tabs>
        <w:ind w:left="720" w:hanging="540"/>
        <w:rPr>
          <w:rFonts w:ascii="Nunito Sans Black" w:hAnsi="Nunito Sans Black"/>
        </w:rPr>
      </w:pPr>
      <w:bookmarkStart w:id="12" w:name="_Toc210138977"/>
      <w:r>
        <w:rPr>
          <w:rFonts w:ascii="Nunito Sans Black" w:hAnsi="Nunito Sans Black"/>
        </w:rPr>
        <w:lastRenderedPageBreak/>
        <w:t>LIABILITY FOR INCURRED CLAIMS</w:t>
      </w:r>
      <w:bookmarkEnd w:id="12"/>
    </w:p>
    <w:p w14:paraId="46C7B917" w14:textId="77777777" w:rsidR="00355D3C" w:rsidRPr="00484908" w:rsidRDefault="00355D3C" w:rsidP="00355D3C">
      <w:pPr>
        <w:pStyle w:val="ListParagraph"/>
        <w:numPr>
          <w:ilvl w:val="0"/>
          <w:numId w:val="2"/>
        </w:numPr>
        <w:autoSpaceDE w:val="0"/>
        <w:autoSpaceDN w:val="0"/>
        <w:adjustRightInd w:val="0"/>
        <w:spacing w:line="240" w:lineRule="auto"/>
        <w:rPr>
          <w:rFonts w:cstheme="minorBidi"/>
          <w:vanish/>
          <w:szCs w:val="22"/>
        </w:rPr>
      </w:pPr>
    </w:p>
    <w:p w14:paraId="771470A2" w14:textId="77777777" w:rsidR="00355D3C" w:rsidRPr="00493D0A" w:rsidRDefault="00355D3C" w:rsidP="00355D3C">
      <w:pPr>
        <w:pStyle w:val="Heading2"/>
        <w:autoSpaceDE w:val="0"/>
        <w:autoSpaceDN w:val="0"/>
        <w:adjustRightInd w:val="0"/>
        <w:spacing w:line="240" w:lineRule="auto"/>
      </w:pPr>
      <w:bookmarkStart w:id="13" w:name="_Toc210138978"/>
      <w:r w:rsidRPr="00493D0A">
        <w:t>Data Used in Estimating Claim Liabilities</w:t>
      </w:r>
      <w:bookmarkEnd w:id="13"/>
      <w:r w:rsidRPr="00493D0A">
        <w:t xml:space="preserve"> </w:t>
      </w:r>
    </w:p>
    <w:p w14:paraId="6631E96A" w14:textId="77777777" w:rsidR="00355D3C" w:rsidRDefault="00355D3C" w:rsidP="00355D3C">
      <w:pPr>
        <w:numPr>
          <w:ilvl w:val="1"/>
          <w:numId w:val="2"/>
        </w:numPr>
        <w:autoSpaceDE w:val="0"/>
        <w:autoSpaceDN w:val="0"/>
        <w:adjustRightInd w:val="0"/>
        <w:spacing w:before="240" w:after="240"/>
        <w:ind w:left="720" w:right="0" w:hanging="720"/>
        <w:jc w:val="both"/>
      </w:pPr>
      <w:r>
        <w:t>The availability of appropriate data and information is essential for accurately estimating claims liabilities. You can classify data as originating from either internal (from the insurer’s management information systems) or external (e.g. industry data) sources.</w:t>
      </w:r>
    </w:p>
    <w:p w14:paraId="23D47D5F" w14:textId="77777777" w:rsidR="00355D3C" w:rsidRDefault="00355D3C" w:rsidP="00355D3C">
      <w:pPr>
        <w:numPr>
          <w:ilvl w:val="1"/>
          <w:numId w:val="2"/>
        </w:numPr>
        <w:autoSpaceDE w:val="0"/>
        <w:autoSpaceDN w:val="0"/>
        <w:adjustRightInd w:val="0"/>
        <w:spacing w:before="240" w:after="240"/>
        <w:ind w:left="720" w:right="0" w:hanging="720"/>
        <w:jc w:val="both"/>
      </w:pPr>
      <w:r>
        <w:t>For large insurers you can rely solely on their own data to estimate claims liabilities, because they are able to generate the detailed claims and exposure data required for the exercise from their own management information systems.</w:t>
      </w:r>
    </w:p>
    <w:p w14:paraId="29DA74A3" w14:textId="77777777" w:rsidR="00355D3C" w:rsidRDefault="00355D3C" w:rsidP="00355D3C">
      <w:pPr>
        <w:numPr>
          <w:ilvl w:val="1"/>
          <w:numId w:val="2"/>
        </w:numPr>
        <w:autoSpaceDE w:val="0"/>
        <w:autoSpaceDN w:val="0"/>
        <w:adjustRightInd w:val="0"/>
        <w:spacing w:before="240" w:after="240"/>
        <w:ind w:left="720" w:right="0" w:hanging="720"/>
        <w:jc w:val="both"/>
      </w:pPr>
      <w:r>
        <w:t>However, if the insurer has a new line of business or has operations in a new geographical region, incorporate external data which will improve the reliability and credibility of the results.</w:t>
      </w:r>
    </w:p>
    <w:p w14:paraId="3CB963DC" w14:textId="77777777" w:rsidR="00355D3C" w:rsidRDefault="00355D3C" w:rsidP="00355D3C">
      <w:pPr>
        <w:numPr>
          <w:ilvl w:val="1"/>
          <w:numId w:val="2"/>
        </w:numPr>
        <w:autoSpaceDE w:val="0"/>
        <w:autoSpaceDN w:val="0"/>
        <w:adjustRightInd w:val="0"/>
        <w:spacing w:before="240" w:after="240"/>
        <w:ind w:left="720" w:right="0" w:hanging="720"/>
        <w:jc w:val="both"/>
      </w:pPr>
      <w:r>
        <w:t>On the other hand, for smaller insurers who may be limited in the internal data that they can generate, the data will be limited in its volume and thus its credibility, or the data may be unavailable due to systems limitations of the organization. For such situations incorporate external sources of data too.</w:t>
      </w:r>
    </w:p>
    <w:p w14:paraId="2F38D62D" w14:textId="77777777" w:rsidR="00355D3C" w:rsidRDefault="00355D3C" w:rsidP="00355D3C">
      <w:pPr>
        <w:numPr>
          <w:ilvl w:val="1"/>
          <w:numId w:val="2"/>
        </w:numPr>
        <w:autoSpaceDE w:val="0"/>
        <w:autoSpaceDN w:val="0"/>
        <w:adjustRightInd w:val="0"/>
        <w:spacing w:before="240" w:after="240"/>
        <w:ind w:left="720" w:right="0" w:hanging="720"/>
        <w:jc w:val="both"/>
      </w:pPr>
      <w:r>
        <w:t>You may however need to use a combination of both sources of internally generated data and external industry benchmarks in your reserving exercise. External information will particularly be valuable when selecting tail development factors, trend rates, and expected claim ratios.</w:t>
      </w:r>
    </w:p>
    <w:p w14:paraId="327D3B5D" w14:textId="77777777" w:rsidR="00355D3C" w:rsidRDefault="00355D3C" w:rsidP="00355D3C">
      <w:pPr>
        <w:numPr>
          <w:ilvl w:val="1"/>
          <w:numId w:val="2"/>
        </w:numPr>
        <w:autoSpaceDE w:val="0"/>
        <w:autoSpaceDN w:val="0"/>
        <w:adjustRightInd w:val="0"/>
        <w:spacing w:before="240" w:after="240"/>
        <w:ind w:left="720" w:right="0" w:hanging="720"/>
        <w:jc w:val="both"/>
      </w:pPr>
      <w:r>
        <w:t>For the purpose of this manual external data will include data from insurance companies of similar size or characteristic with the insurer under review, or industry statistics and reports published by the regulatory body or any other credible institution in which the insurer operates in.</w:t>
      </w:r>
    </w:p>
    <w:p w14:paraId="095B2F69" w14:textId="77777777" w:rsidR="00355D3C" w:rsidRDefault="00355D3C" w:rsidP="00355D3C">
      <w:pPr>
        <w:numPr>
          <w:ilvl w:val="1"/>
          <w:numId w:val="2"/>
        </w:numPr>
        <w:autoSpaceDE w:val="0"/>
        <w:autoSpaceDN w:val="0"/>
        <w:adjustRightInd w:val="0"/>
        <w:spacing w:before="240" w:after="240"/>
        <w:ind w:left="720" w:right="0" w:hanging="720"/>
        <w:jc w:val="both"/>
      </w:pPr>
      <w:r>
        <w:t>However, exercise reasonable care using external data. There is a risk that external data may be misleading or irrelevant due to differences relating to: insurance products, case outstanding and settlement practices, insurers’ operations, geographic areas, and mix of business and product types.</w:t>
      </w:r>
    </w:p>
    <w:p w14:paraId="0A3693B5" w14:textId="77777777" w:rsidR="00355D3C" w:rsidRDefault="00355D3C" w:rsidP="00355D3C">
      <w:pPr>
        <w:numPr>
          <w:ilvl w:val="1"/>
          <w:numId w:val="2"/>
        </w:numPr>
        <w:autoSpaceDE w:val="0"/>
        <w:autoSpaceDN w:val="0"/>
        <w:adjustRightInd w:val="0"/>
        <w:spacing w:before="240" w:after="240"/>
        <w:ind w:left="720" w:right="0" w:hanging="720"/>
        <w:jc w:val="both"/>
      </w:pPr>
      <w:r>
        <w:t xml:space="preserve">As such, disclose any external data used, its source and your justification for incorporating the data in the reserving exercise. This should be included in the reserving model for review by other analysts and actuaries. </w:t>
      </w:r>
    </w:p>
    <w:p w14:paraId="6ACD41F2" w14:textId="77777777" w:rsidR="00355D3C" w:rsidRPr="00845B97" w:rsidRDefault="00355D3C" w:rsidP="00D578DB">
      <w:pPr>
        <w:pStyle w:val="Heading2"/>
      </w:pPr>
      <w:bookmarkStart w:id="14" w:name="_Toc210138979"/>
      <w:r w:rsidRPr="00845B97">
        <w:t>Homogeneity and Credibility of Data</w:t>
      </w:r>
      <w:bookmarkEnd w:id="14"/>
    </w:p>
    <w:p w14:paraId="5F67CDC9" w14:textId="77777777" w:rsidR="00355D3C" w:rsidRDefault="00355D3C" w:rsidP="00355D3C">
      <w:pPr>
        <w:numPr>
          <w:ilvl w:val="1"/>
          <w:numId w:val="2"/>
        </w:numPr>
        <w:autoSpaceDE w:val="0"/>
        <w:autoSpaceDN w:val="0"/>
        <w:adjustRightInd w:val="0"/>
        <w:spacing w:before="240" w:after="240"/>
        <w:ind w:left="720" w:right="0" w:hanging="720"/>
        <w:jc w:val="both"/>
      </w:pPr>
      <w:r>
        <w:t xml:space="preserve">As you may be aware, different lines of insurance exhibit different claim </w:t>
      </w:r>
      <w:proofErr w:type="spellStart"/>
      <w:r>
        <w:t>behaviours</w:t>
      </w:r>
      <w:proofErr w:type="spellEnd"/>
      <w:r>
        <w:t>. Even within a single line of insurance, the characteristics of claims by sub coverage can differ significantly. For example, claims involving only property damage for motor insurance policies are generally reported and paid very quickly and have a relatively low severity (i.e., average settlement value) compared to liability claims arising from motor policies.</w:t>
      </w:r>
    </w:p>
    <w:p w14:paraId="2C4E6F03" w14:textId="77777777" w:rsidR="00355D3C" w:rsidRDefault="00355D3C" w:rsidP="00355D3C">
      <w:pPr>
        <w:numPr>
          <w:ilvl w:val="1"/>
          <w:numId w:val="2"/>
        </w:numPr>
        <w:autoSpaceDE w:val="0"/>
        <w:autoSpaceDN w:val="0"/>
        <w:adjustRightInd w:val="0"/>
        <w:spacing w:before="240" w:after="240"/>
        <w:ind w:left="720" w:right="0" w:hanging="720"/>
        <w:jc w:val="both"/>
      </w:pPr>
      <w:r>
        <w:t>At a minimum, carry out the reserving exercise on a class wise basis as captured by the insurance company during underwriting.</w:t>
      </w:r>
    </w:p>
    <w:p w14:paraId="58059B82" w14:textId="77777777" w:rsidR="00355D3C" w:rsidRDefault="00355D3C" w:rsidP="00355D3C">
      <w:pPr>
        <w:numPr>
          <w:ilvl w:val="1"/>
          <w:numId w:val="2"/>
        </w:numPr>
        <w:autoSpaceDE w:val="0"/>
        <w:autoSpaceDN w:val="0"/>
        <w:adjustRightInd w:val="0"/>
        <w:spacing w:before="240" w:after="240"/>
        <w:ind w:left="720" w:right="0" w:hanging="720"/>
        <w:jc w:val="both"/>
      </w:pPr>
      <w:r>
        <w:t>However, you may further subdivide or aggregate the data depending on the volume and credibility of data available to allow for such analysis. Where this is done, disclose your considerations which should be clear to the users of the results including the peer review team and the client.</w:t>
      </w:r>
    </w:p>
    <w:p w14:paraId="6A2BA6C3" w14:textId="77777777" w:rsidR="00355D3C" w:rsidRDefault="00355D3C" w:rsidP="00355D3C">
      <w:pPr>
        <w:autoSpaceDE w:val="0"/>
        <w:autoSpaceDN w:val="0"/>
        <w:adjustRightInd w:val="0"/>
        <w:spacing w:before="240" w:after="240"/>
        <w:ind w:right="0"/>
        <w:jc w:val="both"/>
      </w:pPr>
      <w:r>
        <w:t>5.12.</w:t>
      </w:r>
      <w:r>
        <w:tab/>
        <w:t>When separating data into groups for reserving you will be required to take into consideration the following key characteristics:</w:t>
      </w:r>
    </w:p>
    <w:p w14:paraId="27A96D32" w14:textId="77777777" w:rsidR="00355D3C" w:rsidRDefault="00355D3C" w:rsidP="005F243A">
      <w:pPr>
        <w:pStyle w:val="ListParagraph"/>
        <w:numPr>
          <w:ilvl w:val="0"/>
          <w:numId w:val="7"/>
        </w:numPr>
        <w:autoSpaceDE w:val="0"/>
        <w:autoSpaceDN w:val="0"/>
        <w:adjustRightInd w:val="0"/>
      </w:pPr>
      <w:r>
        <w:t>Consistency of the coverage triggered by the claims in the group (i.e., group claims that will generally be subject to the same or similar laws, policy terms, claims handling, etc.)</w:t>
      </w:r>
    </w:p>
    <w:p w14:paraId="29CECF49" w14:textId="77777777" w:rsidR="00355D3C" w:rsidRDefault="00355D3C" w:rsidP="005F243A">
      <w:pPr>
        <w:pStyle w:val="ListParagraph"/>
        <w:numPr>
          <w:ilvl w:val="0"/>
          <w:numId w:val="7"/>
        </w:numPr>
        <w:autoSpaceDE w:val="0"/>
        <w:autoSpaceDN w:val="0"/>
        <w:adjustRightInd w:val="0"/>
      </w:pPr>
      <w:r>
        <w:t>Volume of claim counts in the group</w:t>
      </w:r>
    </w:p>
    <w:p w14:paraId="7DF2FF3A" w14:textId="77777777" w:rsidR="00355D3C" w:rsidRDefault="00355D3C" w:rsidP="005F243A">
      <w:pPr>
        <w:pStyle w:val="ListParagraph"/>
        <w:numPr>
          <w:ilvl w:val="0"/>
          <w:numId w:val="7"/>
        </w:numPr>
        <w:autoSpaceDE w:val="0"/>
        <w:autoSpaceDN w:val="0"/>
        <w:adjustRightInd w:val="0"/>
      </w:pPr>
      <w:r>
        <w:lastRenderedPageBreak/>
        <w:t>Length of time to report the claim once an insured event has occurred (i.e., reporting patterns)</w:t>
      </w:r>
    </w:p>
    <w:p w14:paraId="6E3660DC" w14:textId="77777777" w:rsidR="00355D3C" w:rsidRDefault="00355D3C" w:rsidP="005F243A">
      <w:pPr>
        <w:pStyle w:val="ListParagraph"/>
        <w:numPr>
          <w:ilvl w:val="0"/>
          <w:numId w:val="7"/>
        </w:numPr>
        <w:autoSpaceDE w:val="0"/>
        <w:autoSpaceDN w:val="0"/>
        <w:adjustRightInd w:val="0"/>
      </w:pPr>
      <w:r>
        <w:t>Ability to develop an appropriate case outstanding estimate from earliest report through the life of the claim</w:t>
      </w:r>
    </w:p>
    <w:p w14:paraId="372EBD73" w14:textId="77777777" w:rsidR="00355D3C" w:rsidRDefault="00355D3C" w:rsidP="005F243A">
      <w:pPr>
        <w:pStyle w:val="ListParagraph"/>
        <w:numPr>
          <w:ilvl w:val="0"/>
          <w:numId w:val="7"/>
        </w:numPr>
        <w:autoSpaceDE w:val="0"/>
        <w:autoSpaceDN w:val="0"/>
        <w:adjustRightInd w:val="0"/>
      </w:pPr>
      <w:r>
        <w:t>Length of time to settle the claim once it is reported (i.e., settlement or payment patterns)</w:t>
      </w:r>
    </w:p>
    <w:p w14:paraId="1726C36A" w14:textId="77777777" w:rsidR="00355D3C" w:rsidRDefault="00355D3C" w:rsidP="005F243A">
      <w:pPr>
        <w:pStyle w:val="ListParagraph"/>
        <w:numPr>
          <w:ilvl w:val="0"/>
          <w:numId w:val="7"/>
        </w:numPr>
        <w:autoSpaceDE w:val="0"/>
        <w:autoSpaceDN w:val="0"/>
        <w:adjustRightInd w:val="0"/>
      </w:pPr>
      <w:r>
        <w:t>Likelihood of claim to reopen once it is settled</w:t>
      </w:r>
    </w:p>
    <w:p w14:paraId="45237CCB" w14:textId="77777777" w:rsidR="00355D3C" w:rsidRDefault="00355D3C" w:rsidP="005F243A">
      <w:pPr>
        <w:pStyle w:val="ListParagraph"/>
        <w:numPr>
          <w:ilvl w:val="0"/>
          <w:numId w:val="7"/>
        </w:numPr>
        <w:autoSpaceDE w:val="0"/>
        <w:autoSpaceDN w:val="0"/>
        <w:adjustRightInd w:val="0"/>
      </w:pPr>
      <w:r>
        <w:t xml:space="preserve">Average settlement value (i.e., severity) </w:t>
      </w:r>
    </w:p>
    <w:p w14:paraId="7D7755ED" w14:textId="77777777" w:rsidR="00355D3C" w:rsidRPr="00845B97" w:rsidRDefault="00355D3C" w:rsidP="00D578DB">
      <w:pPr>
        <w:pStyle w:val="Heading2"/>
      </w:pPr>
      <w:bookmarkStart w:id="15" w:name="_Toc210138980"/>
      <w:r w:rsidRPr="00845B97">
        <w:t>Paid, Outstanding and Incurred Claims Data</w:t>
      </w:r>
      <w:bookmarkEnd w:id="15"/>
    </w:p>
    <w:p w14:paraId="662871A9" w14:textId="77777777" w:rsidR="00355D3C" w:rsidRDefault="00355D3C" w:rsidP="00355D3C">
      <w:pPr>
        <w:numPr>
          <w:ilvl w:val="1"/>
          <w:numId w:val="2"/>
        </w:numPr>
        <w:autoSpaceDE w:val="0"/>
        <w:autoSpaceDN w:val="0"/>
        <w:adjustRightInd w:val="0"/>
        <w:spacing w:before="240" w:after="240"/>
        <w:ind w:left="720" w:right="0" w:hanging="720"/>
        <w:jc w:val="both"/>
      </w:pPr>
      <w:r>
        <w:t>Incurred claims refer to claims which have been reported to the insurer. These include claims that have already been settled (paid claims) and those that the insurer has been notified about but are yet to be settled (outstanding claims).</w:t>
      </w:r>
    </w:p>
    <w:p w14:paraId="389D574E" w14:textId="77777777" w:rsidR="00355D3C" w:rsidRDefault="00355D3C" w:rsidP="00355D3C">
      <w:pPr>
        <w:numPr>
          <w:ilvl w:val="1"/>
          <w:numId w:val="2"/>
        </w:numPr>
        <w:autoSpaceDE w:val="0"/>
        <w:autoSpaceDN w:val="0"/>
        <w:adjustRightInd w:val="0"/>
        <w:spacing w:before="240" w:after="240"/>
        <w:ind w:left="720" w:right="0" w:hanging="720"/>
        <w:jc w:val="both"/>
      </w:pPr>
      <w:r>
        <w:t xml:space="preserve">In summary, you will </w:t>
      </w:r>
      <w:proofErr w:type="spellStart"/>
      <w:r>
        <w:t>realise</w:t>
      </w:r>
      <w:proofErr w:type="spellEnd"/>
      <w:r>
        <w:t xml:space="preserve"> that professional judgement is a key element when deciding on the volume of data, type of data, the source of external data and the grouping of data into homogenous groups. While guidance has been provided on these areas, any additional considerations will still be allowed as long as these are confirmed and approved by your peer reviewer and/or supervisor.</w:t>
      </w:r>
    </w:p>
    <w:p w14:paraId="072B2F4B" w14:textId="77777777" w:rsidR="00355D3C" w:rsidRPr="00B11B6A" w:rsidRDefault="00355D3C" w:rsidP="00355D3C">
      <w:pPr>
        <w:pStyle w:val="Heading2"/>
        <w:autoSpaceDE w:val="0"/>
        <w:autoSpaceDN w:val="0"/>
        <w:adjustRightInd w:val="0"/>
        <w:spacing w:line="240" w:lineRule="auto"/>
      </w:pPr>
      <w:bookmarkStart w:id="16" w:name="_Toc210138981"/>
      <w:r w:rsidRPr="00B11B6A">
        <w:t>Claims Reserving</w:t>
      </w:r>
      <w:bookmarkEnd w:id="16"/>
    </w:p>
    <w:p w14:paraId="1EC20F90" w14:textId="77777777" w:rsidR="00355D3C" w:rsidRDefault="00355D3C" w:rsidP="00355D3C">
      <w:pPr>
        <w:numPr>
          <w:ilvl w:val="1"/>
          <w:numId w:val="2"/>
        </w:numPr>
        <w:autoSpaceDE w:val="0"/>
        <w:autoSpaceDN w:val="0"/>
        <w:adjustRightInd w:val="0"/>
        <w:spacing w:before="240" w:after="240"/>
        <w:ind w:left="720" w:right="0" w:hanging="720"/>
        <w:jc w:val="both"/>
      </w:pPr>
      <w:r>
        <w:t>Claims reserves represent the insurer’s estimate of its current liabilities for claims that occurred on or prior to the valuation date but have not yet been paid.</w:t>
      </w:r>
    </w:p>
    <w:p w14:paraId="15DBCD73" w14:textId="77777777" w:rsidR="00355D3C" w:rsidRDefault="00355D3C" w:rsidP="00355D3C">
      <w:pPr>
        <w:numPr>
          <w:ilvl w:val="1"/>
          <w:numId w:val="2"/>
        </w:numPr>
        <w:autoSpaceDE w:val="0"/>
        <w:autoSpaceDN w:val="0"/>
        <w:adjustRightInd w:val="0"/>
        <w:spacing w:before="240" w:after="240"/>
        <w:ind w:left="720" w:right="0" w:hanging="720"/>
        <w:jc w:val="both"/>
      </w:pPr>
      <w:r>
        <w:t>The reserving process follows a four-phase approach:</w:t>
      </w:r>
    </w:p>
    <w:p w14:paraId="2C6568DB" w14:textId="77777777" w:rsidR="00355D3C" w:rsidRDefault="00355D3C" w:rsidP="005F243A">
      <w:pPr>
        <w:pStyle w:val="ListParagraph"/>
        <w:numPr>
          <w:ilvl w:val="0"/>
          <w:numId w:val="8"/>
        </w:numPr>
        <w:autoSpaceDE w:val="0"/>
        <w:autoSpaceDN w:val="0"/>
        <w:adjustRightInd w:val="0"/>
      </w:pPr>
      <w:r>
        <w:t>Exploration of the data to identify its key characteristics and possible anomalies. Balancing data to other verified sources should be undertaken at this point. Refer to the Valuation Data &amp; Checks Manual for guidance on this.</w:t>
      </w:r>
    </w:p>
    <w:p w14:paraId="49745640" w14:textId="77777777" w:rsidR="00355D3C" w:rsidRDefault="00355D3C" w:rsidP="005F243A">
      <w:pPr>
        <w:pStyle w:val="ListParagraph"/>
        <w:numPr>
          <w:ilvl w:val="0"/>
          <w:numId w:val="8"/>
        </w:numPr>
        <w:autoSpaceDE w:val="0"/>
        <w:autoSpaceDN w:val="0"/>
        <w:adjustRightInd w:val="0"/>
      </w:pPr>
      <w:r>
        <w:t>Application of appropriate techniques for estimating claims liabilities.</w:t>
      </w:r>
    </w:p>
    <w:p w14:paraId="0F1DB40A" w14:textId="77777777" w:rsidR="00355D3C" w:rsidRDefault="00355D3C" w:rsidP="005F243A">
      <w:pPr>
        <w:pStyle w:val="ListParagraph"/>
        <w:numPr>
          <w:ilvl w:val="0"/>
          <w:numId w:val="8"/>
        </w:numPr>
        <w:autoSpaceDE w:val="0"/>
        <w:autoSpaceDN w:val="0"/>
        <w:adjustRightInd w:val="0"/>
      </w:pPr>
      <w:r>
        <w:t>Evaluation of the conflicting results of the various methods used, with an attempt to reconcile or explain the different outcomes. At this point, the projected ultimate amounts are evaluated in contexts outside their original frame of analysis.</w:t>
      </w:r>
    </w:p>
    <w:p w14:paraId="01908E7F" w14:textId="77777777" w:rsidR="00355D3C" w:rsidRDefault="00355D3C" w:rsidP="005F243A">
      <w:pPr>
        <w:pStyle w:val="ListParagraph"/>
        <w:numPr>
          <w:ilvl w:val="0"/>
          <w:numId w:val="8"/>
        </w:numPr>
        <w:autoSpaceDE w:val="0"/>
        <w:autoSpaceDN w:val="0"/>
        <w:adjustRightInd w:val="0"/>
      </w:pPr>
      <w:r>
        <w:t>Monitoring of projections of claims development over subsequent calendar periods. Deviations of actual development from projected development of counts or amounts are one of the most useful diagnostic tools in evaluating the accuracy of claims liabilities estimates.</w:t>
      </w:r>
    </w:p>
    <w:p w14:paraId="21B74DB8" w14:textId="77777777" w:rsidR="00355D3C" w:rsidRDefault="00355D3C" w:rsidP="00355D3C">
      <w:pPr>
        <w:numPr>
          <w:ilvl w:val="1"/>
          <w:numId w:val="2"/>
        </w:numPr>
        <w:autoSpaceDE w:val="0"/>
        <w:autoSpaceDN w:val="0"/>
        <w:adjustRightInd w:val="0"/>
        <w:spacing w:before="240" w:after="240"/>
        <w:ind w:left="720" w:right="0" w:hanging="720"/>
        <w:jc w:val="both"/>
      </w:pPr>
      <w:r>
        <w:t>This manual focuses on the second approach by providing guidance on the various techniques to use in the reserving process.</w:t>
      </w:r>
    </w:p>
    <w:p w14:paraId="102D4C70" w14:textId="77777777" w:rsidR="00355D3C" w:rsidRDefault="00355D3C" w:rsidP="00355D3C">
      <w:pPr>
        <w:numPr>
          <w:ilvl w:val="1"/>
          <w:numId w:val="2"/>
        </w:numPr>
        <w:autoSpaceDE w:val="0"/>
        <w:autoSpaceDN w:val="0"/>
        <w:adjustRightInd w:val="0"/>
        <w:spacing w:before="240" w:after="240"/>
        <w:ind w:left="720" w:right="0" w:hanging="720"/>
        <w:jc w:val="both"/>
      </w:pPr>
      <w:r>
        <w:t>Claim reserves are set aside for two main types of claims:</w:t>
      </w:r>
    </w:p>
    <w:p w14:paraId="34DA1355" w14:textId="77777777" w:rsidR="00355D3C" w:rsidRDefault="00355D3C" w:rsidP="005F243A">
      <w:pPr>
        <w:pStyle w:val="ListParagraph"/>
        <w:numPr>
          <w:ilvl w:val="0"/>
          <w:numId w:val="9"/>
        </w:numPr>
        <w:autoSpaceDE w:val="0"/>
        <w:autoSpaceDN w:val="0"/>
        <w:adjustRightInd w:val="0"/>
      </w:pPr>
      <w:r>
        <w:t>outstanding reported claims; and</w:t>
      </w:r>
    </w:p>
    <w:p w14:paraId="2D246D46" w14:textId="77777777" w:rsidR="00355D3C" w:rsidRDefault="00355D3C" w:rsidP="005F243A">
      <w:pPr>
        <w:pStyle w:val="ListParagraph"/>
        <w:numPr>
          <w:ilvl w:val="0"/>
          <w:numId w:val="9"/>
        </w:numPr>
        <w:autoSpaceDE w:val="0"/>
        <w:autoSpaceDN w:val="0"/>
        <w:adjustRightInd w:val="0"/>
      </w:pPr>
      <w:r>
        <w:t xml:space="preserve">incurred but not reported claims (IBNR). </w:t>
      </w:r>
    </w:p>
    <w:p w14:paraId="6980D9E7" w14:textId="77777777" w:rsidR="00355D3C" w:rsidRDefault="00355D3C" w:rsidP="00355D3C">
      <w:pPr>
        <w:spacing w:after="160" w:line="259" w:lineRule="auto"/>
        <w:ind w:right="0"/>
        <w:rPr>
          <w:color w:val="0137A6"/>
        </w:rPr>
      </w:pPr>
      <w:r>
        <w:rPr>
          <w:color w:val="0137A6"/>
        </w:rPr>
        <w:br w:type="page"/>
      </w:r>
    </w:p>
    <w:p w14:paraId="0F344F58" w14:textId="77777777" w:rsidR="00355D3C" w:rsidRPr="00845479" w:rsidRDefault="00355D3C" w:rsidP="00355D3C">
      <w:pPr>
        <w:autoSpaceDE w:val="0"/>
        <w:autoSpaceDN w:val="0"/>
        <w:adjustRightInd w:val="0"/>
        <w:spacing w:before="240" w:after="240"/>
        <w:ind w:right="0"/>
        <w:jc w:val="both"/>
        <w:rPr>
          <w:color w:val="0137A6"/>
        </w:rPr>
      </w:pPr>
      <w:r w:rsidRPr="00845479">
        <w:rPr>
          <w:color w:val="0137A6"/>
        </w:rPr>
        <w:lastRenderedPageBreak/>
        <w:t>General Steps in Reserving</w:t>
      </w:r>
    </w:p>
    <w:p w14:paraId="64D4ABA6" w14:textId="77777777" w:rsidR="00355D3C" w:rsidRDefault="00355D3C" w:rsidP="00355D3C">
      <w:pPr>
        <w:numPr>
          <w:ilvl w:val="1"/>
          <w:numId w:val="2"/>
        </w:numPr>
        <w:autoSpaceDE w:val="0"/>
        <w:autoSpaceDN w:val="0"/>
        <w:adjustRightInd w:val="0"/>
        <w:spacing w:before="240" w:after="240"/>
        <w:ind w:left="720" w:right="0" w:hanging="720"/>
        <w:jc w:val="both"/>
      </w:pPr>
      <w:r>
        <w:t>The first step in reserving is putting together credible and adequate data. This is covered in the Valuation Data &amp; Checks Manual.</w:t>
      </w:r>
    </w:p>
    <w:p w14:paraId="4DC9E07C" w14:textId="77777777" w:rsidR="00355D3C" w:rsidRDefault="00355D3C" w:rsidP="00355D3C">
      <w:pPr>
        <w:numPr>
          <w:ilvl w:val="1"/>
          <w:numId w:val="2"/>
        </w:numPr>
        <w:autoSpaceDE w:val="0"/>
        <w:autoSpaceDN w:val="0"/>
        <w:adjustRightInd w:val="0"/>
        <w:spacing w:before="240" w:after="240"/>
        <w:ind w:left="720" w:right="0" w:hanging="720"/>
        <w:jc w:val="both"/>
      </w:pPr>
      <w:r>
        <w:t>Unless otherwise, analyse separately the claims reserves using both paid and reported claims (paid claims plus outstanding claims). Where you experience issues with the data available and both analyses cannot be performed, include this in the sign- off sheet, including reasons why the data is not sufficient for use. Discuss the same with your peer reviewer and supervisor before proceeding with the exercise.</w:t>
      </w:r>
    </w:p>
    <w:p w14:paraId="54B5E570" w14:textId="77777777" w:rsidR="00355D3C" w:rsidRDefault="00355D3C" w:rsidP="00355D3C">
      <w:pPr>
        <w:numPr>
          <w:ilvl w:val="1"/>
          <w:numId w:val="2"/>
        </w:numPr>
        <w:autoSpaceDE w:val="0"/>
        <w:autoSpaceDN w:val="0"/>
        <w:adjustRightInd w:val="0"/>
        <w:spacing w:before="240" w:after="240"/>
        <w:ind w:left="720" w:right="0" w:hanging="720"/>
        <w:jc w:val="both"/>
      </w:pPr>
      <w:r>
        <w:t>Once you are comfortable with the data to use for the reserving analysis it is time to study the data further.</w:t>
      </w:r>
    </w:p>
    <w:p w14:paraId="612FE535" w14:textId="77777777" w:rsidR="00355D3C" w:rsidRDefault="00355D3C" w:rsidP="00355D3C">
      <w:pPr>
        <w:numPr>
          <w:ilvl w:val="1"/>
          <w:numId w:val="2"/>
        </w:numPr>
        <w:autoSpaceDE w:val="0"/>
        <w:autoSpaceDN w:val="0"/>
        <w:adjustRightInd w:val="0"/>
        <w:spacing w:before="240" w:after="240"/>
        <w:ind w:left="720" w:right="0" w:hanging="720"/>
        <w:jc w:val="both"/>
      </w:pPr>
      <w:r>
        <w:t>Review the data and identify the need for further re-classification to ensure that the data used is grouped into homogenous groups.</w:t>
      </w:r>
    </w:p>
    <w:p w14:paraId="05791533" w14:textId="77777777" w:rsidR="00355D3C" w:rsidRDefault="00355D3C" w:rsidP="00355D3C">
      <w:pPr>
        <w:numPr>
          <w:ilvl w:val="1"/>
          <w:numId w:val="2"/>
        </w:numPr>
        <w:autoSpaceDE w:val="0"/>
        <w:autoSpaceDN w:val="0"/>
        <w:adjustRightInd w:val="0"/>
        <w:spacing w:before="240" w:after="240"/>
        <w:ind w:left="720" w:right="0" w:hanging="720"/>
        <w:jc w:val="both"/>
      </w:pPr>
      <w:r>
        <w:t>Study the claims patterns based on the claims amounts to identify any extreme values that will need to be excluded in the analysis. This is done by plotting the gross claims amounts for each homogenous group on a scatter plot, or any other appropriate tool, and identifying any outliers. Identification of extreme values will be subject to judgement and care should be taken to ensure that the exclusion is made on sound judgement.</w:t>
      </w:r>
    </w:p>
    <w:p w14:paraId="112EEB12" w14:textId="77777777" w:rsidR="00355D3C" w:rsidRDefault="00355D3C" w:rsidP="00355D3C">
      <w:pPr>
        <w:numPr>
          <w:ilvl w:val="1"/>
          <w:numId w:val="2"/>
        </w:numPr>
        <w:autoSpaceDE w:val="0"/>
        <w:autoSpaceDN w:val="0"/>
        <w:adjustRightInd w:val="0"/>
        <w:spacing w:before="240" w:after="240"/>
        <w:ind w:left="720" w:right="0" w:hanging="720"/>
        <w:jc w:val="both"/>
      </w:pPr>
      <w:r>
        <w:t>You will however need to incorporate the excluded amounts in the reserving results. This is based on the idea that the occurrences may be repetitive and will therefore need to be allowed for in the results. You can include a loading to the claims reserves results based on the observed proportions of the large losses from the claims data.</w:t>
      </w:r>
    </w:p>
    <w:p w14:paraId="4FFCC517" w14:textId="77777777" w:rsidR="00355D3C" w:rsidRDefault="00355D3C" w:rsidP="00355D3C">
      <w:pPr>
        <w:numPr>
          <w:ilvl w:val="1"/>
          <w:numId w:val="2"/>
        </w:numPr>
        <w:autoSpaceDE w:val="0"/>
        <w:autoSpaceDN w:val="0"/>
        <w:adjustRightInd w:val="0"/>
        <w:spacing w:before="240" w:after="240"/>
        <w:ind w:left="720" w:right="0" w:hanging="720"/>
        <w:jc w:val="both"/>
      </w:pPr>
      <w:r>
        <w:t>Once any extreme values have been identified and removed, the adjusted data is now used to develop run-off/delay triangles, from which the selected valuation methodology will be applied.</w:t>
      </w:r>
    </w:p>
    <w:p w14:paraId="2F21DBFF" w14:textId="77777777" w:rsidR="00355D3C" w:rsidRDefault="00355D3C" w:rsidP="00355D3C">
      <w:pPr>
        <w:numPr>
          <w:ilvl w:val="1"/>
          <w:numId w:val="2"/>
        </w:numPr>
        <w:autoSpaceDE w:val="0"/>
        <w:autoSpaceDN w:val="0"/>
        <w:adjustRightInd w:val="0"/>
        <w:spacing w:before="240" w:after="240"/>
        <w:ind w:left="720" w:right="0" w:hanging="720"/>
        <w:jc w:val="both"/>
      </w:pPr>
      <w:r>
        <w:t>You will be required to make a decision on the methodology to apply for the reserving exercise. Key considerations for each methodology are highlighted in the write-up section for each method (included in this guideline) which you will need to review to enable you make a decision. The methodologies used for reserving are likely to vary according to, among others:</w:t>
      </w:r>
    </w:p>
    <w:p w14:paraId="41019AE8" w14:textId="77777777" w:rsidR="00355D3C" w:rsidRDefault="00355D3C" w:rsidP="005F243A">
      <w:pPr>
        <w:pStyle w:val="ListParagraph"/>
        <w:numPr>
          <w:ilvl w:val="0"/>
          <w:numId w:val="10"/>
        </w:numPr>
        <w:autoSpaceDE w:val="0"/>
        <w:autoSpaceDN w:val="0"/>
        <w:adjustRightInd w:val="0"/>
      </w:pPr>
      <w:r>
        <w:t>the class of business, in particular the length of the tail of the run-off of the liabilities and the exposure period of the insurance contracts</w:t>
      </w:r>
    </w:p>
    <w:p w14:paraId="75A084E1" w14:textId="77777777" w:rsidR="00355D3C" w:rsidRDefault="00355D3C" w:rsidP="005F243A">
      <w:pPr>
        <w:pStyle w:val="ListParagraph"/>
        <w:numPr>
          <w:ilvl w:val="0"/>
          <w:numId w:val="10"/>
        </w:numPr>
        <w:autoSpaceDE w:val="0"/>
        <w:autoSpaceDN w:val="0"/>
        <w:adjustRightInd w:val="0"/>
      </w:pPr>
      <w:r>
        <w:t>the types of claim that have been incurred or may be expected to occur</w:t>
      </w:r>
    </w:p>
    <w:p w14:paraId="2A169A56" w14:textId="77777777" w:rsidR="00355D3C" w:rsidRDefault="00355D3C" w:rsidP="005F243A">
      <w:pPr>
        <w:pStyle w:val="ListParagraph"/>
        <w:numPr>
          <w:ilvl w:val="0"/>
          <w:numId w:val="10"/>
        </w:numPr>
        <w:autoSpaceDE w:val="0"/>
        <w:autoSpaceDN w:val="0"/>
        <w:adjustRightInd w:val="0"/>
      </w:pPr>
      <w:r>
        <w:t>the extent and quality of the available data</w:t>
      </w:r>
    </w:p>
    <w:p w14:paraId="402B8C9D" w14:textId="77777777" w:rsidR="00355D3C" w:rsidRDefault="00355D3C" w:rsidP="005F243A">
      <w:pPr>
        <w:pStyle w:val="ListParagraph"/>
        <w:numPr>
          <w:ilvl w:val="0"/>
          <w:numId w:val="10"/>
        </w:numPr>
        <w:autoSpaceDE w:val="0"/>
        <w:autoSpaceDN w:val="0"/>
        <w:adjustRightInd w:val="0"/>
      </w:pPr>
      <w:r>
        <w:t>the age of the business or cohort of claims, and historical claim development information available</w:t>
      </w:r>
    </w:p>
    <w:p w14:paraId="61BE45CA" w14:textId="77777777" w:rsidR="00355D3C" w:rsidRDefault="00355D3C" w:rsidP="005F243A">
      <w:pPr>
        <w:pStyle w:val="ListParagraph"/>
        <w:numPr>
          <w:ilvl w:val="0"/>
          <w:numId w:val="10"/>
        </w:numPr>
        <w:autoSpaceDE w:val="0"/>
        <w:autoSpaceDN w:val="0"/>
        <w:adjustRightInd w:val="0"/>
      </w:pPr>
      <w:r>
        <w:t>historical trends and patterns</w:t>
      </w:r>
    </w:p>
    <w:p w14:paraId="5B883FA8" w14:textId="77777777" w:rsidR="00355D3C" w:rsidRDefault="00355D3C" w:rsidP="005F243A">
      <w:pPr>
        <w:pStyle w:val="ListParagraph"/>
        <w:numPr>
          <w:ilvl w:val="0"/>
          <w:numId w:val="10"/>
        </w:numPr>
        <w:autoSpaceDE w:val="0"/>
        <w:autoSpaceDN w:val="0"/>
        <w:adjustRightInd w:val="0"/>
      </w:pPr>
      <w:r>
        <w:t>the purpose of the reserving exercise</w:t>
      </w:r>
    </w:p>
    <w:p w14:paraId="14FEF1BE" w14:textId="77777777" w:rsidR="00355D3C" w:rsidRDefault="00355D3C" w:rsidP="00355D3C">
      <w:pPr>
        <w:numPr>
          <w:ilvl w:val="1"/>
          <w:numId w:val="2"/>
        </w:numPr>
        <w:autoSpaceDE w:val="0"/>
        <w:autoSpaceDN w:val="0"/>
        <w:adjustRightInd w:val="0"/>
        <w:spacing w:before="240" w:after="240"/>
        <w:ind w:left="720" w:right="0" w:hanging="720"/>
        <w:jc w:val="both"/>
      </w:pPr>
      <w:r>
        <w:t>Identify at least two key methods to use for each homogenous group (these may be uniform for the whole portfolio) and have these signed-off by your peer reviewer and the supervisor.</w:t>
      </w:r>
    </w:p>
    <w:p w14:paraId="138CB41B" w14:textId="77777777" w:rsidR="00355D3C" w:rsidRDefault="00355D3C" w:rsidP="00355D3C">
      <w:pPr>
        <w:numPr>
          <w:ilvl w:val="1"/>
          <w:numId w:val="2"/>
        </w:numPr>
        <w:autoSpaceDE w:val="0"/>
        <w:autoSpaceDN w:val="0"/>
        <w:adjustRightInd w:val="0"/>
        <w:spacing w:before="240" w:after="240"/>
        <w:ind w:left="720" w:right="0" w:hanging="720"/>
        <w:jc w:val="both"/>
      </w:pPr>
      <w:r>
        <w:t>Once the methods to apply have been identified, carry out the reserving exercise using the latest version of the valuation model and apply any judgment based on the results before discussing your results (including the assumptions adopted) with your peer reviewer.</w:t>
      </w:r>
    </w:p>
    <w:p w14:paraId="17E63E7C" w14:textId="77777777" w:rsidR="00355D3C" w:rsidRDefault="00355D3C" w:rsidP="00355D3C">
      <w:pPr>
        <w:numPr>
          <w:ilvl w:val="1"/>
          <w:numId w:val="2"/>
        </w:numPr>
        <w:autoSpaceDE w:val="0"/>
        <w:autoSpaceDN w:val="0"/>
        <w:adjustRightInd w:val="0"/>
        <w:spacing w:before="240" w:after="240"/>
        <w:ind w:left="720" w:right="0" w:hanging="720"/>
        <w:jc w:val="both"/>
      </w:pPr>
      <w:r>
        <w:lastRenderedPageBreak/>
        <w:t>Compile the aggregate results for review and sign-off. Ensure that the sign-off sheet is adequately populated to allow for other users to understand the assumptions and approach taken in carrying out the exercise. This will also allow for discussions with your peer reviewer and supervisor.</w:t>
      </w:r>
    </w:p>
    <w:p w14:paraId="76F7EA3E" w14:textId="77777777" w:rsidR="00355D3C" w:rsidRDefault="00355D3C" w:rsidP="00355D3C">
      <w:pPr>
        <w:numPr>
          <w:ilvl w:val="1"/>
          <w:numId w:val="2"/>
        </w:numPr>
        <w:autoSpaceDE w:val="0"/>
        <w:autoSpaceDN w:val="0"/>
        <w:adjustRightInd w:val="0"/>
        <w:spacing w:before="240" w:after="240"/>
        <w:ind w:left="720" w:right="0" w:hanging="720"/>
        <w:jc w:val="both"/>
      </w:pPr>
      <w:r>
        <w:t>The final step will be generation of the draft valuation report, in the prescribed format, which is further subjected to peer review.</w:t>
      </w:r>
    </w:p>
    <w:p w14:paraId="1FE24C81" w14:textId="77777777" w:rsidR="00355D3C" w:rsidRDefault="00355D3C" w:rsidP="00355D3C">
      <w:pPr>
        <w:numPr>
          <w:ilvl w:val="1"/>
          <w:numId w:val="2"/>
        </w:numPr>
        <w:autoSpaceDE w:val="0"/>
        <w:autoSpaceDN w:val="0"/>
        <w:adjustRightInd w:val="0"/>
        <w:spacing w:before="240" w:after="240"/>
        <w:ind w:left="720" w:right="0" w:hanging="720"/>
        <w:jc w:val="both"/>
      </w:pPr>
      <w:r>
        <w:t xml:space="preserve">The Actuarial Manager will be in charge of communicating the results with the client and once these are </w:t>
      </w:r>
      <w:proofErr w:type="spellStart"/>
      <w:r>
        <w:t>finalised</w:t>
      </w:r>
      <w:proofErr w:type="spellEnd"/>
      <w:r>
        <w:t xml:space="preserve">, a final valuation report will be prepared and submitted to the client under the directive of the Lead Actuary.  </w:t>
      </w:r>
    </w:p>
    <w:p w14:paraId="479DADA1" w14:textId="77777777" w:rsidR="00355D3C" w:rsidRPr="00845479" w:rsidRDefault="00355D3C" w:rsidP="00D578DB">
      <w:pPr>
        <w:pStyle w:val="Heading2"/>
      </w:pPr>
      <w:bookmarkStart w:id="17" w:name="_Toc210138982"/>
      <w:r w:rsidRPr="00845479">
        <w:t>Overview: Run-off Triangles</w:t>
      </w:r>
      <w:bookmarkEnd w:id="17"/>
    </w:p>
    <w:p w14:paraId="071ADF3F" w14:textId="77777777" w:rsidR="00355D3C" w:rsidRDefault="00355D3C" w:rsidP="00355D3C">
      <w:pPr>
        <w:numPr>
          <w:ilvl w:val="1"/>
          <w:numId w:val="2"/>
        </w:numPr>
        <w:autoSpaceDE w:val="0"/>
        <w:autoSpaceDN w:val="0"/>
        <w:adjustRightInd w:val="0"/>
        <w:spacing w:before="240" w:after="240"/>
        <w:ind w:left="720" w:right="0" w:hanging="720"/>
        <w:jc w:val="both"/>
      </w:pPr>
      <w:r>
        <w:t>Run-off/delay triangles are important for forecasting future claims amounts. They are important when there may be a time lag after the loss until the full extent of the claims which have to be paid are known. They provide a method of tabulating claims data and studying the underlying statistical model.</w:t>
      </w:r>
    </w:p>
    <w:p w14:paraId="2CF31AA0" w14:textId="77777777" w:rsidR="00355D3C" w:rsidRDefault="00355D3C" w:rsidP="00355D3C">
      <w:pPr>
        <w:numPr>
          <w:ilvl w:val="1"/>
          <w:numId w:val="2"/>
        </w:numPr>
        <w:autoSpaceDE w:val="0"/>
        <w:autoSpaceDN w:val="0"/>
        <w:adjustRightInd w:val="0"/>
        <w:spacing w:before="240" w:after="240"/>
        <w:ind w:left="720" w:right="0" w:hanging="720"/>
        <w:jc w:val="both"/>
      </w:pPr>
      <w:r>
        <w:t xml:space="preserve">The period in which a loss happens, and the insurer was on risk is called the accident/loss period. This may be </w:t>
      </w:r>
      <w:proofErr w:type="spellStart"/>
      <w:r>
        <w:t>categorised</w:t>
      </w:r>
      <w:proofErr w:type="spellEnd"/>
      <w:r>
        <w:t xml:space="preserve"> as years or quarters, or any other identified period chosen to study the claims. The number of periods until a payment is made is called the delay, or development period. The cumulative claims data is divided up by the accident/loss period and the development period. An example of classification is as shown in the figure below.</w:t>
      </w:r>
    </w:p>
    <w:p w14:paraId="05514272" w14:textId="77777777" w:rsidR="00355D3C" w:rsidRDefault="00355D3C" w:rsidP="00355D3C">
      <w:pPr>
        <w:autoSpaceDE w:val="0"/>
        <w:autoSpaceDN w:val="0"/>
        <w:adjustRightInd w:val="0"/>
        <w:spacing w:before="240" w:after="240"/>
        <w:ind w:right="0"/>
        <w:jc w:val="center"/>
      </w:pPr>
      <w:r w:rsidRPr="00202847">
        <w:rPr>
          <w:noProof/>
        </w:rPr>
        <w:drawing>
          <wp:inline distT="0" distB="0" distL="0" distR="0" wp14:anchorId="154D083B" wp14:editId="474185F1">
            <wp:extent cx="5474575" cy="2218216"/>
            <wp:effectExtent l="0" t="0" r="0" b="0"/>
            <wp:docPr id="7065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5279" name=""/>
                    <pic:cNvPicPr/>
                  </pic:nvPicPr>
                  <pic:blipFill>
                    <a:blip r:embed="rId17"/>
                    <a:stretch>
                      <a:fillRect/>
                    </a:stretch>
                  </pic:blipFill>
                  <pic:spPr>
                    <a:xfrm>
                      <a:off x="0" y="0"/>
                      <a:ext cx="5520742" cy="2236922"/>
                    </a:xfrm>
                    <a:prstGeom prst="rect">
                      <a:avLst/>
                    </a:prstGeom>
                  </pic:spPr>
                </pic:pic>
              </a:graphicData>
            </a:graphic>
          </wp:inline>
        </w:drawing>
      </w:r>
    </w:p>
    <w:p w14:paraId="196ECC7C" w14:textId="77777777" w:rsidR="00355D3C" w:rsidRDefault="00355D3C" w:rsidP="00355D3C">
      <w:pPr>
        <w:numPr>
          <w:ilvl w:val="1"/>
          <w:numId w:val="2"/>
        </w:numPr>
        <w:autoSpaceDE w:val="0"/>
        <w:autoSpaceDN w:val="0"/>
        <w:adjustRightInd w:val="0"/>
        <w:spacing w:before="240" w:after="240"/>
        <w:ind w:left="720" w:right="0" w:hanging="720"/>
        <w:jc w:val="both"/>
      </w:pPr>
      <w:r>
        <w:t>Each row in the triangle represents an origin period which defines a cohort of claims while the columns represent development periods, which show how the cohort of claims relating to a particular origin period develop over time.</w:t>
      </w:r>
    </w:p>
    <w:p w14:paraId="4AA765F2" w14:textId="77777777" w:rsidR="00355D3C" w:rsidRDefault="00355D3C" w:rsidP="00355D3C">
      <w:pPr>
        <w:numPr>
          <w:ilvl w:val="1"/>
          <w:numId w:val="2"/>
        </w:numPr>
        <w:autoSpaceDE w:val="0"/>
        <w:autoSpaceDN w:val="0"/>
        <w:adjustRightInd w:val="0"/>
        <w:spacing w:before="240" w:after="240"/>
        <w:ind w:left="720" w:right="0" w:hanging="720"/>
        <w:jc w:val="both"/>
      </w:pPr>
      <w:r>
        <w:t>Note that particular periods are represented by the diagonals in the triangle. For example, the circled diagonal includes all payments made during the most recent period shown, i.e. period 10, which could be the recent period (as well as past periods since the triangle contains cumulative entries).</w:t>
      </w:r>
    </w:p>
    <w:p w14:paraId="12FED7E6" w14:textId="77777777" w:rsidR="00355D3C" w:rsidRDefault="00355D3C" w:rsidP="00355D3C">
      <w:pPr>
        <w:numPr>
          <w:ilvl w:val="1"/>
          <w:numId w:val="2"/>
        </w:numPr>
        <w:autoSpaceDE w:val="0"/>
        <w:autoSpaceDN w:val="0"/>
        <w:adjustRightInd w:val="0"/>
        <w:spacing w:before="240" w:after="240"/>
        <w:ind w:left="720" w:right="0" w:hanging="720"/>
        <w:jc w:val="both"/>
      </w:pPr>
      <w:r>
        <w:t>Also note that the upper left corner represents ‘known’ past claims amounts, while the lower right corner represents ‘unknown’ future amounts. The main aim of reserving is to look at methods of estimating the unknown figures to complete the lower right triangle.</w:t>
      </w:r>
    </w:p>
    <w:p w14:paraId="55AD4402" w14:textId="77777777" w:rsidR="00355D3C" w:rsidRDefault="00355D3C" w:rsidP="00355D3C">
      <w:pPr>
        <w:numPr>
          <w:ilvl w:val="1"/>
          <w:numId w:val="2"/>
        </w:numPr>
        <w:autoSpaceDE w:val="0"/>
        <w:autoSpaceDN w:val="0"/>
        <w:adjustRightInd w:val="0"/>
        <w:spacing w:before="240" w:after="240"/>
        <w:ind w:left="720" w:right="0" w:hanging="720"/>
        <w:jc w:val="both"/>
      </w:pPr>
      <w:r>
        <w:t>For each accident/loss period, the difference between the figure in the extreme right-hand column and the total amount paid so far will give us the estimate of the amount we need to hold currently to meet future liabilities arising.</w:t>
      </w:r>
    </w:p>
    <w:p w14:paraId="7316D611" w14:textId="77777777" w:rsidR="00355D3C" w:rsidRDefault="00355D3C" w:rsidP="00355D3C">
      <w:pPr>
        <w:numPr>
          <w:ilvl w:val="1"/>
          <w:numId w:val="2"/>
        </w:numPr>
        <w:autoSpaceDE w:val="0"/>
        <w:autoSpaceDN w:val="0"/>
        <w:adjustRightInd w:val="0"/>
        <w:spacing w:before="240" w:after="240"/>
        <w:ind w:left="720" w:right="0" w:hanging="720"/>
        <w:jc w:val="both"/>
      </w:pPr>
      <w:r>
        <w:t>Claims are analysed in cohorts, and it is important that each claim is allocated to the correct cohort.</w:t>
      </w:r>
    </w:p>
    <w:p w14:paraId="4E1F461B" w14:textId="77777777" w:rsidR="00355D3C" w:rsidRDefault="00355D3C" w:rsidP="00355D3C">
      <w:pPr>
        <w:numPr>
          <w:ilvl w:val="1"/>
          <w:numId w:val="2"/>
        </w:numPr>
        <w:autoSpaceDE w:val="0"/>
        <w:autoSpaceDN w:val="0"/>
        <w:adjustRightInd w:val="0"/>
        <w:spacing w:before="240" w:after="240"/>
        <w:ind w:left="720" w:right="0" w:hanging="720"/>
        <w:jc w:val="both"/>
      </w:pPr>
      <w:r>
        <w:lastRenderedPageBreak/>
        <w:t>One method of recording data is by accident-period basis where claims development is clustered by the period an accident/loss has occurred. In that respect, such data would include incurred but not yet reported (IBNR) claims.</w:t>
      </w:r>
    </w:p>
    <w:p w14:paraId="20D1646F" w14:textId="77777777" w:rsidR="00355D3C" w:rsidRDefault="00355D3C" w:rsidP="00355D3C">
      <w:pPr>
        <w:numPr>
          <w:ilvl w:val="1"/>
          <w:numId w:val="2"/>
        </w:numPr>
        <w:autoSpaceDE w:val="0"/>
        <w:autoSpaceDN w:val="0"/>
        <w:adjustRightInd w:val="0"/>
        <w:spacing w:before="240" w:after="240"/>
        <w:ind w:left="720" w:right="0" w:hanging="720"/>
        <w:jc w:val="both"/>
      </w:pPr>
      <w:r>
        <w:t>Claims paid in the period the accident/loss takes place are said to be paid in development period 0, claims paid in the following period are said to be paid in development period 1 and so on. The proportion of payments in various development period arising from the losses in an accident/loss period is known as the Loss Development Pattern.</w:t>
      </w:r>
    </w:p>
    <w:p w14:paraId="1C06BC03" w14:textId="77777777" w:rsidR="00355D3C" w:rsidRDefault="00355D3C" w:rsidP="00355D3C">
      <w:pPr>
        <w:numPr>
          <w:ilvl w:val="1"/>
          <w:numId w:val="2"/>
        </w:numPr>
        <w:autoSpaceDE w:val="0"/>
        <w:autoSpaceDN w:val="0"/>
        <w:adjustRightInd w:val="0"/>
        <w:spacing w:before="240" w:after="240"/>
        <w:ind w:left="720" w:right="0" w:hanging="720"/>
        <w:jc w:val="both"/>
      </w:pPr>
      <w:r>
        <w:t>Classes of insurance for which the Loss Development Pattern spreads out over a number of development period (such as Liability Insurance) are said to be Long Tail Business while classes of insurance for which the Loss Development Pattern is short (such as Fire and Theft Motor) are said to be Short Tail Business.</w:t>
      </w:r>
    </w:p>
    <w:p w14:paraId="49676FB8" w14:textId="77777777" w:rsidR="00355D3C" w:rsidRDefault="00355D3C" w:rsidP="00355D3C">
      <w:pPr>
        <w:numPr>
          <w:ilvl w:val="1"/>
          <w:numId w:val="2"/>
        </w:numPr>
        <w:autoSpaceDE w:val="0"/>
        <w:autoSpaceDN w:val="0"/>
        <w:adjustRightInd w:val="0"/>
        <w:spacing w:before="240" w:after="240"/>
        <w:ind w:left="720" w:right="0" w:hanging="720"/>
        <w:jc w:val="both"/>
      </w:pPr>
      <w:r>
        <w:t>Another method of recording data is by underwriting period. This procedure would group claims by the time policies were written rather than when they occurred. This method would therefore include IBNR claims, and claims that are yet to occur, if they relate to a policy written in the underwriting period.</w:t>
      </w:r>
    </w:p>
    <w:p w14:paraId="2035BB44" w14:textId="77777777" w:rsidR="00355D3C" w:rsidRDefault="00355D3C" w:rsidP="00355D3C">
      <w:pPr>
        <w:numPr>
          <w:ilvl w:val="1"/>
          <w:numId w:val="2"/>
        </w:numPr>
        <w:autoSpaceDE w:val="0"/>
        <w:autoSpaceDN w:val="0"/>
        <w:adjustRightInd w:val="0"/>
        <w:spacing w:before="240" w:after="240"/>
        <w:ind w:left="720" w:right="0" w:hanging="720"/>
        <w:jc w:val="both"/>
      </w:pPr>
      <w:r>
        <w:t>A third method of grouping claims is by reporting period. This method would not include IBNR claims as all claims would be allocated to the period in which they were reported.</w:t>
      </w:r>
    </w:p>
    <w:p w14:paraId="485DD5E0" w14:textId="77777777" w:rsidR="00355D3C" w:rsidRPr="0003785A" w:rsidRDefault="00355D3C" w:rsidP="00C355EE">
      <w:pPr>
        <w:pStyle w:val="Heading2"/>
      </w:pPr>
      <w:bookmarkStart w:id="18" w:name="_Toc210138983"/>
      <w:r w:rsidRPr="0003785A">
        <w:t>Projections using Development Factors</w:t>
      </w:r>
      <w:bookmarkEnd w:id="18"/>
    </w:p>
    <w:p w14:paraId="52E2D8BA" w14:textId="77777777" w:rsidR="00355D3C" w:rsidRDefault="00355D3C" w:rsidP="00355D3C">
      <w:pPr>
        <w:numPr>
          <w:ilvl w:val="1"/>
          <w:numId w:val="2"/>
        </w:numPr>
        <w:autoSpaceDE w:val="0"/>
        <w:autoSpaceDN w:val="0"/>
        <w:adjustRightInd w:val="0"/>
        <w:spacing w:before="240" w:after="240"/>
        <w:ind w:left="720" w:right="0" w:hanging="720"/>
        <w:jc w:val="both"/>
      </w:pPr>
      <w:r>
        <w:t>An insurer's liabilities for outstanding claims at a given date (the valuation date) are the present value of claim payments, to be made after the valuation date, on claims which, under the terms of its contracts, arose on or before the valuation date plus the present value of the insurer's internal costs directly related to administering and settling those payments.</w:t>
      </w:r>
    </w:p>
    <w:p w14:paraId="63A1360E" w14:textId="77777777" w:rsidR="00355D3C" w:rsidRDefault="00355D3C" w:rsidP="00355D3C">
      <w:pPr>
        <w:numPr>
          <w:ilvl w:val="1"/>
          <w:numId w:val="2"/>
        </w:numPr>
        <w:autoSpaceDE w:val="0"/>
        <w:autoSpaceDN w:val="0"/>
        <w:adjustRightInd w:val="0"/>
        <w:spacing w:before="240" w:after="240"/>
        <w:ind w:left="720" w:right="0" w:hanging="720"/>
        <w:jc w:val="both"/>
      </w:pPr>
      <w:r>
        <w:t>The basic assumption made in estimating outstanding claims liabilities concerns the run-off pattern. The simplest assumption is that claims will emerge in a similar way in each accident/loss period. The proportionate increases in the known cumulative claims from one development period to the next can then be used to calculate the expected cumulative claims for future development periods.</w:t>
      </w:r>
    </w:p>
    <w:p w14:paraId="3AA392CC" w14:textId="77777777" w:rsidR="00355D3C" w:rsidRDefault="00355D3C" w:rsidP="00355D3C">
      <w:pPr>
        <w:numPr>
          <w:ilvl w:val="1"/>
          <w:numId w:val="2"/>
        </w:numPr>
        <w:autoSpaceDE w:val="0"/>
        <w:autoSpaceDN w:val="0"/>
        <w:adjustRightInd w:val="0"/>
        <w:spacing w:before="240" w:after="240"/>
        <w:ind w:left="720" w:right="0" w:hanging="720"/>
        <w:jc w:val="both"/>
      </w:pPr>
      <w:r>
        <w:t>Note that the ratios that are used to project future claims are known as development factors or link ratios.</w:t>
      </w:r>
    </w:p>
    <w:p w14:paraId="3043828A" w14:textId="77777777" w:rsidR="00355D3C" w:rsidRDefault="00355D3C" w:rsidP="00355D3C">
      <w:pPr>
        <w:numPr>
          <w:ilvl w:val="1"/>
          <w:numId w:val="2"/>
        </w:numPr>
        <w:autoSpaceDE w:val="0"/>
        <w:autoSpaceDN w:val="0"/>
        <w:adjustRightInd w:val="0"/>
        <w:spacing w:before="240" w:after="240"/>
        <w:ind w:left="720" w:right="0" w:hanging="720"/>
        <w:jc w:val="both"/>
      </w:pPr>
      <w:r>
        <w:t>A development factor may describe the ratio between cumulative claim amounts in consecutive periods or between periods over a longer period. In the table below we calculate development factors for the ratios between consecutive periods. For example, the development factors in the highlighted column are derived by dividing the cumulative payments in column 1 by the corresponding payments in column 0.</w:t>
      </w:r>
    </w:p>
    <w:p w14:paraId="28F3A739" w14:textId="77777777" w:rsidR="00355D3C" w:rsidRDefault="00355D3C" w:rsidP="00355D3C">
      <w:pPr>
        <w:autoSpaceDE w:val="0"/>
        <w:autoSpaceDN w:val="0"/>
        <w:adjustRightInd w:val="0"/>
        <w:spacing w:before="240" w:after="240"/>
        <w:ind w:right="0"/>
        <w:jc w:val="center"/>
      </w:pPr>
      <w:r w:rsidRPr="00D74B97">
        <w:rPr>
          <w:noProof/>
        </w:rPr>
        <w:drawing>
          <wp:inline distT="0" distB="0" distL="0" distR="0" wp14:anchorId="37BC4578" wp14:editId="4CC1DB0B">
            <wp:extent cx="6446520" cy="2444306"/>
            <wp:effectExtent l="0" t="0" r="0" b="0"/>
            <wp:docPr id="19053220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22092" name="Picture 1" descr="A screenshot of a graph&#10;&#10;AI-generated content may be incorrect."/>
                    <pic:cNvPicPr/>
                  </pic:nvPicPr>
                  <pic:blipFill>
                    <a:blip r:embed="rId18"/>
                    <a:stretch>
                      <a:fillRect/>
                    </a:stretch>
                  </pic:blipFill>
                  <pic:spPr>
                    <a:xfrm>
                      <a:off x="0" y="0"/>
                      <a:ext cx="6453639" cy="2447005"/>
                    </a:xfrm>
                    <a:prstGeom prst="rect">
                      <a:avLst/>
                    </a:prstGeom>
                  </pic:spPr>
                </pic:pic>
              </a:graphicData>
            </a:graphic>
          </wp:inline>
        </w:drawing>
      </w:r>
    </w:p>
    <w:p w14:paraId="26630D4D" w14:textId="77777777" w:rsidR="00355D3C" w:rsidRDefault="00355D3C" w:rsidP="00355D3C">
      <w:pPr>
        <w:numPr>
          <w:ilvl w:val="1"/>
          <w:numId w:val="2"/>
        </w:numPr>
        <w:autoSpaceDE w:val="0"/>
        <w:autoSpaceDN w:val="0"/>
        <w:adjustRightInd w:val="0"/>
        <w:spacing w:before="240" w:after="240"/>
        <w:ind w:left="720" w:right="0" w:hanging="720"/>
        <w:jc w:val="both"/>
      </w:pPr>
      <w:r>
        <w:lastRenderedPageBreak/>
        <w:t>For each accident/loss period from there is a different ratio for the increase in cumulative payments from development period 0 to development period 1.</w:t>
      </w:r>
    </w:p>
    <w:p w14:paraId="41020369" w14:textId="77777777" w:rsidR="00355D3C" w:rsidRDefault="00355D3C" w:rsidP="00355D3C">
      <w:pPr>
        <w:numPr>
          <w:ilvl w:val="1"/>
          <w:numId w:val="2"/>
        </w:numPr>
        <w:autoSpaceDE w:val="0"/>
        <w:autoSpaceDN w:val="0"/>
        <w:adjustRightInd w:val="0"/>
        <w:spacing w:before="240" w:after="240"/>
        <w:ind w:left="720" w:right="0" w:hanging="720"/>
        <w:jc w:val="both"/>
      </w:pPr>
      <w:r>
        <w:t>The development factors will always be greater than or equal to 1.</w:t>
      </w:r>
    </w:p>
    <w:p w14:paraId="0549B514" w14:textId="77777777" w:rsidR="00355D3C" w:rsidRDefault="00355D3C" w:rsidP="00355D3C">
      <w:pPr>
        <w:numPr>
          <w:ilvl w:val="1"/>
          <w:numId w:val="2"/>
        </w:numPr>
        <w:autoSpaceDE w:val="0"/>
        <w:autoSpaceDN w:val="0"/>
        <w:adjustRightInd w:val="0"/>
        <w:spacing w:before="240" w:after="240"/>
        <w:ind w:left="720" w:right="0" w:hanging="720"/>
        <w:jc w:val="both"/>
      </w:pPr>
      <w:r>
        <w:t>The choice on which development factor to apply when projecting forward for accident/loss period 10 is subject to judgement. For example, for a conservative approach, it might be best to take the largest ratio, i.e. 1.792. Other options are using the lowest ratio, a simple average or weighted average of the ratios.</w:t>
      </w:r>
    </w:p>
    <w:p w14:paraId="109AED25" w14:textId="77777777" w:rsidR="00355D3C" w:rsidRPr="005956AF" w:rsidRDefault="00355D3C" w:rsidP="00D578DB">
      <w:pPr>
        <w:pStyle w:val="Heading2"/>
      </w:pPr>
      <w:bookmarkStart w:id="19" w:name="_Toc210138984"/>
      <w:r w:rsidRPr="005956AF">
        <w:t>IBNR Computation</w:t>
      </w:r>
      <w:bookmarkEnd w:id="19"/>
    </w:p>
    <w:p w14:paraId="228863FC"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Reserves </w:t>
      </w:r>
      <w:r>
        <w:t>are</w:t>
      </w:r>
      <w:r w:rsidRPr="005956AF">
        <w:t xml:space="preserve"> computed using the Basic Chain Ladder (BCL), the Bornhuetter-Ferguson (BF), Loss Ratio (LR) and the Cape Cod methods on either quarterly basis or annual basis.</w:t>
      </w:r>
    </w:p>
    <w:p w14:paraId="65706F38"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choice of method used for each class </w:t>
      </w:r>
      <w:r>
        <w:t>i</w:t>
      </w:r>
      <w:r w:rsidRPr="005956AF">
        <w:t>s guided by the availability of credible volume of data.</w:t>
      </w:r>
    </w:p>
    <w:p w14:paraId="2567ABC9"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Under the </w:t>
      </w:r>
      <w:r w:rsidRPr="005956AF">
        <w:rPr>
          <w:b/>
        </w:rPr>
        <w:t>Basic Chain Ladder (BCL)</w:t>
      </w:r>
      <w:r w:rsidRPr="005956AF">
        <w:t xml:space="preserve"> method, reported claims data are displayed in the development triangles and age to age factors calculated. For each payment lag, average age to age factors is computed which are used to get cumulative development factors (CDF). The cumulative development factors show the development pattern of the claims that help project ultimate claims using a triangulation approach.</w:t>
      </w:r>
    </w:p>
    <w:p w14:paraId="1535FBD7"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rPr>
        <w:t>Bornhuetter-Fergusson (BF)</w:t>
      </w:r>
      <w:r w:rsidRPr="005956AF">
        <w:t xml:space="preserve"> method is a blend between the basic chain ladder method and what is expected based on the recent experience of the class. In this method, historical experience is retained as part of the estimate of ultimate claims but is not the basis from which future claim activity is projected. Instead, we derive future claim activity from a priori estimate of our expectation.</w:t>
      </w:r>
    </w:p>
    <w:p w14:paraId="530B14F6"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Bornhuetter-Fergusson method </w:t>
      </w:r>
      <w:r>
        <w:t>is</w:t>
      </w:r>
      <w:r w:rsidRPr="005956AF">
        <w:t xml:space="preserve"> adopted where there </w:t>
      </w:r>
      <w:r>
        <w:t>is</w:t>
      </w:r>
      <w:r w:rsidRPr="005956AF">
        <w:t xml:space="preserve"> uncertainty in the claims development trends. In this regard, the basic chain ladder method depends on the stability of claims development. The Bornhuetter - Fergusson method considers both the claims developed to date (which depends on reporting/payment patterns) and the expected claims based on recent experience of the class, hence improving the accuracy of the estimate.</w:t>
      </w:r>
    </w:p>
    <w:p w14:paraId="6B30017F"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rPr>
        <w:t>Cape Cod method</w:t>
      </w:r>
      <w:r w:rsidRPr="005956AF">
        <w:t xml:space="preserve"> assumes a constant ultimate loss ratio for each past accident years. The ultimate loss ratio is estimated by dividing the reported losses for all years by the reported exposures. The exposure is estimated by multiplying the exposure measure by the percentage of losses that have developed. Earned premiums </w:t>
      </w:r>
      <w:r>
        <w:t>are</w:t>
      </w:r>
      <w:r w:rsidRPr="005956AF">
        <w:t xml:space="preserve"> used as the exposure measure. The reserve is then estimated as the percentage of unreported expected ultimate claims.</w:t>
      </w:r>
    </w:p>
    <w:p w14:paraId="2BB66710"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rPr>
        <w:t>Expected Loss Ratio</w:t>
      </w:r>
      <w:r w:rsidRPr="005956AF">
        <w:t xml:space="preserve"> method projects ultimate claims relative to earned premiums, based on expected loss ratios. This method </w:t>
      </w:r>
      <w:r>
        <w:t>is</w:t>
      </w:r>
      <w:r w:rsidRPr="005956AF">
        <w:t xml:space="preserve"> employed for classes where past data available is considered inadequate for triangulation.</w:t>
      </w:r>
    </w:p>
    <w:p w14:paraId="0F9CA975" w14:textId="77777777" w:rsidR="00355D3C" w:rsidRPr="005956AF" w:rsidRDefault="00355D3C" w:rsidP="00355D3C">
      <w:pPr>
        <w:numPr>
          <w:ilvl w:val="1"/>
          <w:numId w:val="2"/>
        </w:numPr>
        <w:autoSpaceDE w:val="0"/>
        <w:autoSpaceDN w:val="0"/>
        <w:adjustRightInd w:val="0"/>
        <w:spacing w:before="200" w:after="200"/>
        <w:ind w:left="709" w:right="0" w:hanging="709"/>
        <w:jc w:val="both"/>
        <w:rPr>
          <w:rFonts w:cs="Arial"/>
          <w:szCs w:val="18"/>
        </w:rPr>
      </w:pPr>
      <w:r w:rsidRPr="005956AF">
        <w:rPr>
          <w:rFonts w:cs="Arial"/>
          <w:szCs w:val="18"/>
        </w:rPr>
        <w:t>IBNR is calculated as the projected ultimate claims less actual claims incurred to date.</w:t>
      </w:r>
    </w:p>
    <w:p w14:paraId="2ACE289C" w14:textId="77777777" w:rsidR="00C355EE" w:rsidRDefault="00C355EE" w:rsidP="00C355EE">
      <w:pPr>
        <w:pStyle w:val="Heading2"/>
      </w:pPr>
      <w:bookmarkStart w:id="20" w:name="_Toc210138985"/>
      <w:r>
        <w:t>Assumptions</w:t>
      </w:r>
      <w:bookmarkEnd w:id="20"/>
    </w:p>
    <w:p w14:paraId="41F8BC4B" w14:textId="77777777" w:rsidR="00C355EE" w:rsidRPr="005956AF" w:rsidRDefault="00C355EE" w:rsidP="00C355EE">
      <w:pPr>
        <w:numPr>
          <w:ilvl w:val="1"/>
          <w:numId w:val="2"/>
        </w:numPr>
        <w:autoSpaceDE w:val="0"/>
        <w:autoSpaceDN w:val="0"/>
        <w:adjustRightInd w:val="0"/>
        <w:spacing w:before="200" w:after="200"/>
        <w:ind w:left="709" w:right="0" w:hanging="709"/>
        <w:jc w:val="both"/>
        <w:rPr>
          <w:szCs w:val="18"/>
        </w:rPr>
      </w:pPr>
      <w:r w:rsidRPr="005956AF">
        <w:rPr>
          <w:szCs w:val="18"/>
        </w:rPr>
        <w:t>When using the Basic Chain Ladder method, we assum</w:t>
      </w:r>
      <w:r>
        <w:rPr>
          <w:szCs w:val="18"/>
        </w:rPr>
        <w:t>e</w:t>
      </w:r>
      <w:r w:rsidRPr="005956AF">
        <w:rPr>
          <w:szCs w:val="18"/>
        </w:rPr>
        <w:t xml:space="preserve"> that there is consistency in claims reporting and payment patterns.</w:t>
      </w:r>
    </w:p>
    <w:p w14:paraId="7E5C57FE" w14:textId="77777777" w:rsidR="00C355EE" w:rsidRPr="005956AF" w:rsidRDefault="00C355EE" w:rsidP="00C355EE">
      <w:pPr>
        <w:numPr>
          <w:ilvl w:val="1"/>
          <w:numId w:val="2"/>
        </w:numPr>
        <w:tabs>
          <w:tab w:val="left" w:pos="5670"/>
        </w:tabs>
        <w:autoSpaceDE w:val="0"/>
        <w:autoSpaceDN w:val="0"/>
        <w:adjustRightInd w:val="0"/>
        <w:spacing w:before="200" w:after="200"/>
        <w:ind w:left="709" w:right="0" w:hanging="709"/>
        <w:jc w:val="both"/>
        <w:rPr>
          <w:szCs w:val="18"/>
        </w:rPr>
      </w:pPr>
      <w:r w:rsidRPr="005956AF">
        <w:rPr>
          <w:szCs w:val="18"/>
        </w:rPr>
        <w:t xml:space="preserve">Under the Bornhuetter-Fergusson method, we assume the ultimate values can be better projected by looking at the recent experience on loss ratio or any other </w:t>
      </w:r>
      <w:r w:rsidRPr="005956AF">
        <w:rPr>
          <w:i/>
          <w:szCs w:val="18"/>
        </w:rPr>
        <w:t>a priori</w:t>
      </w:r>
      <w:r w:rsidRPr="005956AF">
        <w:rPr>
          <w:szCs w:val="18"/>
        </w:rPr>
        <w:t xml:space="preserve"> estimate in addition to the claims observed to date.</w:t>
      </w:r>
    </w:p>
    <w:p w14:paraId="37A8A7CE" w14:textId="77777777" w:rsidR="00C355EE" w:rsidRPr="005956AF" w:rsidRDefault="00C355EE" w:rsidP="00C355EE">
      <w:pPr>
        <w:numPr>
          <w:ilvl w:val="1"/>
          <w:numId w:val="2"/>
        </w:numPr>
        <w:autoSpaceDE w:val="0"/>
        <w:autoSpaceDN w:val="0"/>
        <w:adjustRightInd w:val="0"/>
        <w:spacing w:before="200" w:after="200"/>
        <w:ind w:left="709" w:right="0" w:hanging="709"/>
        <w:jc w:val="both"/>
        <w:rPr>
          <w:szCs w:val="18"/>
        </w:rPr>
      </w:pPr>
      <w:r w:rsidRPr="005956AF">
        <w:rPr>
          <w:szCs w:val="18"/>
        </w:rPr>
        <w:t>The key assumption under the Cape Cod method is that unreported claims will develop based on expected claims.</w:t>
      </w:r>
    </w:p>
    <w:p w14:paraId="466DBCC3" w14:textId="0F98F5E5" w:rsidR="00C355EE" w:rsidRPr="00C355EE" w:rsidRDefault="00C355EE" w:rsidP="00C355EE">
      <w:pPr>
        <w:numPr>
          <w:ilvl w:val="1"/>
          <w:numId w:val="2"/>
        </w:numPr>
        <w:autoSpaceDE w:val="0"/>
        <w:autoSpaceDN w:val="0"/>
        <w:adjustRightInd w:val="0"/>
        <w:spacing w:before="200" w:after="200"/>
        <w:ind w:left="709" w:right="0" w:hanging="709"/>
        <w:jc w:val="both"/>
        <w:rPr>
          <w:szCs w:val="18"/>
        </w:rPr>
      </w:pPr>
      <w:r w:rsidRPr="005956AF">
        <w:rPr>
          <w:szCs w:val="18"/>
        </w:rPr>
        <w:t>For Expected Loss Ratio Method, the assumption made is that ultimate claims will develop in line with the expected loss ratios adopted.</w:t>
      </w:r>
    </w:p>
    <w:p w14:paraId="4C15CAA0" w14:textId="77777777" w:rsidR="00C355EE" w:rsidRPr="00355D3C" w:rsidRDefault="00C355EE" w:rsidP="00C355EE">
      <w:pPr>
        <w:spacing w:after="160" w:line="259" w:lineRule="auto"/>
        <w:ind w:right="0"/>
        <w:rPr>
          <w:rFonts w:cs="Arial"/>
          <w:szCs w:val="18"/>
        </w:rPr>
      </w:pPr>
      <w:r>
        <w:br w:type="page"/>
      </w:r>
    </w:p>
    <w:p w14:paraId="081D9C6A" w14:textId="77777777" w:rsidR="00355D3C" w:rsidRPr="005956AF" w:rsidRDefault="00355D3C" w:rsidP="00C355EE">
      <w:pPr>
        <w:pStyle w:val="Heading2"/>
      </w:pPr>
      <w:bookmarkStart w:id="21" w:name="_Toc210138986"/>
      <w:r w:rsidRPr="005956AF">
        <w:lastRenderedPageBreak/>
        <w:t>Adjustments to Claims Data</w:t>
      </w:r>
      <w:bookmarkEnd w:id="21"/>
    </w:p>
    <w:p w14:paraId="730636BE"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Appropriate adjustments </w:t>
      </w:r>
      <w:r>
        <w:t>are</w:t>
      </w:r>
      <w:r w:rsidRPr="005956AF">
        <w:t xml:space="preserve"> made for large claims/outliers that are expected to distort the estimated development of future claims.</w:t>
      </w:r>
    </w:p>
    <w:p w14:paraId="506F059E" w14:textId="635F534A" w:rsidR="00C355EE" w:rsidRDefault="00355D3C" w:rsidP="00355D3C">
      <w:pPr>
        <w:pStyle w:val="ListParagraph"/>
        <w:numPr>
          <w:ilvl w:val="1"/>
          <w:numId w:val="2"/>
        </w:numPr>
        <w:autoSpaceDE w:val="0"/>
        <w:autoSpaceDN w:val="0"/>
        <w:adjustRightInd w:val="0"/>
        <w:spacing w:before="0" w:line="240" w:lineRule="auto"/>
        <w:ind w:left="709" w:hanging="709"/>
      </w:pPr>
      <w:r w:rsidRPr="005956AF">
        <w:t xml:space="preserve">Where adjustments </w:t>
      </w:r>
      <w:r>
        <w:t>are</w:t>
      </w:r>
      <w:r w:rsidRPr="005956AF">
        <w:t xml:space="preserve"> made in the data used for large/outlier claims, consideration </w:t>
      </w:r>
      <w:r>
        <w:t>are</w:t>
      </w:r>
      <w:r w:rsidRPr="005956AF">
        <w:t xml:space="preserve"> further taken of whether such experience can be reasonably expected to recur in future and the expected impact on claims. Where applicable, explicit loadings </w:t>
      </w:r>
      <w:r>
        <w:t>are</w:t>
      </w:r>
      <w:r w:rsidRPr="005956AF">
        <w:t xml:space="preserve"> made in future reserve estimates.</w:t>
      </w:r>
    </w:p>
    <w:p w14:paraId="5B0B2FD9" w14:textId="77777777" w:rsidR="00C355EE" w:rsidRDefault="00C355EE">
      <w:pPr>
        <w:spacing w:after="160" w:line="259" w:lineRule="auto"/>
        <w:ind w:right="0"/>
        <w:rPr>
          <w:rFonts w:cs="Arial"/>
          <w:szCs w:val="18"/>
        </w:rPr>
      </w:pPr>
      <w:r>
        <w:br w:type="page"/>
      </w:r>
    </w:p>
    <w:p w14:paraId="4DA1F26E" w14:textId="797C5F91" w:rsidR="00663731" w:rsidRPr="00663731" w:rsidRDefault="00355D3C" w:rsidP="00663731">
      <w:pPr>
        <w:pStyle w:val="Heading1"/>
        <w:numPr>
          <w:ilvl w:val="0"/>
          <w:numId w:val="6"/>
        </w:numPr>
        <w:tabs>
          <w:tab w:val="num" w:pos="360"/>
        </w:tabs>
        <w:ind w:left="720" w:hanging="540"/>
        <w:rPr>
          <w:rFonts w:ascii="Nunito Sans Black" w:hAnsi="Nunito Sans Black"/>
        </w:rPr>
      </w:pPr>
      <w:bookmarkStart w:id="22" w:name="_Toc189497739"/>
      <w:bookmarkStart w:id="23" w:name="_Toc210138987"/>
      <w:r w:rsidRPr="00663731">
        <w:rPr>
          <w:rFonts w:ascii="Nunito Sans Black" w:hAnsi="Nunito Sans Black"/>
        </w:rPr>
        <w:lastRenderedPageBreak/>
        <w:t>R</w:t>
      </w:r>
      <w:bookmarkEnd w:id="22"/>
      <w:r w:rsidR="00663731" w:rsidRPr="00663731">
        <w:rPr>
          <w:rFonts w:ascii="Nunito Sans Black" w:hAnsi="Nunito Sans Black"/>
        </w:rPr>
        <w:t>ISK ADJUSTMENT</w:t>
      </w:r>
      <w:bookmarkEnd w:id="23"/>
    </w:p>
    <w:p w14:paraId="4ECC1904" w14:textId="77777777" w:rsidR="00C815F6" w:rsidRPr="00C815F6" w:rsidRDefault="00C815F6" w:rsidP="00C815F6">
      <w:pPr>
        <w:pStyle w:val="ListParagraph"/>
        <w:numPr>
          <w:ilvl w:val="0"/>
          <w:numId w:val="2"/>
        </w:numPr>
        <w:autoSpaceDE w:val="0"/>
        <w:autoSpaceDN w:val="0"/>
        <w:adjustRightInd w:val="0"/>
        <w:spacing w:line="240" w:lineRule="auto"/>
        <w:rPr>
          <w:rFonts w:cstheme="minorBidi"/>
          <w:vanish/>
          <w:szCs w:val="22"/>
        </w:rPr>
      </w:pPr>
    </w:p>
    <w:p w14:paraId="3CD6671C" w14:textId="0E1ED62A" w:rsidR="00355D3C" w:rsidRPr="005956AF" w:rsidRDefault="00355D3C" w:rsidP="00F623BC">
      <w:pPr>
        <w:pStyle w:val="ListParagraph"/>
        <w:numPr>
          <w:ilvl w:val="1"/>
          <w:numId w:val="2"/>
        </w:numPr>
        <w:autoSpaceDE w:val="0"/>
        <w:autoSpaceDN w:val="0"/>
        <w:adjustRightInd w:val="0"/>
        <w:spacing w:line="240" w:lineRule="auto"/>
        <w:ind w:left="709" w:hanging="709"/>
      </w:pPr>
      <w:r w:rsidRPr="005956AF">
        <w:t xml:space="preserve">The </w:t>
      </w:r>
      <w:r w:rsidRPr="00F623BC">
        <w:rPr>
          <w:b/>
          <w:bCs/>
        </w:rPr>
        <w:t>Risk Adjustment</w:t>
      </w:r>
      <w:r w:rsidRPr="005956AF">
        <w:t xml:space="preserve"> (“RA”) is the compensation an entity requires for bearing the uncertainty about the amount and timing of the cash flows that arise from non-financial risk as the entity fulfils insurance contracts.</w:t>
      </w:r>
    </w:p>
    <w:p w14:paraId="7B2210A8" w14:textId="42423DD9" w:rsidR="00C815F6" w:rsidRPr="005956AF" w:rsidRDefault="00355D3C" w:rsidP="00F623BC">
      <w:pPr>
        <w:pStyle w:val="ListParagraph"/>
        <w:numPr>
          <w:ilvl w:val="1"/>
          <w:numId w:val="2"/>
        </w:numPr>
        <w:autoSpaceDE w:val="0"/>
        <w:autoSpaceDN w:val="0"/>
        <w:adjustRightInd w:val="0"/>
        <w:spacing w:before="0" w:line="240" w:lineRule="auto"/>
        <w:ind w:left="709" w:hanging="709"/>
      </w:pPr>
      <w:r w:rsidRPr="005956AF">
        <w:rPr>
          <w:bCs/>
        </w:rPr>
        <w:t xml:space="preserve">The </w:t>
      </w:r>
      <w:r w:rsidRPr="005956AF">
        <w:rPr>
          <w:b/>
        </w:rPr>
        <w:t xml:space="preserve">Bootstrapping method </w:t>
      </w:r>
      <w:r>
        <w:rPr>
          <w:bCs/>
        </w:rPr>
        <w:t>is</w:t>
      </w:r>
      <w:r w:rsidRPr="005956AF">
        <w:rPr>
          <w:bCs/>
        </w:rPr>
        <w:t xml:space="preserve"> used to calculate the Risk Adjustment as at the Valuation Date, with the </w:t>
      </w:r>
      <w:r w:rsidRPr="005956AF">
        <w:rPr>
          <w:b/>
        </w:rPr>
        <w:t xml:space="preserve">Cost of Capital method </w:t>
      </w:r>
      <w:r w:rsidRPr="005956AF">
        <w:rPr>
          <w:bCs/>
        </w:rPr>
        <w:t xml:space="preserve">used as an alternative where Bootstrapping </w:t>
      </w:r>
      <w:r>
        <w:rPr>
          <w:bCs/>
        </w:rPr>
        <w:t>is</w:t>
      </w:r>
      <w:r w:rsidRPr="005956AF">
        <w:rPr>
          <w:bCs/>
        </w:rPr>
        <w:t xml:space="preserve"> not applicable.</w:t>
      </w:r>
    </w:p>
    <w:p w14:paraId="5BF8E756"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As required by the IRA circular CONF/IRA/00/001/03 dated 22</w:t>
      </w:r>
      <w:r w:rsidRPr="005956AF">
        <w:rPr>
          <w:vertAlign w:val="superscript"/>
        </w:rPr>
        <w:t>nd</w:t>
      </w:r>
      <w:r w:rsidRPr="005956AF">
        <w:t xml:space="preserve"> March 2023, "The Implementation of the Standard," both the Bootstrapping and Cost of Capital methods </w:t>
      </w:r>
      <w:r>
        <w:t>are</w:t>
      </w:r>
      <w:r w:rsidRPr="005956AF">
        <w:t xml:space="preserve"> computed at </w:t>
      </w:r>
      <w:r w:rsidRPr="005956AF">
        <w:rPr>
          <w:b/>
          <w:bCs/>
        </w:rPr>
        <w:t>75% confidence level</w:t>
      </w:r>
      <w:r w:rsidRPr="005956AF">
        <w:t xml:space="preserve">. </w:t>
      </w:r>
    </w:p>
    <w:p w14:paraId="76CFA2AF" w14:textId="77777777" w:rsidR="00355D3C" w:rsidRPr="005956AF" w:rsidRDefault="00355D3C" w:rsidP="002B1F62">
      <w:pPr>
        <w:pStyle w:val="Heading2"/>
        <w:rPr>
          <w:i/>
          <w:iCs/>
        </w:rPr>
      </w:pPr>
      <w:bookmarkStart w:id="24" w:name="_Toc210138988"/>
      <w:r w:rsidRPr="005956AF">
        <w:t>Bootstrapping Method</w:t>
      </w:r>
      <w:bookmarkEnd w:id="24"/>
    </w:p>
    <w:p w14:paraId="16A1089D"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The Bootstrapping method is a statistical technique that resamples historical claims data to generate a distribution of possible future outcomes, allowing for a detailed and realistic estimation of the RA. It uses a two-stage bootstrapping approach.</w:t>
      </w:r>
    </w:p>
    <w:p w14:paraId="3AD43E63"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In the first stage an ordinary Basic Chain Ladder (“BCL”) method is applied to a cumulative claim’s triangle. The calculated the scaled Pearson residuals are bootstrapped R times to forecast future incremental claims payments via the standard BCL method.</w:t>
      </w:r>
    </w:p>
    <w:p w14:paraId="7B6A1D26"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In the second stage, a simulation process error is run using the bootstrap value as the mean and assuming over-dispersed Poisson process distribution. The IBNR reserves generated by this technique form the predictive distribution from which summary statistics including the mean, prediction error, and quantiles can be computed.</w:t>
      </w:r>
    </w:p>
    <w:p w14:paraId="30ED3C0F"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This resampling technique utilizes historical data to generate stochastic scenarios, drawing upon past observations as potential future outcomes rather than theoretical distributions. This results of the production of a full distribution of the claims from which the mean and the 75</w:t>
      </w:r>
      <w:r w:rsidRPr="005956AF">
        <w:rPr>
          <w:vertAlign w:val="superscript"/>
        </w:rPr>
        <w:t>th</w:t>
      </w:r>
      <w:r w:rsidRPr="005956AF">
        <w:t xml:space="preserve"> percentile reserves will be estimated. The Risk Adjustment is then derived from the two estimates as shown below:</w:t>
      </w:r>
    </w:p>
    <w:p w14:paraId="1825CBAA" w14:textId="77777777" w:rsidR="00355D3C" w:rsidRPr="005956AF" w:rsidRDefault="00355D3C" w:rsidP="00355D3C">
      <w:pPr>
        <w:pStyle w:val="ListParagraph"/>
        <w:autoSpaceDE w:val="0"/>
        <w:autoSpaceDN w:val="0"/>
        <w:adjustRightInd w:val="0"/>
        <w:ind w:left="709"/>
        <w:rPr>
          <w:bCs/>
          <w:i/>
          <w:sz w:val="20"/>
          <w:szCs w:val="20"/>
        </w:rPr>
      </w:pPr>
      <m:oMathPara>
        <m:oMath>
          <m:r>
            <w:rPr>
              <w:rFonts w:ascii="Cambria Math" w:hAnsi="Cambria Math"/>
              <w:color w:val="0137A6"/>
              <w:sz w:val="20"/>
              <w:szCs w:val="20"/>
            </w:rPr>
            <m:t>Risk Margin at 75% Confidence Level=IBNR at 75% Confidence Level- Mean IBNR</m:t>
          </m:r>
        </m:oMath>
      </m:oMathPara>
    </w:p>
    <w:p w14:paraId="6BC46DD1" w14:textId="77777777" w:rsidR="00A20228" w:rsidRDefault="00A20228">
      <w:pPr>
        <w:spacing w:after="160" w:line="259" w:lineRule="auto"/>
        <w:ind w:right="0"/>
        <w:rPr>
          <w:rFonts w:ascii="Nunito Sans SemiBold" w:hAnsi="Nunito Sans SemiBold" w:cs="Times New Roman"/>
          <w:color w:val="0137A6"/>
          <w:szCs w:val="18"/>
        </w:rPr>
      </w:pPr>
      <w:r>
        <w:br w:type="page"/>
      </w:r>
    </w:p>
    <w:p w14:paraId="7D0305C8" w14:textId="7FA80493" w:rsidR="00355D3C" w:rsidRPr="005956AF" w:rsidRDefault="00355D3C" w:rsidP="002B1F62">
      <w:pPr>
        <w:pStyle w:val="Heading2"/>
        <w:rPr>
          <w:i/>
          <w:iCs/>
        </w:rPr>
      </w:pPr>
      <w:bookmarkStart w:id="25" w:name="_Toc210138989"/>
      <w:r w:rsidRPr="005956AF">
        <w:lastRenderedPageBreak/>
        <w:t>Cost of Capital (CoC) Method</w:t>
      </w:r>
      <w:bookmarkEnd w:id="25"/>
    </w:p>
    <w:p w14:paraId="7801BF5E" w14:textId="77777777" w:rsidR="00355D3C" w:rsidRPr="005956AF" w:rsidRDefault="00355D3C" w:rsidP="00355D3C">
      <w:pPr>
        <w:pStyle w:val="ListParagraph"/>
        <w:numPr>
          <w:ilvl w:val="1"/>
          <w:numId w:val="2"/>
        </w:numPr>
        <w:tabs>
          <w:tab w:val="num" w:pos="1593"/>
        </w:tabs>
        <w:autoSpaceDE w:val="0"/>
        <w:autoSpaceDN w:val="0"/>
        <w:adjustRightInd w:val="0"/>
        <w:spacing w:before="0" w:after="160" w:line="259" w:lineRule="auto"/>
        <w:ind w:left="709" w:hanging="709"/>
      </w:pPr>
      <w:r w:rsidRPr="005956AF">
        <w:t>The Cost of Capital approach determines the RA by estimating the compensation required for taking on insurance risks, reflecting the opportunity cost of holding capital.</w:t>
      </w:r>
    </w:p>
    <w:p w14:paraId="761760C5"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The rates used for this approach are derived from the Risk Based Capital</w:t>
      </w:r>
      <w:r>
        <w:t xml:space="preserve"> </w:t>
      </w:r>
      <w:r w:rsidRPr="005956AF">
        <w:t xml:space="preserve">(‘RBC’) Model provided by the IRA. The RBC model provides the risk charges for each line of business under Capital Form 41_1B. </w:t>
      </w:r>
    </w:p>
    <w:p w14:paraId="79E86DDC" w14:textId="77777777" w:rsidR="00355D3C" w:rsidRPr="005956AF" w:rsidRDefault="00355D3C" w:rsidP="00355D3C">
      <w:pPr>
        <w:pStyle w:val="ListParagraph"/>
        <w:numPr>
          <w:ilvl w:val="1"/>
          <w:numId w:val="2"/>
        </w:numPr>
        <w:tabs>
          <w:tab w:val="num" w:pos="1593"/>
        </w:tabs>
        <w:autoSpaceDE w:val="0"/>
        <w:autoSpaceDN w:val="0"/>
        <w:adjustRightInd w:val="0"/>
        <w:spacing w:before="0" w:after="160" w:line="259" w:lineRule="auto"/>
        <w:ind w:left="709" w:hanging="709"/>
      </w:pPr>
      <w:r w:rsidRPr="005956AF">
        <w:t>It also provides for an additional Catastrophe Risk Charge of 2%.</w:t>
      </w:r>
    </w:p>
    <w:p w14:paraId="64CB7A58" w14:textId="77777777" w:rsidR="00355D3C" w:rsidRPr="00A20228"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A20228">
        <w:t xml:space="preserve">The Cost of Capital rates are determined at </w:t>
      </w:r>
      <w:r w:rsidRPr="00A20228">
        <w:rPr>
          <w:b/>
        </w:rPr>
        <w:t>75% confidence level</w:t>
      </w:r>
      <w:r w:rsidRPr="00A20228">
        <w:t xml:space="preserve"> and using </w:t>
      </w:r>
      <w:r w:rsidRPr="00A20228">
        <w:rPr>
          <w:b/>
        </w:rPr>
        <w:t>10%</w:t>
      </w:r>
      <w:r w:rsidRPr="00A20228">
        <w:t xml:space="preserve"> as the average required return on investment, as shown in the table below:</w:t>
      </w:r>
    </w:p>
    <w:tbl>
      <w:tblPr>
        <w:tblW w:w="11013" w:type="dxa"/>
        <w:tblLayout w:type="fixed"/>
        <w:tblLook w:val="04A0" w:firstRow="1" w:lastRow="0" w:firstColumn="1" w:lastColumn="0" w:noHBand="0" w:noVBand="1"/>
      </w:tblPr>
      <w:tblGrid>
        <w:gridCol w:w="2575"/>
        <w:gridCol w:w="1485"/>
        <w:gridCol w:w="1156"/>
        <w:gridCol w:w="99"/>
        <w:gridCol w:w="1057"/>
        <w:gridCol w:w="901"/>
        <w:gridCol w:w="255"/>
        <w:gridCol w:w="1156"/>
        <w:gridCol w:w="845"/>
        <w:gridCol w:w="344"/>
        <w:gridCol w:w="1128"/>
        <w:gridCol w:w="12"/>
      </w:tblGrid>
      <w:tr w:rsidR="00A20228" w:rsidRPr="005956AF" w14:paraId="35C9A710" w14:textId="77777777" w:rsidTr="0004678C">
        <w:trPr>
          <w:trHeight w:val="330"/>
        </w:trPr>
        <w:tc>
          <w:tcPr>
            <w:tcW w:w="11013" w:type="dxa"/>
            <w:gridSpan w:val="12"/>
            <w:tcBorders>
              <w:top w:val="nil"/>
              <w:left w:val="nil"/>
              <w:bottom w:val="dashed" w:sz="4" w:space="0" w:color="0137A6"/>
              <w:right w:val="nil"/>
            </w:tcBorders>
            <w:shd w:val="clear" w:color="000000" w:fill="0137A6"/>
            <w:vAlign w:val="center"/>
            <w:hideMark/>
          </w:tcPr>
          <w:p w14:paraId="0B9A3400" w14:textId="77777777" w:rsidR="00A20228" w:rsidRPr="005956AF" w:rsidRDefault="00A20228" w:rsidP="0004678C">
            <w:pPr>
              <w:jc w:val="center"/>
              <w:rPr>
                <w:b/>
                <w:bCs/>
                <w:sz w:val="16"/>
                <w:szCs w:val="16"/>
              </w:rPr>
            </w:pPr>
            <w:r w:rsidRPr="005956AF">
              <w:rPr>
                <w:b/>
                <w:bCs/>
                <w:sz w:val="16"/>
                <w:szCs w:val="16"/>
              </w:rPr>
              <w:t>COST OF CAPITAL APPROACH (USING REGULATORY CAPITAL MODEL AT 75% PERCENTILE, % Of CLAIMS)</w:t>
            </w:r>
          </w:p>
        </w:tc>
      </w:tr>
      <w:tr w:rsidR="00A20228" w:rsidRPr="005956AF" w14:paraId="22D4134A" w14:textId="77777777" w:rsidTr="0004678C">
        <w:trPr>
          <w:gridAfter w:val="1"/>
          <w:wAfter w:w="10" w:type="dxa"/>
          <w:trHeight w:val="146"/>
        </w:trPr>
        <w:tc>
          <w:tcPr>
            <w:tcW w:w="2577" w:type="dxa"/>
            <w:tcBorders>
              <w:top w:val="nil"/>
              <w:left w:val="nil"/>
              <w:bottom w:val="nil"/>
              <w:right w:val="nil"/>
            </w:tcBorders>
            <w:shd w:val="clear" w:color="auto" w:fill="808080" w:themeFill="background1" w:themeFillShade="80"/>
            <w:noWrap/>
            <w:vAlign w:val="bottom"/>
            <w:hideMark/>
          </w:tcPr>
          <w:p w14:paraId="141ADA18" w14:textId="77777777" w:rsidR="00A20228" w:rsidRPr="00666649" w:rsidRDefault="00A20228" w:rsidP="0004678C">
            <w:pPr>
              <w:jc w:val="right"/>
              <w:rPr>
                <w:rFonts w:ascii="Nunito" w:hAnsi="Nunito" w:cs="Calibri"/>
                <w:b/>
                <w:color w:val="FFFFFF"/>
                <w:sz w:val="16"/>
                <w:szCs w:val="16"/>
              </w:rPr>
            </w:pPr>
            <w:r w:rsidRPr="005956AF">
              <w:rPr>
                <w:rFonts w:cs="Calibri"/>
                <w:b/>
                <w:color w:val="FFFFFF"/>
                <w:sz w:val="16"/>
                <w:szCs w:val="16"/>
              </w:rPr>
              <w:t> </w:t>
            </w:r>
          </w:p>
        </w:tc>
        <w:tc>
          <w:tcPr>
            <w:tcW w:w="2740" w:type="dxa"/>
            <w:gridSpan w:val="3"/>
            <w:tcBorders>
              <w:top w:val="dashed" w:sz="4" w:space="0" w:color="0137A6"/>
              <w:left w:val="nil"/>
              <w:bottom w:val="dashed" w:sz="4" w:space="0" w:color="0137A6"/>
              <w:right w:val="nil"/>
            </w:tcBorders>
            <w:shd w:val="clear" w:color="auto" w:fill="808080" w:themeFill="background1" w:themeFillShade="80"/>
            <w:noWrap/>
            <w:vAlign w:val="bottom"/>
            <w:hideMark/>
          </w:tcPr>
          <w:p w14:paraId="652D96EB" w14:textId="77777777" w:rsidR="00A20228" w:rsidRPr="00666649" w:rsidRDefault="00A20228" w:rsidP="0004678C">
            <w:pPr>
              <w:jc w:val="center"/>
              <w:rPr>
                <w:rFonts w:ascii="Nunito" w:hAnsi="Nunito" w:cs="Calibri"/>
                <w:b/>
                <w:color w:val="FFFFFF"/>
                <w:sz w:val="16"/>
                <w:szCs w:val="16"/>
              </w:rPr>
            </w:pPr>
            <w:r w:rsidRPr="005956AF">
              <w:rPr>
                <w:rFonts w:cs="Calibri"/>
                <w:b/>
                <w:color w:val="FFFFFF"/>
                <w:sz w:val="16"/>
                <w:szCs w:val="16"/>
              </w:rPr>
              <w:t>Minimum Capital Requirement (MCR)</w:t>
            </w:r>
          </w:p>
        </w:tc>
        <w:tc>
          <w:tcPr>
            <w:tcW w:w="1958" w:type="dxa"/>
            <w:gridSpan w:val="2"/>
            <w:tcBorders>
              <w:top w:val="dashed" w:sz="4" w:space="0" w:color="0137A6"/>
              <w:left w:val="nil"/>
              <w:bottom w:val="dashed" w:sz="4" w:space="0" w:color="0137A6"/>
              <w:right w:val="nil"/>
            </w:tcBorders>
            <w:shd w:val="clear" w:color="auto" w:fill="808080" w:themeFill="background1" w:themeFillShade="80"/>
            <w:noWrap/>
            <w:vAlign w:val="bottom"/>
            <w:hideMark/>
          </w:tcPr>
          <w:p w14:paraId="2103AB29" w14:textId="77777777" w:rsidR="00A20228" w:rsidRPr="00666649" w:rsidRDefault="00A20228" w:rsidP="0004678C">
            <w:pPr>
              <w:jc w:val="center"/>
              <w:rPr>
                <w:rFonts w:ascii="Nunito" w:hAnsi="Nunito" w:cs="Calibri"/>
                <w:b/>
                <w:color w:val="FFFFFF"/>
                <w:sz w:val="16"/>
                <w:szCs w:val="16"/>
              </w:rPr>
            </w:pPr>
            <w:r w:rsidRPr="005956AF">
              <w:rPr>
                <w:rFonts w:cs="Calibri"/>
                <w:b/>
                <w:color w:val="FFFFFF"/>
                <w:sz w:val="16"/>
                <w:szCs w:val="16"/>
              </w:rPr>
              <w:t>PCR / SCR</w:t>
            </w:r>
          </w:p>
        </w:tc>
        <w:tc>
          <w:tcPr>
            <w:tcW w:w="2256" w:type="dxa"/>
            <w:gridSpan w:val="3"/>
            <w:tcBorders>
              <w:top w:val="nil"/>
              <w:left w:val="nil"/>
              <w:bottom w:val="dashed" w:sz="4" w:space="0" w:color="0137A6"/>
              <w:right w:val="nil"/>
            </w:tcBorders>
            <w:shd w:val="clear" w:color="auto" w:fill="808080" w:themeFill="background1" w:themeFillShade="80"/>
            <w:noWrap/>
            <w:vAlign w:val="bottom"/>
            <w:hideMark/>
          </w:tcPr>
          <w:p w14:paraId="24CA0C0D" w14:textId="77777777" w:rsidR="00A20228" w:rsidRPr="00666649" w:rsidRDefault="00A20228" w:rsidP="0004678C">
            <w:pPr>
              <w:jc w:val="center"/>
              <w:rPr>
                <w:rFonts w:ascii="Nunito" w:hAnsi="Nunito" w:cs="Calibri"/>
                <w:b/>
                <w:color w:val="FFFFFF"/>
                <w:sz w:val="16"/>
                <w:szCs w:val="16"/>
              </w:rPr>
            </w:pPr>
            <w:r w:rsidRPr="005956AF">
              <w:rPr>
                <w:rFonts w:cs="Calibri"/>
                <w:b/>
                <w:color w:val="FFFFFF"/>
                <w:sz w:val="16"/>
                <w:szCs w:val="16"/>
              </w:rPr>
              <w:t> </w:t>
            </w:r>
          </w:p>
        </w:tc>
        <w:tc>
          <w:tcPr>
            <w:tcW w:w="1472" w:type="dxa"/>
            <w:gridSpan w:val="2"/>
            <w:tcBorders>
              <w:top w:val="nil"/>
              <w:left w:val="nil"/>
              <w:bottom w:val="dashed" w:sz="4" w:space="0" w:color="0137A6"/>
              <w:right w:val="nil"/>
            </w:tcBorders>
            <w:shd w:val="clear" w:color="auto" w:fill="808080" w:themeFill="background1" w:themeFillShade="80"/>
            <w:noWrap/>
            <w:vAlign w:val="bottom"/>
            <w:hideMark/>
          </w:tcPr>
          <w:p w14:paraId="763D257D" w14:textId="77777777" w:rsidR="00A20228" w:rsidRPr="005956AF" w:rsidRDefault="00A20228" w:rsidP="0004678C">
            <w:pPr>
              <w:jc w:val="center"/>
              <w:rPr>
                <w:rFonts w:cs="Calibri"/>
                <w:b/>
                <w:color w:val="FFFFFF"/>
                <w:sz w:val="16"/>
                <w:szCs w:val="16"/>
              </w:rPr>
            </w:pPr>
            <w:r w:rsidRPr="005956AF">
              <w:rPr>
                <w:rFonts w:cs="Calibri"/>
                <w:b/>
                <w:color w:val="FFFFFF"/>
                <w:sz w:val="16"/>
                <w:szCs w:val="16"/>
              </w:rPr>
              <w:t> </w:t>
            </w:r>
          </w:p>
        </w:tc>
      </w:tr>
      <w:tr w:rsidR="00A20228" w:rsidRPr="005956AF" w14:paraId="4D1EF12F" w14:textId="77777777" w:rsidTr="0004678C">
        <w:trPr>
          <w:gridAfter w:val="1"/>
          <w:wAfter w:w="12" w:type="dxa"/>
          <w:trHeight w:val="696"/>
        </w:trPr>
        <w:tc>
          <w:tcPr>
            <w:tcW w:w="2577" w:type="dxa"/>
            <w:tcBorders>
              <w:top w:val="dashed" w:sz="4" w:space="0" w:color="0137A6"/>
              <w:left w:val="nil"/>
              <w:bottom w:val="nil"/>
              <w:right w:val="nil"/>
            </w:tcBorders>
            <w:shd w:val="clear" w:color="auto" w:fill="F2F2F2" w:themeFill="background1" w:themeFillShade="F2"/>
            <w:noWrap/>
            <w:vAlign w:val="center"/>
            <w:hideMark/>
          </w:tcPr>
          <w:p w14:paraId="3CF4C07F"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Insurance Class</w:t>
            </w:r>
          </w:p>
        </w:tc>
        <w:tc>
          <w:tcPr>
            <w:tcW w:w="1485" w:type="dxa"/>
            <w:tcBorders>
              <w:top w:val="nil"/>
              <w:left w:val="nil"/>
              <w:bottom w:val="nil"/>
              <w:right w:val="nil"/>
            </w:tcBorders>
            <w:shd w:val="clear" w:color="auto" w:fill="F2F2F2" w:themeFill="background1" w:themeFillShade="F2"/>
            <w:vAlign w:val="center"/>
            <w:hideMark/>
          </w:tcPr>
          <w:p w14:paraId="14898DF9"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 xml:space="preserve">Claim </w:t>
            </w:r>
            <w:r w:rsidRPr="005956AF">
              <w:rPr>
                <w:rFonts w:cs="Calibri"/>
                <w:b/>
                <w:color w:val="0137A6"/>
                <w:sz w:val="16"/>
                <w:szCs w:val="16"/>
              </w:rPr>
              <w:br/>
              <w:t>Reserves</w:t>
            </w:r>
          </w:p>
        </w:tc>
        <w:tc>
          <w:tcPr>
            <w:tcW w:w="1156" w:type="dxa"/>
            <w:tcBorders>
              <w:top w:val="nil"/>
              <w:left w:val="nil"/>
              <w:bottom w:val="nil"/>
              <w:right w:val="nil"/>
            </w:tcBorders>
            <w:shd w:val="clear" w:color="auto" w:fill="F2F2F2" w:themeFill="background1" w:themeFillShade="F2"/>
            <w:noWrap/>
            <w:vAlign w:val="center"/>
            <w:hideMark/>
          </w:tcPr>
          <w:p w14:paraId="7C184805"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Catastrophe</w:t>
            </w:r>
          </w:p>
        </w:tc>
        <w:tc>
          <w:tcPr>
            <w:tcW w:w="1156" w:type="dxa"/>
            <w:gridSpan w:val="2"/>
            <w:tcBorders>
              <w:top w:val="nil"/>
              <w:left w:val="nil"/>
              <w:bottom w:val="nil"/>
            </w:tcBorders>
            <w:shd w:val="clear" w:color="auto" w:fill="F2F2F2" w:themeFill="background1" w:themeFillShade="F2"/>
            <w:vAlign w:val="center"/>
            <w:hideMark/>
          </w:tcPr>
          <w:p w14:paraId="4A8FDB5B"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 xml:space="preserve">MCR </w:t>
            </w:r>
            <w:r w:rsidRPr="005956AF">
              <w:rPr>
                <w:rFonts w:cs="Calibri"/>
                <w:b/>
                <w:color w:val="0137A6"/>
                <w:sz w:val="16"/>
                <w:szCs w:val="16"/>
              </w:rPr>
              <w:br/>
              <w:t>Capital</w:t>
            </w:r>
          </w:p>
        </w:tc>
        <w:tc>
          <w:tcPr>
            <w:tcW w:w="1156" w:type="dxa"/>
            <w:gridSpan w:val="2"/>
            <w:tcBorders>
              <w:top w:val="dashed" w:sz="4" w:space="0" w:color="0137A6"/>
              <w:bottom w:val="dashed" w:sz="4" w:space="0" w:color="0137A6"/>
            </w:tcBorders>
            <w:shd w:val="clear" w:color="auto" w:fill="F2F2F2" w:themeFill="background1" w:themeFillShade="F2"/>
            <w:vAlign w:val="center"/>
            <w:hideMark/>
          </w:tcPr>
          <w:p w14:paraId="0BDF0F7F"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Solvency</w:t>
            </w:r>
            <w:r w:rsidRPr="005956AF">
              <w:rPr>
                <w:rFonts w:cs="Calibri"/>
                <w:b/>
                <w:color w:val="0137A6"/>
                <w:sz w:val="16"/>
                <w:szCs w:val="16"/>
              </w:rPr>
              <w:br/>
              <w:t>Adjustment</w:t>
            </w:r>
          </w:p>
        </w:tc>
        <w:tc>
          <w:tcPr>
            <w:tcW w:w="1156" w:type="dxa"/>
            <w:tcBorders>
              <w:top w:val="nil"/>
              <w:left w:val="nil"/>
              <w:bottom w:val="nil"/>
              <w:right w:val="nil"/>
            </w:tcBorders>
            <w:shd w:val="clear" w:color="auto" w:fill="F2F2F2" w:themeFill="background1" w:themeFillShade="F2"/>
            <w:vAlign w:val="center"/>
            <w:hideMark/>
          </w:tcPr>
          <w:p w14:paraId="07624206"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 xml:space="preserve">Regulatory </w:t>
            </w:r>
            <w:r w:rsidRPr="005956AF">
              <w:rPr>
                <w:rFonts w:cs="Calibri"/>
                <w:b/>
                <w:color w:val="0137A6"/>
                <w:sz w:val="16"/>
                <w:szCs w:val="16"/>
              </w:rPr>
              <w:br/>
              <w:t>Capital</w:t>
            </w:r>
          </w:p>
        </w:tc>
        <w:tc>
          <w:tcPr>
            <w:tcW w:w="1189" w:type="dxa"/>
            <w:gridSpan w:val="2"/>
            <w:tcBorders>
              <w:top w:val="nil"/>
              <w:left w:val="nil"/>
              <w:bottom w:val="nil"/>
              <w:right w:val="nil"/>
            </w:tcBorders>
            <w:shd w:val="clear" w:color="auto" w:fill="F2F2F2" w:themeFill="background1" w:themeFillShade="F2"/>
            <w:vAlign w:val="center"/>
            <w:hideMark/>
          </w:tcPr>
          <w:p w14:paraId="5F8B8D36" w14:textId="77777777" w:rsidR="00A20228" w:rsidRPr="00666649" w:rsidRDefault="00A20228" w:rsidP="0004678C">
            <w:pPr>
              <w:jc w:val="center"/>
              <w:rPr>
                <w:rFonts w:ascii="Nunito" w:hAnsi="Nunito" w:cs="Calibri"/>
                <w:b/>
                <w:bCs/>
                <w:color w:val="0137A6"/>
                <w:sz w:val="16"/>
                <w:szCs w:val="16"/>
              </w:rPr>
            </w:pPr>
            <w:r w:rsidRPr="005956AF">
              <w:rPr>
                <w:rFonts w:cs="Calibri"/>
                <w:b/>
                <w:color w:val="0137A6"/>
                <w:sz w:val="16"/>
                <w:szCs w:val="16"/>
              </w:rPr>
              <w:t xml:space="preserve">Selected </w:t>
            </w:r>
            <w:r w:rsidRPr="005956AF">
              <w:rPr>
                <w:rFonts w:cs="Calibri"/>
                <w:b/>
                <w:color w:val="0137A6"/>
                <w:sz w:val="16"/>
                <w:szCs w:val="16"/>
              </w:rPr>
              <w:br/>
              <w:t xml:space="preserve">Cost of Capital </w:t>
            </w:r>
            <w:r w:rsidRPr="005956AF">
              <w:rPr>
                <w:rFonts w:cs="Calibri"/>
                <w:b/>
                <w:color w:val="0137A6"/>
                <w:sz w:val="16"/>
                <w:szCs w:val="16"/>
              </w:rPr>
              <w:br/>
              <w:t>Rate</w:t>
            </w:r>
          </w:p>
        </w:tc>
        <w:tc>
          <w:tcPr>
            <w:tcW w:w="1126" w:type="dxa"/>
            <w:tcBorders>
              <w:top w:val="nil"/>
              <w:left w:val="nil"/>
              <w:bottom w:val="nil"/>
              <w:right w:val="nil"/>
            </w:tcBorders>
            <w:shd w:val="clear" w:color="auto" w:fill="F2F2F2" w:themeFill="background1" w:themeFillShade="F2"/>
            <w:noWrap/>
            <w:vAlign w:val="center"/>
            <w:hideMark/>
          </w:tcPr>
          <w:p w14:paraId="07B530D4" w14:textId="77777777" w:rsidR="00A20228" w:rsidRPr="005956AF" w:rsidRDefault="00A20228" w:rsidP="0004678C">
            <w:pPr>
              <w:jc w:val="center"/>
              <w:rPr>
                <w:rFonts w:cs="Calibri"/>
                <w:b/>
                <w:bCs/>
                <w:color w:val="0137A6"/>
                <w:sz w:val="16"/>
                <w:szCs w:val="16"/>
              </w:rPr>
            </w:pPr>
            <w:r w:rsidRPr="005956AF">
              <w:rPr>
                <w:rFonts w:cs="Calibri"/>
                <w:b/>
                <w:color w:val="0137A6"/>
                <w:sz w:val="16"/>
                <w:szCs w:val="16"/>
              </w:rPr>
              <w:t>Risk Adjustment</w:t>
            </w:r>
          </w:p>
        </w:tc>
      </w:tr>
      <w:tr w:rsidR="00A20228" w:rsidRPr="005956AF" w14:paraId="59C35158" w14:textId="77777777" w:rsidTr="0004678C">
        <w:trPr>
          <w:gridAfter w:val="1"/>
          <w:wAfter w:w="12" w:type="dxa"/>
          <w:trHeight w:val="31"/>
        </w:trPr>
        <w:tc>
          <w:tcPr>
            <w:tcW w:w="2577" w:type="dxa"/>
            <w:tcBorders>
              <w:top w:val="dashed" w:sz="4" w:space="0" w:color="0137A6"/>
              <w:left w:val="nil"/>
              <w:bottom w:val="nil"/>
              <w:right w:val="nil"/>
            </w:tcBorders>
            <w:shd w:val="clear" w:color="auto" w:fill="D9E1F2"/>
            <w:noWrap/>
            <w:vAlign w:val="center"/>
            <w:hideMark/>
          </w:tcPr>
          <w:p w14:paraId="37176C72"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Aviation</w:t>
            </w:r>
          </w:p>
        </w:tc>
        <w:tc>
          <w:tcPr>
            <w:tcW w:w="1485" w:type="dxa"/>
            <w:tcBorders>
              <w:top w:val="dashed" w:sz="4" w:space="0" w:color="0137A6"/>
              <w:left w:val="nil"/>
              <w:bottom w:val="nil"/>
              <w:right w:val="nil"/>
            </w:tcBorders>
            <w:shd w:val="clear" w:color="000000" w:fill="FFFFFF"/>
            <w:noWrap/>
            <w:vAlign w:val="center"/>
            <w:hideMark/>
          </w:tcPr>
          <w:p w14:paraId="18A8192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29%</w:t>
            </w:r>
          </w:p>
        </w:tc>
        <w:tc>
          <w:tcPr>
            <w:tcW w:w="1156" w:type="dxa"/>
            <w:tcBorders>
              <w:top w:val="dashed" w:sz="4" w:space="0" w:color="0137A6"/>
              <w:left w:val="nil"/>
              <w:bottom w:val="nil"/>
              <w:right w:val="nil"/>
            </w:tcBorders>
            <w:shd w:val="clear" w:color="000000" w:fill="FFFFFF"/>
            <w:noWrap/>
            <w:vAlign w:val="center"/>
            <w:hideMark/>
          </w:tcPr>
          <w:p w14:paraId="03D88D9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dashed" w:sz="4" w:space="0" w:color="0137A6"/>
              <w:left w:val="nil"/>
              <w:bottom w:val="nil"/>
              <w:right w:val="nil"/>
            </w:tcBorders>
            <w:shd w:val="clear" w:color="000000" w:fill="FFFFFF"/>
            <w:noWrap/>
            <w:vAlign w:val="center"/>
            <w:hideMark/>
          </w:tcPr>
          <w:p w14:paraId="25BC665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31%</w:t>
            </w:r>
          </w:p>
        </w:tc>
        <w:tc>
          <w:tcPr>
            <w:tcW w:w="1156" w:type="dxa"/>
            <w:gridSpan w:val="2"/>
            <w:tcBorders>
              <w:top w:val="dashed" w:sz="4" w:space="0" w:color="0137A6"/>
              <w:left w:val="nil"/>
              <w:bottom w:val="nil"/>
              <w:right w:val="nil"/>
            </w:tcBorders>
            <w:shd w:val="clear" w:color="000000" w:fill="FFFFFF"/>
            <w:noWrap/>
            <w:vAlign w:val="center"/>
            <w:hideMark/>
          </w:tcPr>
          <w:p w14:paraId="47B00ACD"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dashed" w:sz="4" w:space="0" w:color="0137A6"/>
              <w:left w:val="nil"/>
              <w:bottom w:val="nil"/>
              <w:right w:val="nil"/>
            </w:tcBorders>
            <w:shd w:val="clear" w:color="000000" w:fill="FFFFFF"/>
            <w:noWrap/>
            <w:vAlign w:val="center"/>
            <w:hideMark/>
          </w:tcPr>
          <w:p w14:paraId="479B2E78"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31%</w:t>
            </w:r>
          </w:p>
        </w:tc>
        <w:tc>
          <w:tcPr>
            <w:tcW w:w="1189" w:type="dxa"/>
            <w:gridSpan w:val="2"/>
            <w:tcBorders>
              <w:top w:val="dashed" w:sz="4" w:space="0" w:color="0137A6"/>
              <w:left w:val="nil"/>
              <w:bottom w:val="nil"/>
              <w:right w:val="nil"/>
            </w:tcBorders>
            <w:shd w:val="clear" w:color="000000" w:fill="FFFFFF"/>
            <w:noWrap/>
            <w:vAlign w:val="center"/>
            <w:hideMark/>
          </w:tcPr>
          <w:p w14:paraId="27527CD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dashed" w:sz="4" w:space="0" w:color="0137A6"/>
              <w:left w:val="nil"/>
              <w:bottom w:val="nil"/>
              <w:right w:val="nil"/>
            </w:tcBorders>
            <w:shd w:val="clear" w:color="000000" w:fill="D9E1F2"/>
            <w:noWrap/>
            <w:vAlign w:val="center"/>
            <w:hideMark/>
          </w:tcPr>
          <w:p w14:paraId="228B6C37" w14:textId="77777777" w:rsidR="00A20228" w:rsidRPr="005956AF" w:rsidRDefault="00A20228" w:rsidP="0004678C">
            <w:pPr>
              <w:jc w:val="right"/>
              <w:rPr>
                <w:rFonts w:cs="Calibri"/>
                <w:color w:val="0137A6"/>
                <w:sz w:val="16"/>
                <w:szCs w:val="16"/>
              </w:rPr>
            </w:pPr>
            <w:r w:rsidRPr="005956AF">
              <w:rPr>
                <w:rFonts w:cs="Calibri"/>
                <w:color w:val="0137A6"/>
                <w:sz w:val="16"/>
                <w:szCs w:val="16"/>
              </w:rPr>
              <w:t>3.10%</w:t>
            </w:r>
          </w:p>
        </w:tc>
      </w:tr>
      <w:tr w:rsidR="00A20228" w:rsidRPr="005956AF" w14:paraId="5ED9D96E" w14:textId="77777777" w:rsidTr="0004678C">
        <w:trPr>
          <w:gridAfter w:val="1"/>
          <w:wAfter w:w="12" w:type="dxa"/>
          <w:trHeight w:val="118"/>
        </w:trPr>
        <w:tc>
          <w:tcPr>
            <w:tcW w:w="2577" w:type="dxa"/>
            <w:tcBorders>
              <w:top w:val="nil"/>
              <w:left w:val="nil"/>
              <w:bottom w:val="nil"/>
              <w:right w:val="nil"/>
            </w:tcBorders>
            <w:shd w:val="clear" w:color="auto" w:fill="D9E1F2"/>
            <w:noWrap/>
            <w:vAlign w:val="center"/>
            <w:hideMark/>
          </w:tcPr>
          <w:p w14:paraId="3514953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Engineering</w:t>
            </w:r>
          </w:p>
        </w:tc>
        <w:tc>
          <w:tcPr>
            <w:tcW w:w="1485" w:type="dxa"/>
            <w:tcBorders>
              <w:top w:val="nil"/>
              <w:left w:val="nil"/>
              <w:bottom w:val="nil"/>
              <w:right w:val="nil"/>
            </w:tcBorders>
            <w:shd w:val="clear" w:color="000000" w:fill="FFFFFF"/>
            <w:noWrap/>
            <w:vAlign w:val="center"/>
            <w:hideMark/>
          </w:tcPr>
          <w:p w14:paraId="71ADC05D"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4%</w:t>
            </w:r>
          </w:p>
        </w:tc>
        <w:tc>
          <w:tcPr>
            <w:tcW w:w="1156" w:type="dxa"/>
            <w:tcBorders>
              <w:top w:val="nil"/>
              <w:left w:val="nil"/>
              <w:bottom w:val="nil"/>
              <w:right w:val="nil"/>
            </w:tcBorders>
            <w:shd w:val="clear" w:color="000000" w:fill="FFFFFF"/>
            <w:noWrap/>
            <w:vAlign w:val="center"/>
            <w:hideMark/>
          </w:tcPr>
          <w:p w14:paraId="31B9980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3809780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6%</w:t>
            </w:r>
          </w:p>
        </w:tc>
        <w:tc>
          <w:tcPr>
            <w:tcW w:w="1156" w:type="dxa"/>
            <w:gridSpan w:val="2"/>
            <w:tcBorders>
              <w:top w:val="nil"/>
              <w:left w:val="nil"/>
              <w:bottom w:val="nil"/>
              <w:right w:val="nil"/>
            </w:tcBorders>
            <w:shd w:val="clear" w:color="000000" w:fill="FFFFFF"/>
            <w:noWrap/>
            <w:vAlign w:val="center"/>
            <w:hideMark/>
          </w:tcPr>
          <w:p w14:paraId="5E4F066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18B47C8D"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6%</w:t>
            </w:r>
          </w:p>
        </w:tc>
        <w:tc>
          <w:tcPr>
            <w:tcW w:w="1189" w:type="dxa"/>
            <w:gridSpan w:val="2"/>
            <w:tcBorders>
              <w:top w:val="nil"/>
              <w:left w:val="nil"/>
              <w:bottom w:val="nil"/>
              <w:right w:val="nil"/>
            </w:tcBorders>
            <w:shd w:val="clear" w:color="000000" w:fill="FFFFFF"/>
            <w:noWrap/>
            <w:vAlign w:val="center"/>
            <w:hideMark/>
          </w:tcPr>
          <w:p w14:paraId="5F1AE15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2544E38A" w14:textId="77777777" w:rsidR="00A20228" w:rsidRPr="005956AF" w:rsidRDefault="00A20228" w:rsidP="0004678C">
            <w:pPr>
              <w:jc w:val="right"/>
              <w:rPr>
                <w:rFonts w:cs="Calibri"/>
                <w:color w:val="0137A6"/>
                <w:sz w:val="16"/>
                <w:szCs w:val="16"/>
              </w:rPr>
            </w:pPr>
            <w:r w:rsidRPr="005956AF">
              <w:rPr>
                <w:rFonts w:cs="Calibri"/>
                <w:color w:val="0137A6"/>
                <w:sz w:val="16"/>
                <w:szCs w:val="16"/>
              </w:rPr>
              <w:t>0.60%</w:t>
            </w:r>
          </w:p>
        </w:tc>
      </w:tr>
      <w:tr w:rsidR="00A20228" w:rsidRPr="005956AF" w14:paraId="00780043" w14:textId="77777777" w:rsidTr="0004678C">
        <w:trPr>
          <w:gridAfter w:val="1"/>
          <w:wAfter w:w="12" w:type="dxa"/>
          <w:trHeight w:val="43"/>
        </w:trPr>
        <w:tc>
          <w:tcPr>
            <w:tcW w:w="2577" w:type="dxa"/>
            <w:tcBorders>
              <w:top w:val="nil"/>
              <w:left w:val="nil"/>
              <w:bottom w:val="nil"/>
              <w:right w:val="nil"/>
            </w:tcBorders>
            <w:shd w:val="clear" w:color="auto" w:fill="D9E1F2"/>
            <w:noWrap/>
            <w:vAlign w:val="center"/>
            <w:hideMark/>
          </w:tcPr>
          <w:p w14:paraId="667748E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Fire Domestic</w:t>
            </w:r>
          </w:p>
        </w:tc>
        <w:tc>
          <w:tcPr>
            <w:tcW w:w="1485" w:type="dxa"/>
            <w:tcBorders>
              <w:top w:val="nil"/>
              <w:left w:val="nil"/>
              <w:bottom w:val="nil"/>
              <w:right w:val="nil"/>
            </w:tcBorders>
            <w:shd w:val="clear" w:color="000000" w:fill="FFFFFF"/>
            <w:noWrap/>
            <w:vAlign w:val="center"/>
            <w:hideMark/>
          </w:tcPr>
          <w:p w14:paraId="09355829"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tcBorders>
              <w:top w:val="nil"/>
              <w:left w:val="nil"/>
              <w:bottom w:val="nil"/>
              <w:right w:val="nil"/>
            </w:tcBorders>
            <w:shd w:val="clear" w:color="000000" w:fill="FFFFFF"/>
            <w:noWrap/>
            <w:vAlign w:val="center"/>
            <w:hideMark/>
          </w:tcPr>
          <w:p w14:paraId="5E83C8E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00BE2B1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4%</w:t>
            </w:r>
          </w:p>
        </w:tc>
        <w:tc>
          <w:tcPr>
            <w:tcW w:w="1156" w:type="dxa"/>
            <w:gridSpan w:val="2"/>
            <w:tcBorders>
              <w:top w:val="nil"/>
              <w:left w:val="nil"/>
              <w:bottom w:val="nil"/>
              <w:right w:val="nil"/>
            </w:tcBorders>
            <w:shd w:val="clear" w:color="000000" w:fill="FFFFFF"/>
            <w:noWrap/>
            <w:vAlign w:val="center"/>
            <w:hideMark/>
          </w:tcPr>
          <w:p w14:paraId="1A88ED6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1208312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4%</w:t>
            </w:r>
          </w:p>
        </w:tc>
        <w:tc>
          <w:tcPr>
            <w:tcW w:w="1189" w:type="dxa"/>
            <w:gridSpan w:val="2"/>
            <w:tcBorders>
              <w:top w:val="nil"/>
              <w:left w:val="nil"/>
              <w:bottom w:val="nil"/>
              <w:right w:val="nil"/>
            </w:tcBorders>
            <w:shd w:val="clear" w:color="000000" w:fill="FFFFFF"/>
            <w:noWrap/>
            <w:vAlign w:val="center"/>
            <w:hideMark/>
          </w:tcPr>
          <w:p w14:paraId="5F538FD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23C2BA76" w14:textId="77777777" w:rsidR="00A20228" w:rsidRPr="005956AF" w:rsidRDefault="00A20228" w:rsidP="0004678C">
            <w:pPr>
              <w:jc w:val="right"/>
              <w:rPr>
                <w:rFonts w:cs="Calibri"/>
                <w:color w:val="0137A6"/>
                <w:sz w:val="16"/>
                <w:szCs w:val="16"/>
              </w:rPr>
            </w:pPr>
            <w:r w:rsidRPr="005956AF">
              <w:rPr>
                <w:rFonts w:cs="Calibri"/>
                <w:color w:val="0137A6"/>
                <w:sz w:val="16"/>
                <w:szCs w:val="16"/>
              </w:rPr>
              <w:t>0.40%</w:t>
            </w:r>
          </w:p>
        </w:tc>
      </w:tr>
      <w:tr w:rsidR="00A20228" w:rsidRPr="005956AF" w14:paraId="32353C66" w14:textId="77777777" w:rsidTr="0004678C">
        <w:trPr>
          <w:gridAfter w:val="1"/>
          <w:wAfter w:w="12" w:type="dxa"/>
          <w:trHeight w:val="43"/>
        </w:trPr>
        <w:tc>
          <w:tcPr>
            <w:tcW w:w="2577" w:type="dxa"/>
            <w:tcBorders>
              <w:top w:val="nil"/>
              <w:left w:val="nil"/>
              <w:bottom w:val="nil"/>
              <w:right w:val="nil"/>
            </w:tcBorders>
            <w:shd w:val="clear" w:color="auto" w:fill="D9E1F2"/>
            <w:noWrap/>
            <w:vAlign w:val="center"/>
            <w:hideMark/>
          </w:tcPr>
          <w:p w14:paraId="16AEB115"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Fire Industrial</w:t>
            </w:r>
          </w:p>
        </w:tc>
        <w:tc>
          <w:tcPr>
            <w:tcW w:w="1485" w:type="dxa"/>
            <w:tcBorders>
              <w:top w:val="nil"/>
              <w:left w:val="nil"/>
              <w:bottom w:val="nil"/>
              <w:right w:val="nil"/>
            </w:tcBorders>
            <w:shd w:val="clear" w:color="000000" w:fill="FFFFFF"/>
            <w:noWrap/>
            <w:vAlign w:val="center"/>
            <w:hideMark/>
          </w:tcPr>
          <w:p w14:paraId="46CC229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6%</w:t>
            </w:r>
          </w:p>
        </w:tc>
        <w:tc>
          <w:tcPr>
            <w:tcW w:w="1156" w:type="dxa"/>
            <w:tcBorders>
              <w:top w:val="nil"/>
              <w:left w:val="nil"/>
              <w:bottom w:val="nil"/>
              <w:right w:val="nil"/>
            </w:tcBorders>
            <w:shd w:val="clear" w:color="000000" w:fill="FFFFFF"/>
            <w:noWrap/>
            <w:vAlign w:val="center"/>
            <w:hideMark/>
          </w:tcPr>
          <w:p w14:paraId="20579D1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5C313265"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8%</w:t>
            </w:r>
          </w:p>
        </w:tc>
        <w:tc>
          <w:tcPr>
            <w:tcW w:w="1156" w:type="dxa"/>
            <w:gridSpan w:val="2"/>
            <w:tcBorders>
              <w:top w:val="nil"/>
              <w:left w:val="nil"/>
              <w:bottom w:val="nil"/>
              <w:right w:val="nil"/>
            </w:tcBorders>
            <w:shd w:val="clear" w:color="000000" w:fill="FFFFFF"/>
            <w:noWrap/>
            <w:vAlign w:val="center"/>
            <w:hideMark/>
          </w:tcPr>
          <w:p w14:paraId="666746B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23120978"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8%</w:t>
            </w:r>
          </w:p>
        </w:tc>
        <w:tc>
          <w:tcPr>
            <w:tcW w:w="1189" w:type="dxa"/>
            <w:gridSpan w:val="2"/>
            <w:tcBorders>
              <w:top w:val="nil"/>
              <w:left w:val="nil"/>
              <w:bottom w:val="nil"/>
              <w:right w:val="nil"/>
            </w:tcBorders>
            <w:shd w:val="clear" w:color="000000" w:fill="FFFFFF"/>
            <w:noWrap/>
            <w:vAlign w:val="center"/>
            <w:hideMark/>
          </w:tcPr>
          <w:p w14:paraId="060212A5"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1891F373" w14:textId="77777777" w:rsidR="00A20228" w:rsidRPr="005956AF" w:rsidRDefault="00A20228" w:rsidP="0004678C">
            <w:pPr>
              <w:jc w:val="right"/>
              <w:rPr>
                <w:rFonts w:cs="Calibri"/>
                <w:color w:val="0137A6"/>
                <w:sz w:val="16"/>
                <w:szCs w:val="16"/>
              </w:rPr>
            </w:pPr>
            <w:r w:rsidRPr="005956AF">
              <w:rPr>
                <w:rFonts w:cs="Calibri"/>
                <w:color w:val="0137A6"/>
                <w:sz w:val="16"/>
                <w:szCs w:val="16"/>
              </w:rPr>
              <w:t>0.80%</w:t>
            </w:r>
          </w:p>
        </w:tc>
      </w:tr>
      <w:tr w:rsidR="00A20228" w:rsidRPr="005956AF" w14:paraId="33895370" w14:textId="77777777" w:rsidTr="0004678C">
        <w:trPr>
          <w:gridAfter w:val="1"/>
          <w:wAfter w:w="12" w:type="dxa"/>
          <w:trHeight w:val="35"/>
        </w:trPr>
        <w:tc>
          <w:tcPr>
            <w:tcW w:w="2577" w:type="dxa"/>
            <w:tcBorders>
              <w:top w:val="nil"/>
              <w:left w:val="nil"/>
              <w:bottom w:val="nil"/>
              <w:right w:val="nil"/>
            </w:tcBorders>
            <w:shd w:val="clear" w:color="auto" w:fill="D9E1F2"/>
            <w:noWrap/>
            <w:vAlign w:val="center"/>
            <w:hideMark/>
          </w:tcPr>
          <w:p w14:paraId="3F5AE2AE"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Liability</w:t>
            </w:r>
          </w:p>
        </w:tc>
        <w:tc>
          <w:tcPr>
            <w:tcW w:w="1485" w:type="dxa"/>
            <w:tcBorders>
              <w:top w:val="nil"/>
              <w:left w:val="nil"/>
              <w:bottom w:val="nil"/>
              <w:right w:val="nil"/>
            </w:tcBorders>
            <w:shd w:val="clear" w:color="000000" w:fill="FFFFFF"/>
            <w:noWrap/>
            <w:vAlign w:val="center"/>
            <w:hideMark/>
          </w:tcPr>
          <w:p w14:paraId="1CB70DF2"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9%</w:t>
            </w:r>
          </w:p>
        </w:tc>
        <w:tc>
          <w:tcPr>
            <w:tcW w:w="1156" w:type="dxa"/>
            <w:tcBorders>
              <w:top w:val="nil"/>
              <w:left w:val="nil"/>
              <w:bottom w:val="nil"/>
              <w:right w:val="nil"/>
            </w:tcBorders>
            <w:shd w:val="clear" w:color="000000" w:fill="FFFFFF"/>
            <w:noWrap/>
            <w:vAlign w:val="center"/>
            <w:hideMark/>
          </w:tcPr>
          <w:p w14:paraId="359EC37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26BEBD0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11%</w:t>
            </w:r>
          </w:p>
        </w:tc>
        <w:tc>
          <w:tcPr>
            <w:tcW w:w="1156" w:type="dxa"/>
            <w:gridSpan w:val="2"/>
            <w:tcBorders>
              <w:top w:val="nil"/>
              <w:left w:val="nil"/>
              <w:bottom w:val="nil"/>
              <w:right w:val="nil"/>
            </w:tcBorders>
            <w:shd w:val="clear" w:color="000000" w:fill="FFFFFF"/>
            <w:noWrap/>
            <w:vAlign w:val="center"/>
            <w:hideMark/>
          </w:tcPr>
          <w:p w14:paraId="7E66598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3784B142"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11%</w:t>
            </w:r>
          </w:p>
        </w:tc>
        <w:tc>
          <w:tcPr>
            <w:tcW w:w="1189" w:type="dxa"/>
            <w:gridSpan w:val="2"/>
            <w:tcBorders>
              <w:top w:val="nil"/>
              <w:left w:val="nil"/>
              <w:bottom w:val="nil"/>
              <w:right w:val="nil"/>
            </w:tcBorders>
            <w:shd w:val="clear" w:color="000000" w:fill="FFFFFF"/>
            <w:noWrap/>
            <w:vAlign w:val="center"/>
            <w:hideMark/>
          </w:tcPr>
          <w:p w14:paraId="7891138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70A63698" w14:textId="77777777" w:rsidR="00A20228" w:rsidRPr="005956AF" w:rsidRDefault="00A20228" w:rsidP="0004678C">
            <w:pPr>
              <w:jc w:val="right"/>
              <w:rPr>
                <w:rFonts w:cs="Calibri"/>
                <w:color w:val="0137A6"/>
                <w:sz w:val="16"/>
                <w:szCs w:val="16"/>
              </w:rPr>
            </w:pPr>
            <w:r w:rsidRPr="005956AF">
              <w:rPr>
                <w:rFonts w:cs="Calibri"/>
                <w:color w:val="0137A6"/>
                <w:sz w:val="16"/>
                <w:szCs w:val="16"/>
              </w:rPr>
              <w:t>1.10%</w:t>
            </w:r>
          </w:p>
        </w:tc>
      </w:tr>
      <w:tr w:rsidR="00A20228" w:rsidRPr="005956AF" w14:paraId="3BEDE1C3" w14:textId="77777777" w:rsidTr="0004678C">
        <w:trPr>
          <w:gridAfter w:val="1"/>
          <w:wAfter w:w="12" w:type="dxa"/>
          <w:trHeight w:val="35"/>
        </w:trPr>
        <w:tc>
          <w:tcPr>
            <w:tcW w:w="2577" w:type="dxa"/>
            <w:tcBorders>
              <w:top w:val="nil"/>
              <w:left w:val="nil"/>
              <w:bottom w:val="nil"/>
              <w:right w:val="nil"/>
            </w:tcBorders>
            <w:shd w:val="clear" w:color="auto" w:fill="D9E1F2"/>
            <w:noWrap/>
            <w:vAlign w:val="center"/>
            <w:hideMark/>
          </w:tcPr>
          <w:p w14:paraId="3652D105"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Marine</w:t>
            </w:r>
          </w:p>
        </w:tc>
        <w:tc>
          <w:tcPr>
            <w:tcW w:w="1485" w:type="dxa"/>
            <w:tcBorders>
              <w:top w:val="nil"/>
              <w:left w:val="nil"/>
              <w:bottom w:val="nil"/>
              <w:right w:val="nil"/>
            </w:tcBorders>
            <w:shd w:val="clear" w:color="000000" w:fill="FFFFFF"/>
            <w:noWrap/>
            <w:vAlign w:val="center"/>
            <w:hideMark/>
          </w:tcPr>
          <w:p w14:paraId="222984C9"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8%</w:t>
            </w:r>
          </w:p>
        </w:tc>
        <w:tc>
          <w:tcPr>
            <w:tcW w:w="1156" w:type="dxa"/>
            <w:tcBorders>
              <w:top w:val="nil"/>
              <w:left w:val="nil"/>
              <w:bottom w:val="nil"/>
              <w:right w:val="nil"/>
            </w:tcBorders>
            <w:shd w:val="clear" w:color="000000" w:fill="FFFFFF"/>
            <w:noWrap/>
            <w:vAlign w:val="center"/>
            <w:hideMark/>
          </w:tcPr>
          <w:p w14:paraId="2DD7CFF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4B50F78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56" w:type="dxa"/>
            <w:gridSpan w:val="2"/>
            <w:tcBorders>
              <w:top w:val="nil"/>
              <w:left w:val="nil"/>
              <w:bottom w:val="nil"/>
              <w:right w:val="nil"/>
            </w:tcBorders>
            <w:shd w:val="clear" w:color="000000" w:fill="FFFFFF"/>
            <w:noWrap/>
            <w:vAlign w:val="center"/>
            <w:hideMark/>
          </w:tcPr>
          <w:p w14:paraId="7C3447C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7CB3CDA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89" w:type="dxa"/>
            <w:gridSpan w:val="2"/>
            <w:tcBorders>
              <w:top w:val="nil"/>
              <w:left w:val="nil"/>
              <w:bottom w:val="nil"/>
              <w:right w:val="nil"/>
            </w:tcBorders>
            <w:shd w:val="clear" w:color="000000" w:fill="FFFFFF"/>
            <w:noWrap/>
            <w:vAlign w:val="center"/>
            <w:hideMark/>
          </w:tcPr>
          <w:p w14:paraId="18E47607"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0F90AA9C" w14:textId="77777777" w:rsidR="00A20228" w:rsidRPr="005956AF" w:rsidRDefault="00A20228" w:rsidP="0004678C">
            <w:pPr>
              <w:jc w:val="right"/>
              <w:rPr>
                <w:rFonts w:cs="Calibri"/>
                <w:color w:val="0137A6"/>
                <w:sz w:val="16"/>
                <w:szCs w:val="16"/>
              </w:rPr>
            </w:pPr>
            <w:r w:rsidRPr="005956AF">
              <w:rPr>
                <w:rFonts w:cs="Calibri"/>
                <w:color w:val="0137A6"/>
                <w:sz w:val="16"/>
                <w:szCs w:val="16"/>
              </w:rPr>
              <w:t>1.00%</w:t>
            </w:r>
          </w:p>
        </w:tc>
      </w:tr>
      <w:tr w:rsidR="00A20228" w:rsidRPr="005956AF" w14:paraId="249D42EC" w14:textId="77777777" w:rsidTr="0004678C">
        <w:trPr>
          <w:gridAfter w:val="1"/>
          <w:wAfter w:w="12" w:type="dxa"/>
          <w:trHeight w:val="43"/>
        </w:trPr>
        <w:tc>
          <w:tcPr>
            <w:tcW w:w="2577" w:type="dxa"/>
            <w:tcBorders>
              <w:top w:val="nil"/>
              <w:left w:val="nil"/>
              <w:bottom w:val="nil"/>
              <w:right w:val="nil"/>
            </w:tcBorders>
            <w:shd w:val="clear" w:color="auto" w:fill="D9E1F2"/>
            <w:noWrap/>
            <w:vAlign w:val="center"/>
            <w:hideMark/>
          </w:tcPr>
          <w:p w14:paraId="2FFACD6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Motor Private</w:t>
            </w:r>
          </w:p>
        </w:tc>
        <w:tc>
          <w:tcPr>
            <w:tcW w:w="1485" w:type="dxa"/>
            <w:tcBorders>
              <w:top w:val="nil"/>
              <w:left w:val="nil"/>
              <w:bottom w:val="nil"/>
              <w:right w:val="nil"/>
            </w:tcBorders>
            <w:shd w:val="clear" w:color="000000" w:fill="FFFFFF"/>
            <w:noWrap/>
            <w:vAlign w:val="center"/>
            <w:hideMark/>
          </w:tcPr>
          <w:p w14:paraId="43A7DBC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5%</w:t>
            </w:r>
          </w:p>
        </w:tc>
        <w:tc>
          <w:tcPr>
            <w:tcW w:w="1156" w:type="dxa"/>
            <w:tcBorders>
              <w:top w:val="nil"/>
              <w:left w:val="nil"/>
              <w:bottom w:val="nil"/>
              <w:right w:val="nil"/>
            </w:tcBorders>
            <w:shd w:val="clear" w:color="000000" w:fill="FFFFFF"/>
            <w:noWrap/>
            <w:vAlign w:val="center"/>
            <w:hideMark/>
          </w:tcPr>
          <w:p w14:paraId="19A6A9C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29CBD3E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7%</w:t>
            </w:r>
          </w:p>
        </w:tc>
        <w:tc>
          <w:tcPr>
            <w:tcW w:w="1156" w:type="dxa"/>
            <w:gridSpan w:val="2"/>
            <w:tcBorders>
              <w:top w:val="nil"/>
              <w:left w:val="nil"/>
              <w:bottom w:val="nil"/>
              <w:right w:val="nil"/>
            </w:tcBorders>
            <w:shd w:val="clear" w:color="000000" w:fill="FFFFFF"/>
            <w:noWrap/>
            <w:vAlign w:val="center"/>
            <w:hideMark/>
          </w:tcPr>
          <w:p w14:paraId="0B8DA0B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535A29E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7%</w:t>
            </w:r>
          </w:p>
        </w:tc>
        <w:tc>
          <w:tcPr>
            <w:tcW w:w="1189" w:type="dxa"/>
            <w:gridSpan w:val="2"/>
            <w:tcBorders>
              <w:top w:val="nil"/>
              <w:left w:val="nil"/>
              <w:bottom w:val="nil"/>
              <w:right w:val="nil"/>
            </w:tcBorders>
            <w:shd w:val="clear" w:color="000000" w:fill="FFFFFF"/>
            <w:noWrap/>
            <w:vAlign w:val="center"/>
            <w:hideMark/>
          </w:tcPr>
          <w:p w14:paraId="45062B9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18C3A4FD" w14:textId="77777777" w:rsidR="00A20228" w:rsidRPr="005956AF" w:rsidRDefault="00A20228" w:rsidP="0004678C">
            <w:pPr>
              <w:jc w:val="right"/>
              <w:rPr>
                <w:rFonts w:cs="Calibri"/>
                <w:color w:val="0137A6"/>
                <w:sz w:val="16"/>
                <w:szCs w:val="16"/>
              </w:rPr>
            </w:pPr>
            <w:r w:rsidRPr="005956AF">
              <w:rPr>
                <w:rFonts w:cs="Calibri"/>
                <w:color w:val="0137A6"/>
                <w:sz w:val="16"/>
                <w:szCs w:val="16"/>
              </w:rPr>
              <w:t>0.70%</w:t>
            </w:r>
          </w:p>
        </w:tc>
      </w:tr>
      <w:tr w:rsidR="00A20228" w:rsidRPr="005956AF" w14:paraId="5F9C2143" w14:textId="77777777" w:rsidTr="0004678C">
        <w:trPr>
          <w:gridAfter w:val="1"/>
          <w:wAfter w:w="12" w:type="dxa"/>
          <w:trHeight w:val="43"/>
        </w:trPr>
        <w:tc>
          <w:tcPr>
            <w:tcW w:w="2577" w:type="dxa"/>
            <w:tcBorders>
              <w:top w:val="nil"/>
              <w:left w:val="nil"/>
              <w:bottom w:val="nil"/>
              <w:right w:val="nil"/>
            </w:tcBorders>
            <w:shd w:val="clear" w:color="auto" w:fill="D9E1F2"/>
            <w:noWrap/>
            <w:vAlign w:val="center"/>
            <w:hideMark/>
          </w:tcPr>
          <w:p w14:paraId="401D166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Motor Commercial</w:t>
            </w:r>
          </w:p>
        </w:tc>
        <w:tc>
          <w:tcPr>
            <w:tcW w:w="1485" w:type="dxa"/>
            <w:tcBorders>
              <w:top w:val="nil"/>
              <w:left w:val="nil"/>
              <w:bottom w:val="nil"/>
              <w:right w:val="nil"/>
            </w:tcBorders>
            <w:shd w:val="clear" w:color="000000" w:fill="FFFFFF"/>
            <w:noWrap/>
            <w:vAlign w:val="center"/>
            <w:hideMark/>
          </w:tcPr>
          <w:p w14:paraId="36F03505"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3%</w:t>
            </w:r>
          </w:p>
        </w:tc>
        <w:tc>
          <w:tcPr>
            <w:tcW w:w="1156" w:type="dxa"/>
            <w:tcBorders>
              <w:top w:val="nil"/>
              <w:left w:val="nil"/>
              <w:bottom w:val="nil"/>
              <w:right w:val="nil"/>
            </w:tcBorders>
            <w:shd w:val="clear" w:color="000000" w:fill="FFFFFF"/>
            <w:noWrap/>
            <w:vAlign w:val="center"/>
            <w:hideMark/>
          </w:tcPr>
          <w:p w14:paraId="382ED9F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786D51DD"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5%</w:t>
            </w:r>
          </w:p>
        </w:tc>
        <w:tc>
          <w:tcPr>
            <w:tcW w:w="1156" w:type="dxa"/>
            <w:gridSpan w:val="2"/>
            <w:tcBorders>
              <w:top w:val="nil"/>
              <w:left w:val="nil"/>
              <w:bottom w:val="nil"/>
              <w:right w:val="nil"/>
            </w:tcBorders>
            <w:shd w:val="clear" w:color="000000" w:fill="FFFFFF"/>
            <w:noWrap/>
            <w:vAlign w:val="center"/>
            <w:hideMark/>
          </w:tcPr>
          <w:p w14:paraId="14EA89C4"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04B3EF0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5%</w:t>
            </w:r>
          </w:p>
        </w:tc>
        <w:tc>
          <w:tcPr>
            <w:tcW w:w="1189" w:type="dxa"/>
            <w:gridSpan w:val="2"/>
            <w:tcBorders>
              <w:top w:val="nil"/>
              <w:left w:val="nil"/>
              <w:bottom w:val="nil"/>
              <w:right w:val="nil"/>
            </w:tcBorders>
            <w:shd w:val="clear" w:color="000000" w:fill="FFFFFF"/>
            <w:noWrap/>
            <w:vAlign w:val="center"/>
            <w:hideMark/>
          </w:tcPr>
          <w:p w14:paraId="05E6D789"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03E76862" w14:textId="77777777" w:rsidR="00A20228" w:rsidRPr="005956AF" w:rsidRDefault="00A20228" w:rsidP="0004678C">
            <w:pPr>
              <w:jc w:val="right"/>
              <w:rPr>
                <w:rFonts w:cs="Calibri"/>
                <w:color w:val="0137A6"/>
                <w:sz w:val="16"/>
                <w:szCs w:val="16"/>
              </w:rPr>
            </w:pPr>
            <w:r w:rsidRPr="005956AF">
              <w:rPr>
                <w:rFonts w:cs="Calibri"/>
                <w:color w:val="0137A6"/>
                <w:sz w:val="16"/>
                <w:szCs w:val="16"/>
              </w:rPr>
              <w:t>0.50%</w:t>
            </w:r>
          </w:p>
        </w:tc>
      </w:tr>
      <w:tr w:rsidR="00A20228" w:rsidRPr="005956AF" w14:paraId="5DA1EB5D" w14:textId="77777777" w:rsidTr="0004678C">
        <w:trPr>
          <w:gridAfter w:val="1"/>
          <w:wAfter w:w="12" w:type="dxa"/>
          <w:trHeight w:val="43"/>
        </w:trPr>
        <w:tc>
          <w:tcPr>
            <w:tcW w:w="2577" w:type="dxa"/>
            <w:tcBorders>
              <w:top w:val="nil"/>
              <w:left w:val="nil"/>
              <w:bottom w:val="nil"/>
              <w:right w:val="nil"/>
            </w:tcBorders>
            <w:shd w:val="clear" w:color="auto" w:fill="D9E1F2"/>
            <w:noWrap/>
            <w:vAlign w:val="center"/>
            <w:hideMark/>
          </w:tcPr>
          <w:p w14:paraId="03B4E0E2"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Motor Commercial PSV</w:t>
            </w:r>
          </w:p>
        </w:tc>
        <w:tc>
          <w:tcPr>
            <w:tcW w:w="1485" w:type="dxa"/>
            <w:tcBorders>
              <w:top w:val="nil"/>
              <w:left w:val="nil"/>
              <w:bottom w:val="nil"/>
              <w:right w:val="nil"/>
            </w:tcBorders>
            <w:shd w:val="clear" w:color="000000" w:fill="FFFFFF"/>
            <w:noWrap/>
            <w:vAlign w:val="center"/>
            <w:hideMark/>
          </w:tcPr>
          <w:p w14:paraId="4D23F3E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3%</w:t>
            </w:r>
          </w:p>
        </w:tc>
        <w:tc>
          <w:tcPr>
            <w:tcW w:w="1156" w:type="dxa"/>
            <w:tcBorders>
              <w:top w:val="nil"/>
              <w:left w:val="nil"/>
              <w:bottom w:val="nil"/>
              <w:right w:val="nil"/>
            </w:tcBorders>
            <w:shd w:val="clear" w:color="000000" w:fill="FFFFFF"/>
            <w:noWrap/>
            <w:vAlign w:val="center"/>
            <w:hideMark/>
          </w:tcPr>
          <w:p w14:paraId="7750A86D"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6C5A50A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5%</w:t>
            </w:r>
          </w:p>
        </w:tc>
        <w:tc>
          <w:tcPr>
            <w:tcW w:w="1156" w:type="dxa"/>
            <w:gridSpan w:val="2"/>
            <w:tcBorders>
              <w:top w:val="nil"/>
              <w:left w:val="nil"/>
              <w:bottom w:val="nil"/>
              <w:right w:val="nil"/>
            </w:tcBorders>
            <w:shd w:val="clear" w:color="000000" w:fill="FFFFFF"/>
            <w:noWrap/>
            <w:vAlign w:val="center"/>
            <w:hideMark/>
          </w:tcPr>
          <w:p w14:paraId="5FD649C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3AD9290A"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5%</w:t>
            </w:r>
          </w:p>
        </w:tc>
        <w:tc>
          <w:tcPr>
            <w:tcW w:w="1189" w:type="dxa"/>
            <w:gridSpan w:val="2"/>
            <w:tcBorders>
              <w:top w:val="nil"/>
              <w:left w:val="nil"/>
              <w:bottom w:val="nil"/>
              <w:right w:val="nil"/>
            </w:tcBorders>
            <w:shd w:val="clear" w:color="000000" w:fill="FFFFFF"/>
            <w:noWrap/>
            <w:vAlign w:val="center"/>
            <w:hideMark/>
          </w:tcPr>
          <w:p w14:paraId="380844FE"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304B8E61" w14:textId="77777777" w:rsidR="00A20228" w:rsidRPr="005956AF" w:rsidRDefault="00A20228" w:rsidP="0004678C">
            <w:pPr>
              <w:jc w:val="right"/>
              <w:rPr>
                <w:rFonts w:cs="Calibri"/>
                <w:color w:val="0137A6"/>
                <w:sz w:val="16"/>
                <w:szCs w:val="16"/>
              </w:rPr>
            </w:pPr>
            <w:r w:rsidRPr="005956AF">
              <w:rPr>
                <w:rFonts w:cs="Calibri"/>
                <w:color w:val="0137A6"/>
                <w:sz w:val="16"/>
                <w:szCs w:val="16"/>
              </w:rPr>
              <w:t>0.50%</w:t>
            </w:r>
          </w:p>
        </w:tc>
      </w:tr>
      <w:tr w:rsidR="00A20228" w:rsidRPr="005956AF" w14:paraId="66D5A870" w14:textId="77777777" w:rsidTr="0004678C">
        <w:trPr>
          <w:gridAfter w:val="1"/>
          <w:wAfter w:w="12" w:type="dxa"/>
          <w:trHeight w:val="35"/>
        </w:trPr>
        <w:tc>
          <w:tcPr>
            <w:tcW w:w="2577" w:type="dxa"/>
            <w:tcBorders>
              <w:top w:val="nil"/>
              <w:left w:val="nil"/>
              <w:bottom w:val="nil"/>
              <w:right w:val="nil"/>
            </w:tcBorders>
            <w:shd w:val="clear" w:color="auto" w:fill="D9E1F2"/>
            <w:noWrap/>
            <w:vAlign w:val="center"/>
            <w:hideMark/>
          </w:tcPr>
          <w:p w14:paraId="27CF3D9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Personal Accident</w:t>
            </w:r>
          </w:p>
        </w:tc>
        <w:tc>
          <w:tcPr>
            <w:tcW w:w="1485" w:type="dxa"/>
            <w:tcBorders>
              <w:top w:val="nil"/>
              <w:left w:val="nil"/>
              <w:bottom w:val="nil"/>
              <w:right w:val="nil"/>
            </w:tcBorders>
            <w:shd w:val="clear" w:color="000000" w:fill="FFFFFF"/>
            <w:noWrap/>
            <w:vAlign w:val="center"/>
            <w:hideMark/>
          </w:tcPr>
          <w:p w14:paraId="547B2F9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9%</w:t>
            </w:r>
          </w:p>
        </w:tc>
        <w:tc>
          <w:tcPr>
            <w:tcW w:w="1156" w:type="dxa"/>
            <w:tcBorders>
              <w:top w:val="nil"/>
              <w:left w:val="nil"/>
              <w:bottom w:val="nil"/>
              <w:right w:val="nil"/>
            </w:tcBorders>
            <w:shd w:val="clear" w:color="000000" w:fill="FFFFFF"/>
            <w:noWrap/>
            <w:vAlign w:val="center"/>
            <w:hideMark/>
          </w:tcPr>
          <w:p w14:paraId="14DD63E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0C4DBF8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11%</w:t>
            </w:r>
          </w:p>
        </w:tc>
        <w:tc>
          <w:tcPr>
            <w:tcW w:w="1156" w:type="dxa"/>
            <w:gridSpan w:val="2"/>
            <w:tcBorders>
              <w:top w:val="nil"/>
              <w:left w:val="nil"/>
              <w:bottom w:val="nil"/>
              <w:right w:val="nil"/>
            </w:tcBorders>
            <w:shd w:val="clear" w:color="000000" w:fill="FFFFFF"/>
            <w:noWrap/>
            <w:vAlign w:val="center"/>
            <w:hideMark/>
          </w:tcPr>
          <w:p w14:paraId="1DB868A5"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46933EE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11%</w:t>
            </w:r>
          </w:p>
        </w:tc>
        <w:tc>
          <w:tcPr>
            <w:tcW w:w="1189" w:type="dxa"/>
            <w:gridSpan w:val="2"/>
            <w:tcBorders>
              <w:top w:val="nil"/>
              <w:left w:val="nil"/>
              <w:bottom w:val="nil"/>
              <w:right w:val="nil"/>
            </w:tcBorders>
            <w:shd w:val="clear" w:color="000000" w:fill="FFFFFF"/>
            <w:noWrap/>
            <w:vAlign w:val="center"/>
            <w:hideMark/>
          </w:tcPr>
          <w:p w14:paraId="19E22B1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149D0501" w14:textId="77777777" w:rsidR="00A20228" w:rsidRPr="005956AF" w:rsidRDefault="00A20228" w:rsidP="0004678C">
            <w:pPr>
              <w:jc w:val="right"/>
              <w:rPr>
                <w:rFonts w:cs="Calibri"/>
                <w:color w:val="0137A6"/>
                <w:sz w:val="16"/>
                <w:szCs w:val="16"/>
              </w:rPr>
            </w:pPr>
            <w:r w:rsidRPr="005956AF">
              <w:rPr>
                <w:rFonts w:cs="Calibri"/>
                <w:color w:val="0137A6"/>
                <w:sz w:val="16"/>
                <w:szCs w:val="16"/>
              </w:rPr>
              <w:t>1.10%</w:t>
            </w:r>
          </w:p>
        </w:tc>
      </w:tr>
      <w:tr w:rsidR="00A20228" w:rsidRPr="005956AF" w14:paraId="1DE5D872" w14:textId="77777777" w:rsidTr="0004678C">
        <w:trPr>
          <w:gridAfter w:val="1"/>
          <w:wAfter w:w="12" w:type="dxa"/>
          <w:trHeight w:val="35"/>
        </w:trPr>
        <w:tc>
          <w:tcPr>
            <w:tcW w:w="2577" w:type="dxa"/>
            <w:tcBorders>
              <w:top w:val="nil"/>
              <w:left w:val="nil"/>
              <w:bottom w:val="nil"/>
              <w:right w:val="nil"/>
            </w:tcBorders>
            <w:shd w:val="clear" w:color="auto" w:fill="D9E1F2"/>
            <w:noWrap/>
            <w:vAlign w:val="center"/>
            <w:hideMark/>
          </w:tcPr>
          <w:p w14:paraId="2DABCFE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Theft</w:t>
            </w:r>
          </w:p>
        </w:tc>
        <w:tc>
          <w:tcPr>
            <w:tcW w:w="1485" w:type="dxa"/>
            <w:tcBorders>
              <w:top w:val="nil"/>
              <w:left w:val="nil"/>
              <w:bottom w:val="nil"/>
              <w:right w:val="nil"/>
            </w:tcBorders>
            <w:shd w:val="clear" w:color="000000" w:fill="FFFFFF"/>
            <w:noWrap/>
            <w:vAlign w:val="center"/>
            <w:hideMark/>
          </w:tcPr>
          <w:p w14:paraId="33542E2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4%</w:t>
            </w:r>
          </w:p>
        </w:tc>
        <w:tc>
          <w:tcPr>
            <w:tcW w:w="1156" w:type="dxa"/>
            <w:tcBorders>
              <w:top w:val="nil"/>
              <w:left w:val="nil"/>
              <w:bottom w:val="nil"/>
              <w:right w:val="nil"/>
            </w:tcBorders>
            <w:shd w:val="clear" w:color="000000" w:fill="FFFFFF"/>
            <w:noWrap/>
            <w:vAlign w:val="center"/>
            <w:hideMark/>
          </w:tcPr>
          <w:p w14:paraId="3F7C835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26C65D6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6%</w:t>
            </w:r>
          </w:p>
        </w:tc>
        <w:tc>
          <w:tcPr>
            <w:tcW w:w="1156" w:type="dxa"/>
            <w:gridSpan w:val="2"/>
            <w:tcBorders>
              <w:top w:val="nil"/>
              <w:left w:val="nil"/>
              <w:bottom w:val="nil"/>
              <w:right w:val="nil"/>
            </w:tcBorders>
            <w:shd w:val="clear" w:color="000000" w:fill="FFFFFF"/>
            <w:noWrap/>
            <w:vAlign w:val="center"/>
            <w:hideMark/>
          </w:tcPr>
          <w:p w14:paraId="22FAA50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049A624E"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6%</w:t>
            </w:r>
          </w:p>
        </w:tc>
        <w:tc>
          <w:tcPr>
            <w:tcW w:w="1189" w:type="dxa"/>
            <w:gridSpan w:val="2"/>
            <w:tcBorders>
              <w:top w:val="nil"/>
              <w:left w:val="nil"/>
              <w:bottom w:val="nil"/>
              <w:right w:val="nil"/>
            </w:tcBorders>
            <w:shd w:val="clear" w:color="000000" w:fill="FFFFFF"/>
            <w:noWrap/>
            <w:vAlign w:val="center"/>
            <w:hideMark/>
          </w:tcPr>
          <w:p w14:paraId="31B9EC8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44B2E41C" w14:textId="77777777" w:rsidR="00A20228" w:rsidRPr="005956AF" w:rsidRDefault="00A20228" w:rsidP="0004678C">
            <w:pPr>
              <w:jc w:val="right"/>
              <w:rPr>
                <w:rFonts w:cs="Calibri"/>
                <w:color w:val="0137A6"/>
                <w:sz w:val="16"/>
                <w:szCs w:val="16"/>
              </w:rPr>
            </w:pPr>
            <w:r w:rsidRPr="005956AF">
              <w:rPr>
                <w:rFonts w:cs="Calibri"/>
                <w:color w:val="0137A6"/>
                <w:sz w:val="16"/>
                <w:szCs w:val="16"/>
              </w:rPr>
              <w:t>0.60%</w:t>
            </w:r>
          </w:p>
        </w:tc>
      </w:tr>
      <w:tr w:rsidR="00A20228" w:rsidRPr="005956AF" w14:paraId="794980DC" w14:textId="77777777" w:rsidTr="0004678C">
        <w:trPr>
          <w:gridAfter w:val="1"/>
          <w:wAfter w:w="12" w:type="dxa"/>
          <w:trHeight w:val="43"/>
        </w:trPr>
        <w:tc>
          <w:tcPr>
            <w:tcW w:w="2577" w:type="dxa"/>
            <w:tcBorders>
              <w:top w:val="nil"/>
              <w:left w:val="nil"/>
              <w:bottom w:val="nil"/>
              <w:right w:val="nil"/>
            </w:tcBorders>
            <w:shd w:val="clear" w:color="auto" w:fill="D9E1F2"/>
            <w:noWrap/>
            <w:vAlign w:val="center"/>
            <w:hideMark/>
          </w:tcPr>
          <w:p w14:paraId="15AD51D4"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Workmen’s' Compensation</w:t>
            </w:r>
          </w:p>
        </w:tc>
        <w:tc>
          <w:tcPr>
            <w:tcW w:w="1485" w:type="dxa"/>
            <w:tcBorders>
              <w:top w:val="nil"/>
              <w:left w:val="nil"/>
              <w:bottom w:val="nil"/>
              <w:right w:val="nil"/>
            </w:tcBorders>
            <w:shd w:val="clear" w:color="000000" w:fill="FFFFFF"/>
            <w:noWrap/>
            <w:vAlign w:val="center"/>
            <w:hideMark/>
          </w:tcPr>
          <w:p w14:paraId="3528DF46"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19%</w:t>
            </w:r>
          </w:p>
        </w:tc>
        <w:tc>
          <w:tcPr>
            <w:tcW w:w="1156" w:type="dxa"/>
            <w:tcBorders>
              <w:top w:val="nil"/>
              <w:left w:val="nil"/>
              <w:bottom w:val="nil"/>
              <w:right w:val="nil"/>
            </w:tcBorders>
            <w:shd w:val="clear" w:color="000000" w:fill="FFFFFF"/>
            <w:noWrap/>
            <w:vAlign w:val="center"/>
            <w:hideMark/>
          </w:tcPr>
          <w:p w14:paraId="7C0A4F2D"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328C6DE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21%</w:t>
            </w:r>
          </w:p>
        </w:tc>
        <w:tc>
          <w:tcPr>
            <w:tcW w:w="1156" w:type="dxa"/>
            <w:gridSpan w:val="2"/>
            <w:tcBorders>
              <w:top w:val="nil"/>
              <w:left w:val="nil"/>
              <w:bottom w:val="nil"/>
              <w:right w:val="nil"/>
            </w:tcBorders>
            <w:shd w:val="clear" w:color="000000" w:fill="FFFFFF"/>
            <w:noWrap/>
            <w:vAlign w:val="center"/>
            <w:hideMark/>
          </w:tcPr>
          <w:p w14:paraId="5060266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13AD48A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21%</w:t>
            </w:r>
          </w:p>
        </w:tc>
        <w:tc>
          <w:tcPr>
            <w:tcW w:w="1189" w:type="dxa"/>
            <w:gridSpan w:val="2"/>
            <w:tcBorders>
              <w:top w:val="nil"/>
              <w:left w:val="nil"/>
              <w:bottom w:val="nil"/>
              <w:right w:val="nil"/>
            </w:tcBorders>
            <w:shd w:val="clear" w:color="000000" w:fill="FFFFFF"/>
            <w:noWrap/>
            <w:vAlign w:val="center"/>
            <w:hideMark/>
          </w:tcPr>
          <w:p w14:paraId="79CA1532"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589C2522" w14:textId="77777777" w:rsidR="00A20228" w:rsidRPr="005956AF" w:rsidRDefault="00A20228" w:rsidP="0004678C">
            <w:pPr>
              <w:jc w:val="right"/>
              <w:rPr>
                <w:rFonts w:cs="Calibri"/>
                <w:color w:val="0137A6"/>
                <w:sz w:val="16"/>
                <w:szCs w:val="16"/>
              </w:rPr>
            </w:pPr>
            <w:r w:rsidRPr="005956AF">
              <w:rPr>
                <w:rFonts w:cs="Calibri"/>
                <w:color w:val="0137A6"/>
                <w:sz w:val="16"/>
                <w:szCs w:val="16"/>
              </w:rPr>
              <w:t>2.10%</w:t>
            </w:r>
          </w:p>
        </w:tc>
      </w:tr>
      <w:tr w:rsidR="00A20228" w:rsidRPr="005956AF" w14:paraId="0719EB9B" w14:textId="77777777" w:rsidTr="0004678C">
        <w:trPr>
          <w:gridAfter w:val="1"/>
          <w:wAfter w:w="12" w:type="dxa"/>
          <w:trHeight w:val="35"/>
        </w:trPr>
        <w:tc>
          <w:tcPr>
            <w:tcW w:w="2577" w:type="dxa"/>
            <w:tcBorders>
              <w:top w:val="nil"/>
              <w:left w:val="nil"/>
              <w:bottom w:val="nil"/>
              <w:right w:val="nil"/>
            </w:tcBorders>
            <w:shd w:val="clear" w:color="auto" w:fill="D9E1F2"/>
            <w:noWrap/>
            <w:vAlign w:val="center"/>
            <w:hideMark/>
          </w:tcPr>
          <w:p w14:paraId="13E16D4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Medical</w:t>
            </w:r>
          </w:p>
        </w:tc>
        <w:tc>
          <w:tcPr>
            <w:tcW w:w="1485" w:type="dxa"/>
            <w:tcBorders>
              <w:top w:val="nil"/>
              <w:left w:val="nil"/>
              <w:bottom w:val="nil"/>
              <w:right w:val="nil"/>
            </w:tcBorders>
            <w:shd w:val="clear" w:color="000000" w:fill="FFFFFF"/>
            <w:noWrap/>
            <w:vAlign w:val="center"/>
            <w:hideMark/>
          </w:tcPr>
          <w:p w14:paraId="4A296833"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13%</w:t>
            </w:r>
          </w:p>
        </w:tc>
        <w:tc>
          <w:tcPr>
            <w:tcW w:w="1156" w:type="dxa"/>
            <w:tcBorders>
              <w:top w:val="nil"/>
              <w:left w:val="nil"/>
              <w:bottom w:val="nil"/>
              <w:right w:val="nil"/>
            </w:tcBorders>
            <w:shd w:val="clear" w:color="000000" w:fill="FFFFFF"/>
            <w:noWrap/>
            <w:vAlign w:val="center"/>
            <w:hideMark/>
          </w:tcPr>
          <w:p w14:paraId="318F4398"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nil"/>
              <w:right w:val="nil"/>
            </w:tcBorders>
            <w:shd w:val="clear" w:color="000000" w:fill="FFFFFF"/>
            <w:noWrap/>
            <w:vAlign w:val="center"/>
            <w:hideMark/>
          </w:tcPr>
          <w:p w14:paraId="6020FA9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15%</w:t>
            </w:r>
          </w:p>
        </w:tc>
        <w:tc>
          <w:tcPr>
            <w:tcW w:w="1156" w:type="dxa"/>
            <w:gridSpan w:val="2"/>
            <w:tcBorders>
              <w:top w:val="nil"/>
              <w:left w:val="nil"/>
              <w:bottom w:val="nil"/>
              <w:right w:val="nil"/>
            </w:tcBorders>
            <w:shd w:val="clear" w:color="000000" w:fill="FFFFFF"/>
            <w:noWrap/>
            <w:vAlign w:val="center"/>
            <w:hideMark/>
          </w:tcPr>
          <w:p w14:paraId="6C3AE4B9"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nil"/>
              <w:right w:val="nil"/>
            </w:tcBorders>
            <w:shd w:val="clear" w:color="000000" w:fill="FFFFFF"/>
            <w:noWrap/>
            <w:vAlign w:val="center"/>
            <w:hideMark/>
          </w:tcPr>
          <w:p w14:paraId="2A6573EF"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15%</w:t>
            </w:r>
          </w:p>
        </w:tc>
        <w:tc>
          <w:tcPr>
            <w:tcW w:w="1189" w:type="dxa"/>
            <w:gridSpan w:val="2"/>
            <w:tcBorders>
              <w:top w:val="nil"/>
              <w:left w:val="nil"/>
              <w:bottom w:val="nil"/>
              <w:right w:val="nil"/>
            </w:tcBorders>
            <w:shd w:val="clear" w:color="000000" w:fill="FFFFFF"/>
            <w:noWrap/>
            <w:vAlign w:val="center"/>
            <w:hideMark/>
          </w:tcPr>
          <w:p w14:paraId="111D72DE"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nil"/>
              <w:right w:val="nil"/>
            </w:tcBorders>
            <w:shd w:val="clear" w:color="000000" w:fill="D9E1F2"/>
            <w:noWrap/>
            <w:vAlign w:val="center"/>
            <w:hideMark/>
          </w:tcPr>
          <w:p w14:paraId="31CC565D" w14:textId="77777777" w:rsidR="00A20228" w:rsidRPr="005956AF" w:rsidRDefault="00A20228" w:rsidP="0004678C">
            <w:pPr>
              <w:jc w:val="right"/>
              <w:rPr>
                <w:rFonts w:cs="Calibri"/>
                <w:color w:val="0137A6"/>
                <w:sz w:val="16"/>
                <w:szCs w:val="16"/>
              </w:rPr>
            </w:pPr>
            <w:r w:rsidRPr="005956AF">
              <w:rPr>
                <w:rFonts w:cs="Calibri"/>
                <w:color w:val="0137A6"/>
                <w:sz w:val="16"/>
                <w:szCs w:val="16"/>
              </w:rPr>
              <w:t>1.50%</w:t>
            </w:r>
          </w:p>
        </w:tc>
      </w:tr>
      <w:tr w:rsidR="00A20228" w:rsidRPr="005956AF" w14:paraId="631E53FF" w14:textId="77777777" w:rsidTr="0004678C">
        <w:trPr>
          <w:gridAfter w:val="1"/>
          <w:wAfter w:w="12" w:type="dxa"/>
          <w:trHeight w:val="35"/>
        </w:trPr>
        <w:tc>
          <w:tcPr>
            <w:tcW w:w="2577" w:type="dxa"/>
            <w:tcBorders>
              <w:top w:val="nil"/>
              <w:left w:val="nil"/>
              <w:bottom w:val="dashed" w:sz="4" w:space="0" w:color="0137A6"/>
              <w:right w:val="nil"/>
            </w:tcBorders>
            <w:shd w:val="clear" w:color="auto" w:fill="D9E1F2"/>
            <w:noWrap/>
            <w:vAlign w:val="center"/>
            <w:hideMark/>
          </w:tcPr>
          <w:p w14:paraId="0870472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Miscellaneous</w:t>
            </w:r>
          </w:p>
        </w:tc>
        <w:tc>
          <w:tcPr>
            <w:tcW w:w="1485" w:type="dxa"/>
            <w:tcBorders>
              <w:top w:val="nil"/>
              <w:left w:val="nil"/>
              <w:bottom w:val="dashed" w:sz="4" w:space="0" w:color="0137A6"/>
              <w:right w:val="nil"/>
            </w:tcBorders>
            <w:shd w:val="clear" w:color="000000" w:fill="FFFFFF"/>
            <w:noWrap/>
            <w:vAlign w:val="center"/>
            <w:hideMark/>
          </w:tcPr>
          <w:p w14:paraId="5666F664"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6%</w:t>
            </w:r>
          </w:p>
        </w:tc>
        <w:tc>
          <w:tcPr>
            <w:tcW w:w="1156" w:type="dxa"/>
            <w:tcBorders>
              <w:top w:val="nil"/>
              <w:left w:val="nil"/>
              <w:bottom w:val="dashed" w:sz="4" w:space="0" w:color="0137A6"/>
              <w:right w:val="nil"/>
            </w:tcBorders>
            <w:shd w:val="clear" w:color="000000" w:fill="FFFFFF"/>
            <w:noWrap/>
            <w:vAlign w:val="center"/>
            <w:hideMark/>
          </w:tcPr>
          <w:p w14:paraId="470735E4"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2%</w:t>
            </w:r>
          </w:p>
        </w:tc>
        <w:tc>
          <w:tcPr>
            <w:tcW w:w="1156" w:type="dxa"/>
            <w:gridSpan w:val="2"/>
            <w:tcBorders>
              <w:top w:val="nil"/>
              <w:left w:val="nil"/>
              <w:bottom w:val="dashed" w:sz="4" w:space="0" w:color="0137A6"/>
              <w:right w:val="nil"/>
            </w:tcBorders>
            <w:shd w:val="clear" w:color="000000" w:fill="FFFFFF"/>
            <w:noWrap/>
            <w:vAlign w:val="center"/>
            <w:hideMark/>
          </w:tcPr>
          <w:p w14:paraId="7AAB4451"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8%</w:t>
            </w:r>
          </w:p>
        </w:tc>
        <w:tc>
          <w:tcPr>
            <w:tcW w:w="1156" w:type="dxa"/>
            <w:gridSpan w:val="2"/>
            <w:tcBorders>
              <w:top w:val="nil"/>
              <w:left w:val="nil"/>
              <w:bottom w:val="dashed" w:sz="4" w:space="0" w:color="0137A6"/>
              <w:right w:val="nil"/>
            </w:tcBorders>
            <w:shd w:val="clear" w:color="000000" w:fill="FFFFFF"/>
            <w:noWrap/>
            <w:vAlign w:val="center"/>
            <w:hideMark/>
          </w:tcPr>
          <w:p w14:paraId="1768C520"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w:t>
            </w:r>
          </w:p>
        </w:tc>
        <w:tc>
          <w:tcPr>
            <w:tcW w:w="1156" w:type="dxa"/>
            <w:tcBorders>
              <w:top w:val="nil"/>
              <w:left w:val="nil"/>
              <w:bottom w:val="dashed" w:sz="4" w:space="0" w:color="0137A6"/>
              <w:right w:val="nil"/>
            </w:tcBorders>
            <w:shd w:val="clear" w:color="000000" w:fill="FFFFFF"/>
            <w:noWrap/>
            <w:vAlign w:val="center"/>
            <w:hideMark/>
          </w:tcPr>
          <w:p w14:paraId="295F0D1B"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8%</w:t>
            </w:r>
          </w:p>
        </w:tc>
        <w:tc>
          <w:tcPr>
            <w:tcW w:w="1189" w:type="dxa"/>
            <w:gridSpan w:val="2"/>
            <w:tcBorders>
              <w:top w:val="nil"/>
              <w:left w:val="nil"/>
              <w:bottom w:val="dashed" w:sz="4" w:space="0" w:color="0137A6"/>
              <w:right w:val="nil"/>
            </w:tcBorders>
            <w:shd w:val="clear" w:color="000000" w:fill="FFFFFF"/>
            <w:noWrap/>
            <w:vAlign w:val="center"/>
            <w:hideMark/>
          </w:tcPr>
          <w:p w14:paraId="3E868C4A" w14:textId="77777777" w:rsidR="00A20228" w:rsidRPr="00666649" w:rsidRDefault="00A20228" w:rsidP="0004678C">
            <w:pPr>
              <w:jc w:val="right"/>
              <w:rPr>
                <w:rFonts w:ascii="Nunito" w:hAnsi="Nunito" w:cs="Calibri"/>
                <w:color w:val="0137A6"/>
                <w:sz w:val="16"/>
                <w:szCs w:val="16"/>
              </w:rPr>
            </w:pPr>
            <w:r w:rsidRPr="005956AF">
              <w:rPr>
                <w:rFonts w:cs="Calibri"/>
                <w:color w:val="0137A6"/>
                <w:sz w:val="16"/>
                <w:szCs w:val="16"/>
              </w:rPr>
              <w:t>10%</w:t>
            </w:r>
          </w:p>
        </w:tc>
        <w:tc>
          <w:tcPr>
            <w:tcW w:w="1126" w:type="dxa"/>
            <w:tcBorders>
              <w:top w:val="nil"/>
              <w:left w:val="nil"/>
              <w:bottom w:val="dashed" w:sz="4" w:space="0" w:color="0137A6"/>
              <w:right w:val="nil"/>
            </w:tcBorders>
            <w:shd w:val="clear" w:color="000000" w:fill="D9E1F2"/>
            <w:noWrap/>
            <w:vAlign w:val="center"/>
            <w:hideMark/>
          </w:tcPr>
          <w:p w14:paraId="4AC0D7A9" w14:textId="77777777" w:rsidR="00A20228" w:rsidRPr="005956AF" w:rsidRDefault="00A20228" w:rsidP="0004678C">
            <w:pPr>
              <w:jc w:val="right"/>
              <w:rPr>
                <w:rFonts w:cs="Calibri"/>
                <w:color w:val="0137A6"/>
                <w:sz w:val="16"/>
                <w:szCs w:val="16"/>
              </w:rPr>
            </w:pPr>
            <w:r w:rsidRPr="005956AF">
              <w:rPr>
                <w:rFonts w:cs="Calibri"/>
                <w:color w:val="0137A6"/>
                <w:sz w:val="16"/>
                <w:szCs w:val="16"/>
              </w:rPr>
              <w:t>0.80%</w:t>
            </w:r>
          </w:p>
        </w:tc>
      </w:tr>
      <w:tr w:rsidR="00A20228" w:rsidRPr="005956AF" w14:paraId="35E280D1" w14:textId="77777777" w:rsidTr="0004678C">
        <w:trPr>
          <w:trHeight w:val="146"/>
        </w:trPr>
        <w:tc>
          <w:tcPr>
            <w:tcW w:w="11013" w:type="dxa"/>
            <w:gridSpan w:val="12"/>
            <w:tcBorders>
              <w:top w:val="nil"/>
              <w:left w:val="nil"/>
              <w:bottom w:val="nil"/>
              <w:right w:val="nil"/>
            </w:tcBorders>
            <w:shd w:val="clear" w:color="000000" w:fill="FFFFFF"/>
            <w:noWrap/>
            <w:vAlign w:val="bottom"/>
            <w:hideMark/>
          </w:tcPr>
          <w:p w14:paraId="1D89432B" w14:textId="77777777" w:rsidR="00A20228" w:rsidRPr="005956AF" w:rsidRDefault="00A20228" w:rsidP="0004678C">
            <w:pPr>
              <w:rPr>
                <w:rFonts w:cs="Calibri"/>
                <w:i/>
                <w:color w:val="0137A6"/>
                <w:sz w:val="16"/>
                <w:szCs w:val="16"/>
              </w:rPr>
            </w:pPr>
            <w:r w:rsidRPr="005956AF">
              <w:rPr>
                <w:rFonts w:cs="Calibri"/>
                <w:i/>
                <w:color w:val="0137A6"/>
                <w:sz w:val="16"/>
                <w:szCs w:val="16"/>
              </w:rPr>
              <w:t xml:space="preserve">    Source: TASK IFRS 17 Risk Adjustment Guidance</w:t>
            </w:r>
          </w:p>
        </w:tc>
      </w:tr>
    </w:tbl>
    <w:p w14:paraId="7E332833" w14:textId="77777777" w:rsidR="00A20228" w:rsidRPr="00F623BC" w:rsidRDefault="00A20228" w:rsidP="00A20228">
      <w:pPr>
        <w:pStyle w:val="ListParagraph"/>
        <w:autoSpaceDE w:val="0"/>
        <w:autoSpaceDN w:val="0"/>
        <w:adjustRightInd w:val="0"/>
        <w:spacing w:before="0" w:line="240" w:lineRule="auto"/>
        <w:ind w:left="709" w:firstLine="0"/>
        <w:rPr>
          <w:highlight w:val="yellow"/>
        </w:rPr>
      </w:pPr>
    </w:p>
    <w:p w14:paraId="38F03B4E" w14:textId="77777777" w:rsidR="00F623BC" w:rsidRDefault="00F623BC">
      <w:pPr>
        <w:spacing w:after="160" w:line="259" w:lineRule="auto"/>
        <w:ind w:right="0"/>
        <w:rPr>
          <w:rFonts w:cs="Times New Roman"/>
          <w:b/>
          <w:bCs/>
          <w:color w:val="0137A6"/>
          <w:szCs w:val="18"/>
        </w:rPr>
      </w:pPr>
      <w:bookmarkStart w:id="26" w:name="_Toc189497740"/>
      <w:r>
        <w:rPr>
          <w:b/>
          <w:bCs/>
        </w:rPr>
        <w:br w:type="page"/>
      </w:r>
    </w:p>
    <w:p w14:paraId="6D2171AF" w14:textId="698700FC" w:rsidR="00355D3C" w:rsidRPr="00F623BC" w:rsidRDefault="00355D3C" w:rsidP="00F623BC">
      <w:pPr>
        <w:pStyle w:val="Heading1"/>
        <w:numPr>
          <w:ilvl w:val="0"/>
          <w:numId w:val="6"/>
        </w:numPr>
        <w:tabs>
          <w:tab w:val="num" w:pos="360"/>
        </w:tabs>
        <w:ind w:left="720" w:hanging="540"/>
        <w:rPr>
          <w:rFonts w:ascii="Nunito Sans Black" w:hAnsi="Nunito Sans Black"/>
        </w:rPr>
      </w:pPr>
      <w:bookmarkStart w:id="27" w:name="_Toc210138990"/>
      <w:r w:rsidRPr="00F623BC">
        <w:rPr>
          <w:rFonts w:ascii="Nunito Sans Black" w:hAnsi="Nunito Sans Black"/>
        </w:rPr>
        <w:lastRenderedPageBreak/>
        <w:t>D</w:t>
      </w:r>
      <w:bookmarkEnd w:id="26"/>
      <w:r w:rsidR="00F623BC">
        <w:rPr>
          <w:rFonts w:ascii="Nunito Sans Black" w:hAnsi="Nunito Sans Black"/>
        </w:rPr>
        <w:t>ISCOUNTING</w:t>
      </w:r>
      <w:bookmarkEnd w:id="27"/>
    </w:p>
    <w:p w14:paraId="2C356081" w14:textId="77777777" w:rsidR="00F623BC" w:rsidRPr="00F623BC" w:rsidRDefault="00F623BC" w:rsidP="00F623BC">
      <w:pPr>
        <w:pStyle w:val="ListParagraph"/>
        <w:numPr>
          <w:ilvl w:val="0"/>
          <w:numId w:val="2"/>
        </w:numPr>
        <w:autoSpaceDE w:val="0"/>
        <w:autoSpaceDN w:val="0"/>
        <w:adjustRightInd w:val="0"/>
        <w:spacing w:line="240" w:lineRule="auto"/>
        <w:rPr>
          <w:vanish/>
        </w:rPr>
      </w:pPr>
    </w:p>
    <w:p w14:paraId="3713401C" w14:textId="0319B5A7" w:rsidR="00355D3C" w:rsidRPr="005956AF" w:rsidRDefault="00355D3C" w:rsidP="00F623BC">
      <w:pPr>
        <w:pStyle w:val="ListParagraph"/>
        <w:numPr>
          <w:ilvl w:val="1"/>
          <w:numId w:val="2"/>
        </w:numPr>
        <w:tabs>
          <w:tab w:val="num" w:pos="1593"/>
        </w:tabs>
        <w:autoSpaceDE w:val="0"/>
        <w:autoSpaceDN w:val="0"/>
        <w:adjustRightInd w:val="0"/>
        <w:spacing w:line="240" w:lineRule="auto"/>
        <w:ind w:left="709" w:hanging="709"/>
      </w:pPr>
      <w:r w:rsidRPr="005956AF">
        <w:t>IFRS 17 Standard has provided two discounting approaches for insurance liabilities. These include:</w:t>
      </w:r>
    </w:p>
    <w:p w14:paraId="788F3D9F" w14:textId="77777777" w:rsidR="00355D3C" w:rsidRPr="005956AF" w:rsidRDefault="00355D3C" w:rsidP="005F243A">
      <w:pPr>
        <w:numPr>
          <w:ilvl w:val="0"/>
          <w:numId w:val="11"/>
        </w:numPr>
        <w:spacing w:before="120" w:after="120" w:line="259" w:lineRule="auto"/>
        <w:rPr>
          <w:szCs w:val="18"/>
        </w:rPr>
      </w:pPr>
      <w:r w:rsidRPr="005956AF">
        <w:rPr>
          <w:b/>
          <w:bCs/>
          <w:szCs w:val="18"/>
        </w:rPr>
        <w:t>Bottom-up approach</w:t>
      </w:r>
      <w:r w:rsidRPr="005956AF">
        <w:rPr>
          <w:szCs w:val="18"/>
        </w:rPr>
        <w:t>- Includes risk-free rates (e.g., government bond yield curve) and adds an illiquidity premium to account for the lower liquidity of insurance contracts.</w:t>
      </w:r>
    </w:p>
    <w:p w14:paraId="2A3BF998" w14:textId="77777777" w:rsidR="00355D3C" w:rsidRPr="005956AF" w:rsidRDefault="00355D3C" w:rsidP="005F243A">
      <w:pPr>
        <w:numPr>
          <w:ilvl w:val="0"/>
          <w:numId w:val="11"/>
        </w:numPr>
        <w:spacing w:before="120" w:after="120" w:line="259" w:lineRule="auto"/>
        <w:ind w:left="1077" w:hanging="357"/>
        <w:rPr>
          <w:szCs w:val="18"/>
        </w:rPr>
      </w:pPr>
      <w:r w:rsidRPr="005956AF">
        <w:rPr>
          <w:b/>
          <w:bCs/>
          <w:szCs w:val="18"/>
        </w:rPr>
        <w:t>Top-down approach</w:t>
      </w:r>
      <w:r w:rsidRPr="005956AF">
        <w:rPr>
          <w:szCs w:val="18"/>
        </w:rPr>
        <w:t>- Considers the overall risk profile of the entire insurance portfolio to derive discount rates.</w:t>
      </w:r>
    </w:p>
    <w:p w14:paraId="59E3075F"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bCs/>
        </w:rPr>
        <w:t xml:space="preserve">bottom-up approach </w:t>
      </w:r>
      <w:r>
        <w:t>is</w:t>
      </w:r>
      <w:r w:rsidRPr="005956AF">
        <w:t xml:space="preserve"> used to discount claim liabilities as at the Valuation Date. </w:t>
      </w:r>
      <w:r w:rsidRPr="005956AF">
        <w:rPr>
          <w:b/>
          <w:bCs/>
        </w:rPr>
        <w:t xml:space="preserve"> </w:t>
      </w:r>
    </w:p>
    <w:p w14:paraId="759EA877"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 xml:space="preserve">Using the bottom-up approach, discount rates </w:t>
      </w:r>
      <w:r>
        <w:t>are</w:t>
      </w:r>
      <w:r w:rsidRPr="005956AF">
        <w:t xml:space="preserve"> determined by adjusting a liquid risk-free yield curve to </w:t>
      </w:r>
      <w:r w:rsidRPr="005A5FC6">
        <w:t xml:space="preserve">account for </w:t>
      </w:r>
      <w:r w:rsidRPr="005956AF">
        <w:t xml:space="preserve">differences </w:t>
      </w:r>
      <w:r w:rsidRPr="005A5FC6">
        <w:t>in</w:t>
      </w:r>
      <w:r w:rsidRPr="005956AF">
        <w:t xml:space="preserve"> the liquidity characteristics </w:t>
      </w:r>
      <w:r w:rsidRPr="005A5FC6">
        <w:t>between</w:t>
      </w:r>
      <w:r w:rsidRPr="005956AF">
        <w:t xml:space="preserve"> the financial instruments </w:t>
      </w:r>
      <w:r w:rsidRPr="005A5FC6">
        <w:t>underlying market-</w:t>
      </w:r>
      <w:r w:rsidRPr="005956AF">
        <w:t xml:space="preserve">observed </w:t>
      </w:r>
      <w:r w:rsidRPr="005A5FC6">
        <w:t xml:space="preserve">rates </w:t>
      </w:r>
      <w:r w:rsidRPr="005956AF">
        <w:t xml:space="preserve">and the insurance </w:t>
      </w:r>
      <w:r w:rsidRPr="005A5FC6">
        <w:t>contracts</w:t>
      </w:r>
      <w:r w:rsidRPr="005956AF">
        <w:t>.</w:t>
      </w:r>
    </w:p>
    <w:p w14:paraId="62B1DF14"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The calculation of discount rates under the bottom-up approach are illustrated in the formula below:</w:t>
      </w:r>
    </w:p>
    <w:p w14:paraId="5CC7FA39" w14:textId="77777777" w:rsidR="00355D3C" w:rsidRPr="005956AF" w:rsidRDefault="00355D3C" w:rsidP="00355D3C">
      <w:pPr>
        <w:autoSpaceDE w:val="0"/>
        <w:autoSpaceDN w:val="0"/>
        <w:adjustRightInd w:val="0"/>
        <w:spacing w:before="200" w:after="200"/>
        <w:ind w:left="2880" w:right="0"/>
        <w:jc w:val="both"/>
        <w:rPr>
          <w:rFonts w:cs="Arial"/>
          <w:b/>
          <w:bCs/>
          <w:color w:val="0137A6"/>
          <w:szCs w:val="18"/>
        </w:rPr>
      </w:pPr>
      <w:r w:rsidRPr="005956AF">
        <w:rPr>
          <w:rFonts w:cs="Arial"/>
          <w:b/>
          <w:bCs/>
          <w:color w:val="0137A6"/>
          <w:szCs w:val="18"/>
        </w:rPr>
        <w:t>Discount Rate= Risk-Free Rate + Illiquidity Premium</w:t>
      </w:r>
    </w:p>
    <w:p w14:paraId="7ED7557D" w14:textId="77777777" w:rsidR="00355D3C" w:rsidRPr="005956AF" w:rsidRDefault="00355D3C" w:rsidP="00355D3C">
      <w:pPr>
        <w:autoSpaceDE w:val="0"/>
        <w:autoSpaceDN w:val="0"/>
        <w:adjustRightInd w:val="0"/>
        <w:spacing w:before="200" w:after="200"/>
        <w:ind w:left="709" w:right="0"/>
        <w:jc w:val="center"/>
        <w:rPr>
          <w:rFonts w:cs="Arial"/>
          <w:szCs w:val="18"/>
        </w:rPr>
      </w:pPr>
      <w:r w:rsidRPr="005956AF">
        <w:rPr>
          <w:noProof/>
        </w:rPr>
        <w:drawing>
          <wp:inline distT="0" distB="0" distL="0" distR="0" wp14:anchorId="43FD15A7" wp14:editId="5F348DA5">
            <wp:extent cx="2301537" cy="1962253"/>
            <wp:effectExtent l="0" t="0" r="3810" b="0"/>
            <wp:docPr id="883111531" name="Picture 1" descr="A diagram of a pri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1531" name="Picture 1" descr="A diagram of a price chart&#10;&#10;Description automatically generated"/>
                    <pic:cNvPicPr/>
                  </pic:nvPicPr>
                  <pic:blipFill>
                    <a:blip r:embed="rId19"/>
                    <a:stretch>
                      <a:fillRect/>
                    </a:stretch>
                  </pic:blipFill>
                  <pic:spPr>
                    <a:xfrm>
                      <a:off x="0" y="0"/>
                      <a:ext cx="2315133" cy="1973845"/>
                    </a:xfrm>
                    <a:prstGeom prst="rect">
                      <a:avLst/>
                    </a:prstGeom>
                  </pic:spPr>
                </pic:pic>
              </a:graphicData>
            </a:graphic>
          </wp:inline>
        </w:drawing>
      </w:r>
    </w:p>
    <w:p w14:paraId="25F7951F" w14:textId="77777777" w:rsidR="00355D3C" w:rsidRPr="005956AF" w:rsidRDefault="00355D3C" w:rsidP="00355D3C">
      <w:pPr>
        <w:pStyle w:val="ListParagraph"/>
        <w:numPr>
          <w:ilvl w:val="1"/>
          <w:numId w:val="2"/>
        </w:numPr>
        <w:tabs>
          <w:tab w:val="num" w:pos="1593"/>
        </w:tabs>
        <w:autoSpaceDE w:val="0"/>
        <w:autoSpaceDN w:val="0"/>
        <w:adjustRightInd w:val="0"/>
        <w:spacing w:before="0" w:line="240" w:lineRule="auto"/>
        <w:ind w:left="709" w:hanging="709"/>
      </w:pPr>
      <w:r w:rsidRPr="005956AF">
        <w:t>In the context of IFRS 17 for insurance companies, the illiquidity premium represents the additional return investors expect for holding assets that are less liquid as opposed to highly secure investments like government bonds.</w:t>
      </w:r>
    </w:p>
    <w:p w14:paraId="262091B7"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The risk-free rate applied is the government bond yield curve published by the </w:t>
      </w:r>
      <w:r w:rsidRPr="005956AF">
        <w:rPr>
          <w:b/>
          <w:bCs/>
        </w:rPr>
        <w:t>Nairobi Securities Exchange (“NSE”)</w:t>
      </w:r>
      <w:r w:rsidRPr="005956AF">
        <w:t xml:space="preserve"> in line with the statutory prescription by the IRA</w:t>
      </w:r>
      <w:r>
        <w:t>.</w:t>
      </w:r>
    </w:p>
    <w:p w14:paraId="4A82EFF3" w14:textId="7029CE01" w:rsidR="00F3006F" w:rsidRDefault="00355D3C" w:rsidP="00355D3C">
      <w:pPr>
        <w:pStyle w:val="ListParagraph"/>
        <w:numPr>
          <w:ilvl w:val="1"/>
          <w:numId w:val="2"/>
        </w:numPr>
        <w:autoSpaceDE w:val="0"/>
        <w:autoSpaceDN w:val="0"/>
        <w:adjustRightInd w:val="0"/>
        <w:spacing w:before="0" w:line="240" w:lineRule="auto"/>
        <w:ind w:left="709" w:hanging="709"/>
      </w:pPr>
      <w:r w:rsidRPr="005956AF">
        <w:t xml:space="preserve">No discounting </w:t>
      </w:r>
      <w:r>
        <w:t>is</w:t>
      </w:r>
      <w:r w:rsidRPr="005956AF">
        <w:t xml:space="preserve"> applied for periods below 12 Months. </w:t>
      </w:r>
    </w:p>
    <w:p w14:paraId="52891650" w14:textId="39ECF43B" w:rsidR="00355D3C" w:rsidRPr="00F3006F" w:rsidRDefault="00F3006F" w:rsidP="00F3006F">
      <w:pPr>
        <w:spacing w:after="160" w:line="259" w:lineRule="auto"/>
        <w:ind w:right="0"/>
        <w:rPr>
          <w:rFonts w:cs="Arial"/>
          <w:szCs w:val="18"/>
        </w:rPr>
      </w:pPr>
      <w:r>
        <w:br w:type="page"/>
      </w:r>
    </w:p>
    <w:p w14:paraId="1C3C0848" w14:textId="31E1BDF8" w:rsidR="00355D3C" w:rsidRPr="00F3006F" w:rsidRDefault="00355D3C" w:rsidP="00F3006F">
      <w:pPr>
        <w:pStyle w:val="Heading1"/>
        <w:numPr>
          <w:ilvl w:val="0"/>
          <w:numId w:val="6"/>
        </w:numPr>
        <w:tabs>
          <w:tab w:val="num" w:pos="360"/>
        </w:tabs>
        <w:ind w:left="720" w:hanging="540"/>
        <w:rPr>
          <w:rFonts w:ascii="Nunito Sans Black" w:hAnsi="Nunito Sans Black"/>
        </w:rPr>
      </w:pPr>
      <w:bookmarkStart w:id="28" w:name="_Toc509236250"/>
      <w:bookmarkStart w:id="29" w:name="_Toc509240997"/>
      <w:bookmarkStart w:id="30" w:name="_Toc509241026"/>
      <w:bookmarkStart w:id="31" w:name="_Toc94710909"/>
      <w:bookmarkStart w:id="32" w:name="_Toc189497741"/>
      <w:bookmarkStart w:id="33" w:name="_Toc210138991"/>
      <w:r w:rsidRPr="00F3006F">
        <w:rPr>
          <w:rFonts w:ascii="Nunito Sans Black" w:hAnsi="Nunito Sans Black"/>
        </w:rPr>
        <w:lastRenderedPageBreak/>
        <w:t>A</w:t>
      </w:r>
      <w:bookmarkEnd w:id="28"/>
      <w:bookmarkEnd w:id="29"/>
      <w:bookmarkEnd w:id="30"/>
      <w:bookmarkEnd w:id="31"/>
      <w:bookmarkEnd w:id="32"/>
      <w:r w:rsidR="00524486">
        <w:rPr>
          <w:rFonts w:ascii="Nunito Sans Black" w:hAnsi="Nunito Sans Black"/>
        </w:rPr>
        <w:t>SSUMPTIONS</w:t>
      </w:r>
      <w:bookmarkEnd w:id="33"/>
    </w:p>
    <w:p w14:paraId="4616852D" w14:textId="77777777" w:rsidR="00355D3C" w:rsidRPr="005956AF" w:rsidRDefault="00355D3C" w:rsidP="00355D3C">
      <w:pPr>
        <w:numPr>
          <w:ilvl w:val="1"/>
          <w:numId w:val="2"/>
        </w:numPr>
        <w:autoSpaceDE w:val="0"/>
        <w:autoSpaceDN w:val="0"/>
        <w:adjustRightInd w:val="0"/>
        <w:spacing w:before="200" w:after="200"/>
        <w:ind w:left="709" w:right="0" w:hanging="709"/>
        <w:jc w:val="both"/>
        <w:rPr>
          <w:szCs w:val="18"/>
        </w:rPr>
      </w:pPr>
      <w:r w:rsidRPr="005956AF">
        <w:rPr>
          <w:szCs w:val="18"/>
        </w:rPr>
        <w:t>When using the Basic Chain Ladder method, we assum</w:t>
      </w:r>
      <w:r>
        <w:rPr>
          <w:szCs w:val="18"/>
        </w:rPr>
        <w:t>e</w:t>
      </w:r>
      <w:r w:rsidRPr="005956AF">
        <w:rPr>
          <w:szCs w:val="18"/>
        </w:rPr>
        <w:t xml:space="preserve"> that there is consistency in claims reporting and payment patterns.</w:t>
      </w:r>
    </w:p>
    <w:p w14:paraId="68FFF313" w14:textId="77777777" w:rsidR="00355D3C" w:rsidRPr="005956AF" w:rsidRDefault="00355D3C" w:rsidP="00355D3C">
      <w:pPr>
        <w:numPr>
          <w:ilvl w:val="1"/>
          <w:numId w:val="2"/>
        </w:numPr>
        <w:tabs>
          <w:tab w:val="left" w:pos="5670"/>
        </w:tabs>
        <w:autoSpaceDE w:val="0"/>
        <w:autoSpaceDN w:val="0"/>
        <w:adjustRightInd w:val="0"/>
        <w:spacing w:before="200" w:after="200"/>
        <w:ind w:left="709" w:right="0" w:hanging="709"/>
        <w:jc w:val="both"/>
        <w:rPr>
          <w:szCs w:val="18"/>
        </w:rPr>
      </w:pPr>
      <w:r w:rsidRPr="005956AF">
        <w:rPr>
          <w:szCs w:val="18"/>
        </w:rPr>
        <w:t xml:space="preserve">Under the Bornhuetter-Fergusson method, we assume the ultimate values can be better projected by looking at the recent experience on loss ratio or any other </w:t>
      </w:r>
      <w:r w:rsidRPr="005956AF">
        <w:rPr>
          <w:i/>
          <w:szCs w:val="18"/>
        </w:rPr>
        <w:t>a priori</w:t>
      </w:r>
      <w:r w:rsidRPr="005956AF">
        <w:rPr>
          <w:szCs w:val="18"/>
        </w:rPr>
        <w:t xml:space="preserve"> estimate in addition to the claims observed to date.</w:t>
      </w:r>
    </w:p>
    <w:p w14:paraId="3E1D170A" w14:textId="77777777" w:rsidR="00355D3C" w:rsidRPr="005956AF" w:rsidRDefault="00355D3C" w:rsidP="00355D3C">
      <w:pPr>
        <w:numPr>
          <w:ilvl w:val="1"/>
          <w:numId w:val="2"/>
        </w:numPr>
        <w:autoSpaceDE w:val="0"/>
        <w:autoSpaceDN w:val="0"/>
        <w:adjustRightInd w:val="0"/>
        <w:spacing w:before="200" w:after="200"/>
        <w:ind w:left="709" w:right="0" w:hanging="709"/>
        <w:jc w:val="both"/>
        <w:rPr>
          <w:szCs w:val="18"/>
        </w:rPr>
      </w:pPr>
      <w:r w:rsidRPr="005956AF">
        <w:rPr>
          <w:szCs w:val="18"/>
        </w:rPr>
        <w:t>The key assumption under the Cape Cod method is that unreported claims will develop based on expected claims.</w:t>
      </w:r>
    </w:p>
    <w:p w14:paraId="7D09AD20" w14:textId="77777777" w:rsidR="00355D3C" w:rsidRPr="005956AF" w:rsidRDefault="00355D3C" w:rsidP="00355D3C">
      <w:pPr>
        <w:numPr>
          <w:ilvl w:val="1"/>
          <w:numId w:val="2"/>
        </w:numPr>
        <w:autoSpaceDE w:val="0"/>
        <w:autoSpaceDN w:val="0"/>
        <w:adjustRightInd w:val="0"/>
        <w:spacing w:before="200" w:after="200"/>
        <w:ind w:left="709" w:right="0" w:hanging="709"/>
        <w:jc w:val="both"/>
        <w:rPr>
          <w:szCs w:val="18"/>
        </w:rPr>
      </w:pPr>
      <w:r w:rsidRPr="005956AF">
        <w:rPr>
          <w:szCs w:val="18"/>
        </w:rPr>
        <w:t>For Expected Loss Ratio Method, the assumption made is that ultimate claims will develop in line with the expected loss ratios adopted.</w:t>
      </w:r>
    </w:p>
    <w:p w14:paraId="79030B97" w14:textId="77777777" w:rsidR="00355D3C" w:rsidRPr="005956AF" w:rsidRDefault="00355D3C" w:rsidP="00355D3C">
      <w:pPr>
        <w:pStyle w:val="Heading2"/>
        <w:rPr>
          <w:rFonts w:ascii="Nunito Sans" w:hAnsi="Nunito Sans"/>
          <w:b/>
        </w:rPr>
      </w:pPr>
      <w:bookmarkStart w:id="34" w:name="_Toc189497745"/>
      <w:bookmarkStart w:id="35" w:name="_Toc210138992"/>
      <w:r w:rsidRPr="005956AF">
        <w:rPr>
          <w:rFonts w:ascii="Nunito Sans" w:hAnsi="Nunito Sans"/>
          <w:b/>
        </w:rPr>
        <w:t>Reinsurance Recoveries</w:t>
      </w:r>
      <w:bookmarkEnd w:id="34"/>
      <w:bookmarkEnd w:id="35"/>
    </w:p>
    <w:p w14:paraId="04E0962C" w14:textId="77777777" w:rsidR="00355D3C" w:rsidRPr="005956AF" w:rsidRDefault="00355D3C" w:rsidP="00355D3C">
      <w:pPr>
        <w:pStyle w:val="ListParagraph"/>
        <w:numPr>
          <w:ilvl w:val="1"/>
          <w:numId w:val="2"/>
        </w:numPr>
        <w:autoSpaceDE w:val="0"/>
        <w:autoSpaceDN w:val="0"/>
        <w:adjustRightInd w:val="0"/>
        <w:spacing w:before="0" w:line="240" w:lineRule="auto"/>
        <w:ind w:left="709" w:hanging="709"/>
      </w:pPr>
      <w:r w:rsidRPr="005956AF">
        <w:t>In calculating the Net IBN(E)R, we appl</w:t>
      </w:r>
      <w:r>
        <w:t>y</w:t>
      </w:r>
      <w:r w:rsidRPr="005956AF">
        <w:t xml:space="preserve"> a reinsurance recovery rate per class of business to the Gross IBN(E)R. </w:t>
      </w:r>
    </w:p>
    <w:p w14:paraId="36EDC245" w14:textId="42970968" w:rsidR="00524486" w:rsidRDefault="00355D3C" w:rsidP="00355D3C">
      <w:pPr>
        <w:pStyle w:val="ListParagraph"/>
        <w:numPr>
          <w:ilvl w:val="1"/>
          <w:numId w:val="2"/>
        </w:numPr>
        <w:autoSpaceDE w:val="0"/>
        <w:autoSpaceDN w:val="0"/>
        <w:adjustRightInd w:val="0"/>
        <w:spacing w:before="0" w:line="240" w:lineRule="auto"/>
        <w:ind w:left="709" w:hanging="709"/>
      </w:pPr>
      <w:r w:rsidRPr="005956AF">
        <w:t xml:space="preserve">To estimate the reinsurance recovery rate for each class of business, we analyse the claims retention rates for the company over </w:t>
      </w:r>
      <w:r>
        <w:t>a specified period of</w:t>
      </w:r>
      <w:r w:rsidRPr="005956AF">
        <w:t xml:space="preserve"> years. These </w:t>
      </w:r>
      <w:r>
        <w:t>are</w:t>
      </w:r>
      <w:r w:rsidRPr="005956AF">
        <w:t xml:space="preserve"> then weighted on the estimated expected reserves over the same period.</w:t>
      </w:r>
    </w:p>
    <w:p w14:paraId="075E2AA7" w14:textId="0AE4E37A" w:rsidR="00355D3C" w:rsidRPr="00524486" w:rsidRDefault="00524486" w:rsidP="00524486">
      <w:pPr>
        <w:spacing w:after="160" w:line="259" w:lineRule="auto"/>
        <w:ind w:right="0"/>
        <w:rPr>
          <w:rFonts w:cs="Arial"/>
          <w:szCs w:val="18"/>
        </w:rPr>
      </w:pPr>
      <w:r>
        <w:br w:type="page"/>
      </w:r>
    </w:p>
    <w:p w14:paraId="5A4291F4" w14:textId="58B58FEC" w:rsidR="00355D3C" w:rsidRPr="00524486" w:rsidRDefault="00355D3C" w:rsidP="00524486">
      <w:pPr>
        <w:pStyle w:val="Heading1"/>
        <w:numPr>
          <w:ilvl w:val="0"/>
          <w:numId w:val="6"/>
        </w:numPr>
        <w:tabs>
          <w:tab w:val="num" w:pos="360"/>
        </w:tabs>
        <w:ind w:left="720" w:hanging="540"/>
        <w:rPr>
          <w:rFonts w:ascii="Nunito Sans Black" w:hAnsi="Nunito Sans Black"/>
        </w:rPr>
      </w:pPr>
      <w:bookmarkStart w:id="36" w:name="_Toc210138993"/>
      <w:r w:rsidRPr="00524486">
        <w:rPr>
          <w:rFonts w:ascii="Nunito Sans Black" w:hAnsi="Nunito Sans Black"/>
        </w:rPr>
        <w:lastRenderedPageBreak/>
        <w:t>R</w:t>
      </w:r>
      <w:r w:rsidR="00524486">
        <w:rPr>
          <w:rFonts w:ascii="Nunito Sans Black" w:hAnsi="Nunito Sans Black"/>
        </w:rPr>
        <w:t>EVIEW &amp; SIGN-OFF</w:t>
      </w:r>
      <w:bookmarkEnd w:id="36"/>
    </w:p>
    <w:p w14:paraId="46E62305" w14:textId="77777777" w:rsidR="00355D3C" w:rsidRDefault="00355D3C" w:rsidP="00355D3C">
      <w:pPr>
        <w:numPr>
          <w:ilvl w:val="1"/>
          <w:numId w:val="2"/>
        </w:numPr>
        <w:autoSpaceDE w:val="0"/>
        <w:autoSpaceDN w:val="0"/>
        <w:adjustRightInd w:val="0"/>
        <w:spacing w:before="240" w:after="240"/>
        <w:ind w:left="720" w:right="0" w:hanging="720"/>
        <w:jc w:val="both"/>
      </w:pPr>
      <w:r>
        <w:t>Upon completion of the determination of the Liabilities for Incurred Claims, include a summary of any assumptions adopted for review and sign-off. A sign-off template is attached in the appendix.</w:t>
      </w:r>
    </w:p>
    <w:p w14:paraId="05DA4771" w14:textId="77777777" w:rsidR="00355D3C" w:rsidRDefault="00355D3C" w:rsidP="00355D3C">
      <w:pPr>
        <w:numPr>
          <w:ilvl w:val="1"/>
          <w:numId w:val="2"/>
        </w:numPr>
        <w:autoSpaceDE w:val="0"/>
        <w:autoSpaceDN w:val="0"/>
        <w:adjustRightInd w:val="0"/>
        <w:spacing w:before="240" w:after="240"/>
        <w:ind w:left="720" w:right="0" w:hanging="720"/>
        <w:jc w:val="both"/>
      </w:pPr>
      <w:r>
        <w:t>Forward the computations for review.</w:t>
      </w:r>
    </w:p>
    <w:p w14:paraId="21F37E9D" w14:textId="77777777" w:rsidR="00355D3C" w:rsidRDefault="00355D3C" w:rsidP="00355D3C">
      <w:pPr>
        <w:spacing w:after="160" w:line="259" w:lineRule="auto"/>
        <w:ind w:right="0"/>
        <w:rPr>
          <w:rFonts w:ascii="Nunito Sans Black" w:hAnsi="Nunito Sans Black"/>
          <w:color w:val="0137A6"/>
          <w:sz w:val="36"/>
          <w:szCs w:val="36"/>
        </w:rPr>
      </w:pPr>
      <w:r>
        <w:rPr>
          <w:rFonts w:ascii="Nunito Sans Black" w:hAnsi="Nunito Sans Black"/>
        </w:rPr>
        <w:br w:type="page"/>
      </w:r>
    </w:p>
    <w:p w14:paraId="18E9ABC7" w14:textId="42E9D6A3" w:rsidR="00D46CE1" w:rsidRPr="006F03C9" w:rsidRDefault="001A7596" w:rsidP="00753591">
      <w:pPr>
        <w:pStyle w:val="Heading1"/>
        <w:numPr>
          <w:ilvl w:val="0"/>
          <w:numId w:val="6"/>
        </w:numPr>
        <w:tabs>
          <w:tab w:val="num" w:pos="360"/>
        </w:tabs>
        <w:ind w:left="720" w:hanging="540"/>
        <w:rPr>
          <w:rFonts w:ascii="Nunito Sans Black" w:hAnsi="Nunito Sans Black"/>
        </w:rPr>
      </w:pPr>
      <w:bookmarkStart w:id="37" w:name="_Toc210138994"/>
      <w:r w:rsidRPr="006F03C9">
        <w:rPr>
          <w:rFonts w:ascii="Nunito Sans Black" w:hAnsi="Nunito Sans Black"/>
        </w:rPr>
        <w:lastRenderedPageBreak/>
        <w:t>APPENDICES</w:t>
      </w:r>
      <w:bookmarkEnd w:id="37"/>
    </w:p>
    <w:p w14:paraId="390F1BA4" w14:textId="2D76B214" w:rsidR="00F1195C" w:rsidRPr="006F03C9" w:rsidRDefault="00E408D2" w:rsidP="00ED4E5F">
      <w:pPr>
        <w:pStyle w:val="Heading2"/>
        <w:autoSpaceDE w:val="0"/>
        <w:autoSpaceDN w:val="0"/>
        <w:adjustRightInd w:val="0"/>
        <w:spacing w:line="240" w:lineRule="auto"/>
        <w:rPr>
          <w:rFonts w:ascii="Nunito Sans Black" w:hAnsi="Nunito Sans Black"/>
        </w:rPr>
      </w:pPr>
      <w:bookmarkStart w:id="38" w:name="_Toc210138995"/>
      <w:r>
        <w:rPr>
          <w:rFonts w:ascii="Nunito Sans Black" w:hAnsi="Nunito Sans Black"/>
        </w:rPr>
        <w:t xml:space="preserve">Appendix 1: </w:t>
      </w:r>
      <w:r w:rsidR="00F1195C" w:rsidRPr="006F03C9">
        <w:rPr>
          <w:rFonts w:ascii="Nunito Sans Black" w:hAnsi="Nunito Sans Black"/>
        </w:rPr>
        <w:t>Sign-Off Template</w:t>
      </w:r>
      <w:bookmarkEnd w:id="38"/>
    </w:p>
    <w:p w14:paraId="70BF12A3" w14:textId="77777777" w:rsidR="00F1195C" w:rsidRPr="006F03C9" w:rsidRDefault="00F1195C" w:rsidP="00F1195C"/>
    <w:tbl>
      <w:tblPr>
        <w:tblW w:w="0" w:type="auto"/>
        <w:jc w:val="center"/>
        <w:tblLayout w:type="fixed"/>
        <w:tblCellMar>
          <w:left w:w="0" w:type="dxa"/>
          <w:right w:w="0" w:type="dxa"/>
        </w:tblCellMar>
        <w:tblLook w:val="01E0" w:firstRow="1" w:lastRow="1" w:firstColumn="1" w:lastColumn="1" w:noHBand="0" w:noVBand="0"/>
      </w:tblPr>
      <w:tblGrid>
        <w:gridCol w:w="6145"/>
      </w:tblGrid>
      <w:tr w:rsidR="00516E17" w:rsidRPr="006F03C9" w14:paraId="4558328F" w14:textId="77777777" w:rsidTr="00F237E7">
        <w:trPr>
          <w:trHeight w:val="407"/>
          <w:jc w:val="center"/>
        </w:trPr>
        <w:tc>
          <w:tcPr>
            <w:tcW w:w="6145" w:type="dxa"/>
          </w:tcPr>
          <w:p w14:paraId="17B63D3E" w14:textId="77777777" w:rsidR="005D3A27" w:rsidRPr="006F03C9" w:rsidRDefault="005D3A27" w:rsidP="005D3A27">
            <w:pPr>
              <w:pStyle w:val="TableParagraph"/>
              <w:spacing w:line="310" w:lineRule="exact"/>
              <w:ind w:left="31"/>
              <w:jc w:val="left"/>
              <w:rPr>
                <w:rFonts w:ascii="Nunito Sans Black" w:hAnsi="Nunito Sans Black"/>
                <w:b/>
                <w:color w:val="0137A6"/>
                <w:sz w:val="24"/>
                <w:szCs w:val="24"/>
              </w:rPr>
            </w:pPr>
            <w:r w:rsidRPr="006F03C9">
              <w:rPr>
                <w:rFonts w:ascii="Nunito Sans Black" w:hAnsi="Nunito Sans Black"/>
                <w:b/>
                <w:color w:val="0137A6"/>
                <w:w w:val="85"/>
                <w:sz w:val="24"/>
                <w:szCs w:val="24"/>
              </w:rPr>
              <w:t>Sign-</w:t>
            </w:r>
            <w:r w:rsidRPr="006F03C9">
              <w:rPr>
                <w:rFonts w:ascii="Nunito Sans Black" w:hAnsi="Nunito Sans Black"/>
                <w:b/>
                <w:color w:val="0137A6"/>
                <w:spacing w:val="-5"/>
                <w:sz w:val="24"/>
                <w:szCs w:val="24"/>
              </w:rPr>
              <w:t>off</w:t>
            </w:r>
          </w:p>
        </w:tc>
      </w:tr>
      <w:tr w:rsidR="00516E17" w:rsidRPr="006F03C9" w14:paraId="67C3797D" w14:textId="77777777" w:rsidTr="00F237E7">
        <w:trPr>
          <w:trHeight w:val="364"/>
          <w:jc w:val="center"/>
        </w:trPr>
        <w:tc>
          <w:tcPr>
            <w:tcW w:w="6145" w:type="dxa"/>
          </w:tcPr>
          <w:p w14:paraId="639860B9" w14:textId="77777777" w:rsidR="005D3A27" w:rsidRPr="006F03C9" w:rsidRDefault="005D3A27" w:rsidP="005D3A27">
            <w:pPr>
              <w:pStyle w:val="TableParagraph"/>
              <w:spacing w:before="91"/>
              <w:ind w:left="31"/>
              <w:jc w:val="left"/>
              <w:rPr>
                <w:rFonts w:ascii="Nunito Sans SemiBold" w:hAnsi="Nunito Sans SemiBold"/>
                <w:b/>
                <w:color w:val="0137A6"/>
                <w:sz w:val="18"/>
                <w:szCs w:val="18"/>
              </w:rPr>
            </w:pPr>
            <w:r w:rsidRPr="006F03C9">
              <w:rPr>
                <w:rFonts w:ascii="Nunito Sans SemiBold" w:hAnsi="Nunito Sans SemiBold"/>
                <w:b/>
                <w:color w:val="0137A6"/>
                <w:w w:val="90"/>
                <w:sz w:val="18"/>
                <w:szCs w:val="18"/>
              </w:rPr>
              <w:t>Statement</w:t>
            </w:r>
            <w:r w:rsidRPr="006F03C9">
              <w:rPr>
                <w:rFonts w:ascii="Nunito Sans SemiBold" w:hAnsi="Nunito Sans SemiBold"/>
                <w:b/>
                <w:color w:val="0137A6"/>
                <w:spacing w:val="-1"/>
                <w:sz w:val="18"/>
                <w:szCs w:val="18"/>
              </w:rPr>
              <w:t xml:space="preserve"> </w:t>
            </w:r>
            <w:r w:rsidRPr="006F03C9">
              <w:rPr>
                <w:rFonts w:ascii="Nunito Sans SemiBold" w:hAnsi="Nunito Sans SemiBold"/>
                <w:b/>
                <w:color w:val="0137A6"/>
                <w:w w:val="90"/>
                <w:sz w:val="18"/>
                <w:szCs w:val="18"/>
              </w:rPr>
              <w:t>by</w:t>
            </w:r>
            <w:r w:rsidRPr="006F03C9">
              <w:rPr>
                <w:rFonts w:ascii="Nunito Sans SemiBold" w:hAnsi="Nunito Sans SemiBold"/>
                <w:b/>
                <w:color w:val="0137A6"/>
                <w:sz w:val="18"/>
                <w:szCs w:val="18"/>
              </w:rPr>
              <w:t xml:space="preserve"> </w:t>
            </w:r>
            <w:r w:rsidRPr="006F03C9">
              <w:rPr>
                <w:rFonts w:ascii="Nunito Sans SemiBold" w:hAnsi="Nunito Sans SemiBold"/>
                <w:b/>
                <w:color w:val="0137A6"/>
                <w:w w:val="90"/>
                <w:sz w:val="18"/>
                <w:szCs w:val="18"/>
              </w:rPr>
              <w:t>the</w:t>
            </w:r>
            <w:r w:rsidRPr="006F03C9">
              <w:rPr>
                <w:rFonts w:ascii="Nunito Sans SemiBold" w:hAnsi="Nunito Sans SemiBold"/>
                <w:b/>
                <w:color w:val="0137A6"/>
                <w:sz w:val="18"/>
                <w:szCs w:val="18"/>
              </w:rPr>
              <w:t xml:space="preserve"> </w:t>
            </w:r>
            <w:r w:rsidRPr="006F03C9">
              <w:rPr>
                <w:rFonts w:ascii="Nunito Sans SemiBold" w:hAnsi="Nunito Sans SemiBold"/>
                <w:b/>
                <w:color w:val="0137A6"/>
                <w:w w:val="90"/>
                <w:sz w:val="18"/>
                <w:szCs w:val="18"/>
              </w:rPr>
              <w:t>Lead</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spacing w:val="-2"/>
                <w:w w:val="90"/>
                <w:sz w:val="18"/>
                <w:szCs w:val="18"/>
              </w:rPr>
              <w:t>Analyst</w:t>
            </w:r>
          </w:p>
        </w:tc>
      </w:tr>
      <w:tr w:rsidR="005D3A27" w:rsidRPr="006F03C9" w14:paraId="37D54FE5" w14:textId="77777777" w:rsidTr="00F237E7">
        <w:trPr>
          <w:trHeight w:val="511"/>
          <w:jc w:val="center"/>
        </w:trPr>
        <w:tc>
          <w:tcPr>
            <w:tcW w:w="6145" w:type="dxa"/>
          </w:tcPr>
          <w:p w14:paraId="511899E9" w14:textId="77777777" w:rsidR="005D3A27" w:rsidRPr="00F237E7" w:rsidRDefault="005D3A27" w:rsidP="005D3A27">
            <w:pPr>
              <w:pStyle w:val="TableParagraph"/>
              <w:spacing w:before="95"/>
              <w:ind w:left="31"/>
              <w:jc w:val="left"/>
              <w:rPr>
                <w:rFonts w:ascii="Nunito Sans" w:hAnsi="Nunito Sans"/>
                <w:sz w:val="18"/>
                <w:szCs w:val="18"/>
              </w:rPr>
            </w:pPr>
            <w:r w:rsidRPr="00F237E7">
              <w:rPr>
                <w:rFonts w:ascii="Nunito Sans" w:hAnsi="Nunito Sans"/>
                <w:sz w:val="18"/>
                <w:szCs w:val="18"/>
              </w:rPr>
              <w:t>I</w:t>
            </w:r>
            <w:r w:rsidRPr="00F237E7">
              <w:rPr>
                <w:rFonts w:ascii="Nunito Sans" w:hAnsi="Nunito Sans"/>
                <w:spacing w:val="-8"/>
                <w:sz w:val="18"/>
                <w:szCs w:val="18"/>
              </w:rPr>
              <w:t xml:space="preserve"> </w:t>
            </w:r>
            <w:r w:rsidRPr="00F237E7">
              <w:rPr>
                <w:rFonts w:ascii="Nunito Sans" w:hAnsi="Nunito Sans"/>
                <w:sz w:val="18"/>
                <w:szCs w:val="18"/>
              </w:rPr>
              <w:t>confirm</w:t>
            </w:r>
            <w:r w:rsidRPr="00F237E7">
              <w:rPr>
                <w:rFonts w:ascii="Nunito Sans" w:hAnsi="Nunito Sans"/>
                <w:spacing w:val="-7"/>
                <w:sz w:val="18"/>
                <w:szCs w:val="18"/>
              </w:rPr>
              <w:t xml:space="preserve"> </w:t>
            </w:r>
            <w:r w:rsidRPr="00F237E7">
              <w:rPr>
                <w:rFonts w:ascii="Nunito Sans" w:hAnsi="Nunito Sans"/>
                <w:sz w:val="18"/>
                <w:szCs w:val="18"/>
              </w:rPr>
              <w:t>that</w:t>
            </w:r>
            <w:r w:rsidRPr="00F237E7">
              <w:rPr>
                <w:rFonts w:ascii="Nunito Sans" w:hAnsi="Nunito Sans"/>
                <w:spacing w:val="-8"/>
                <w:sz w:val="18"/>
                <w:szCs w:val="18"/>
              </w:rPr>
              <w:t xml:space="preserve"> </w:t>
            </w:r>
            <w:r w:rsidRPr="00F237E7">
              <w:rPr>
                <w:rFonts w:ascii="Nunito Sans" w:hAnsi="Nunito Sans"/>
                <w:sz w:val="18"/>
                <w:szCs w:val="18"/>
              </w:rPr>
              <w:t>I</w:t>
            </w:r>
            <w:r w:rsidRPr="00F237E7">
              <w:rPr>
                <w:rFonts w:ascii="Nunito Sans" w:hAnsi="Nunito Sans"/>
                <w:spacing w:val="-8"/>
                <w:sz w:val="18"/>
                <w:szCs w:val="18"/>
              </w:rPr>
              <w:t xml:space="preserve"> </w:t>
            </w:r>
            <w:r w:rsidRPr="00F237E7">
              <w:rPr>
                <w:rFonts w:ascii="Nunito Sans" w:hAnsi="Nunito Sans"/>
                <w:sz w:val="18"/>
                <w:szCs w:val="18"/>
              </w:rPr>
              <w:t>have</w:t>
            </w:r>
            <w:r w:rsidRPr="00F237E7">
              <w:rPr>
                <w:rFonts w:ascii="Nunito Sans" w:hAnsi="Nunito Sans"/>
                <w:spacing w:val="-8"/>
                <w:sz w:val="18"/>
                <w:szCs w:val="18"/>
              </w:rPr>
              <w:t xml:space="preserve"> </w:t>
            </w:r>
            <w:r w:rsidRPr="00F237E7">
              <w:rPr>
                <w:rFonts w:ascii="Nunito Sans" w:hAnsi="Nunito Sans"/>
                <w:sz w:val="18"/>
                <w:szCs w:val="18"/>
              </w:rPr>
              <w:t>carried</w:t>
            </w:r>
            <w:r w:rsidRPr="00F237E7">
              <w:rPr>
                <w:rFonts w:ascii="Nunito Sans" w:hAnsi="Nunito Sans"/>
                <w:spacing w:val="-8"/>
                <w:sz w:val="18"/>
                <w:szCs w:val="18"/>
              </w:rPr>
              <w:t xml:space="preserve"> </w:t>
            </w:r>
            <w:r w:rsidRPr="00F237E7">
              <w:rPr>
                <w:rFonts w:ascii="Nunito Sans" w:hAnsi="Nunito Sans"/>
                <w:sz w:val="18"/>
                <w:szCs w:val="18"/>
              </w:rPr>
              <w:t>out</w:t>
            </w:r>
            <w:r w:rsidRPr="00F237E7">
              <w:rPr>
                <w:rFonts w:ascii="Nunito Sans" w:hAnsi="Nunito Sans"/>
                <w:spacing w:val="-8"/>
                <w:sz w:val="18"/>
                <w:szCs w:val="18"/>
              </w:rPr>
              <w:t xml:space="preserve"> </w:t>
            </w:r>
            <w:r w:rsidRPr="00F237E7">
              <w:rPr>
                <w:rFonts w:ascii="Nunito Sans" w:hAnsi="Nunito Sans"/>
                <w:sz w:val="18"/>
                <w:szCs w:val="18"/>
              </w:rPr>
              <w:t>this</w:t>
            </w:r>
            <w:r w:rsidRPr="00F237E7">
              <w:rPr>
                <w:rFonts w:ascii="Nunito Sans" w:hAnsi="Nunito Sans"/>
                <w:spacing w:val="-7"/>
                <w:sz w:val="18"/>
                <w:szCs w:val="18"/>
              </w:rPr>
              <w:t xml:space="preserve"> </w:t>
            </w:r>
            <w:r w:rsidRPr="00F237E7">
              <w:rPr>
                <w:rFonts w:ascii="Nunito Sans" w:hAnsi="Nunito Sans"/>
                <w:sz w:val="18"/>
                <w:szCs w:val="18"/>
              </w:rPr>
              <w:t>work</w:t>
            </w:r>
            <w:r w:rsidRPr="00F237E7">
              <w:rPr>
                <w:rFonts w:ascii="Nunito Sans" w:hAnsi="Nunito Sans"/>
                <w:spacing w:val="-8"/>
                <w:sz w:val="18"/>
                <w:szCs w:val="18"/>
              </w:rPr>
              <w:t xml:space="preserve"> </w:t>
            </w:r>
            <w:r w:rsidRPr="00F237E7">
              <w:rPr>
                <w:rFonts w:ascii="Nunito Sans" w:hAnsi="Nunito Sans"/>
                <w:sz w:val="18"/>
                <w:szCs w:val="18"/>
              </w:rPr>
              <w:t>in</w:t>
            </w:r>
            <w:r w:rsidRPr="00F237E7">
              <w:rPr>
                <w:rFonts w:ascii="Nunito Sans" w:hAnsi="Nunito Sans"/>
                <w:spacing w:val="-7"/>
                <w:sz w:val="18"/>
                <w:szCs w:val="18"/>
              </w:rPr>
              <w:t xml:space="preserve"> </w:t>
            </w:r>
            <w:r w:rsidRPr="00F237E7">
              <w:rPr>
                <w:rFonts w:ascii="Nunito Sans" w:hAnsi="Nunito Sans"/>
                <w:sz w:val="18"/>
                <w:szCs w:val="18"/>
              </w:rPr>
              <w:t>line</w:t>
            </w:r>
            <w:r w:rsidRPr="00F237E7">
              <w:rPr>
                <w:rFonts w:ascii="Nunito Sans" w:hAnsi="Nunito Sans"/>
                <w:spacing w:val="-7"/>
                <w:sz w:val="18"/>
                <w:szCs w:val="18"/>
              </w:rPr>
              <w:t xml:space="preserve"> </w:t>
            </w:r>
            <w:r w:rsidRPr="00F237E7">
              <w:rPr>
                <w:rFonts w:ascii="Nunito Sans" w:hAnsi="Nunito Sans"/>
                <w:sz w:val="18"/>
                <w:szCs w:val="18"/>
              </w:rPr>
              <w:t>with</w:t>
            </w:r>
            <w:r w:rsidRPr="00F237E7">
              <w:rPr>
                <w:rFonts w:ascii="Nunito Sans" w:hAnsi="Nunito Sans"/>
                <w:spacing w:val="-7"/>
                <w:sz w:val="18"/>
                <w:szCs w:val="18"/>
              </w:rPr>
              <w:t xml:space="preserve"> </w:t>
            </w:r>
            <w:r w:rsidRPr="00F237E7">
              <w:rPr>
                <w:rFonts w:ascii="Nunito Sans" w:hAnsi="Nunito Sans"/>
                <w:sz w:val="18"/>
                <w:szCs w:val="18"/>
              </w:rPr>
              <w:t>the</w:t>
            </w:r>
            <w:r w:rsidRPr="00F237E7">
              <w:rPr>
                <w:rFonts w:ascii="Nunito Sans" w:hAnsi="Nunito Sans"/>
                <w:spacing w:val="-7"/>
                <w:sz w:val="18"/>
                <w:szCs w:val="18"/>
              </w:rPr>
              <w:t xml:space="preserve"> </w:t>
            </w:r>
            <w:r w:rsidRPr="00F237E7">
              <w:rPr>
                <w:rFonts w:ascii="Nunito Sans" w:hAnsi="Nunito Sans"/>
                <w:sz w:val="18"/>
                <w:szCs w:val="18"/>
              </w:rPr>
              <w:t>applicable</w:t>
            </w:r>
            <w:r w:rsidRPr="00F237E7">
              <w:rPr>
                <w:rFonts w:ascii="Nunito Sans" w:hAnsi="Nunito Sans"/>
                <w:spacing w:val="-7"/>
                <w:sz w:val="18"/>
                <w:szCs w:val="18"/>
              </w:rPr>
              <w:t xml:space="preserve"> </w:t>
            </w:r>
            <w:r w:rsidRPr="00F237E7">
              <w:rPr>
                <w:rFonts w:ascii="Nunito Sans" w:hAnsi="Nunito Sans"/>
                <w:sz w:val="18"/>
                <w:szCs w:val="18"/>
              </w:rPr>
              <w:t>KAFS</w:t>
            </w:r>
            <w:r w:rsidRPr="00F237E7">
              <w:rPr>
                <w:rFonts w:ascii="Nunito Sans" w:hAnsi="Nunito Sans"/>
                <w:spacing w:val="-7"/>
                <w:sz w:val="18"/>
                <w:szCs w:val="18"/>
              </w:rPr>
              <w:t xml:space="preserve"> </w:t>
            </w:r>
            <w:r w:rsidRPr="00F237E7">
              <w:rPr>
                <w:rFonts w:ascii="Nunito Sans" w:hAnsi="Nunito Sans"/>
                <w:sz w:val="18"/>
                <w:szCs w:val="18"/>
              </w:rPr>
              <w:t>Internal</w:t>
            </w:r>
            <w:r w:rsidRPr="00F237E7">
              <w:rPr>
                <w:rFonts w:ascii="Nunito Sans" w:hAnsi="Nunito Sans"/>
                <w:spacing w:val="-8"/>
                <w:sz w:val="18"/>
                <w:szCs w:val="18"/>
              </w:rPr>
              <w:t xml:space="preserve"> </w:t>
            </w:r>
            <w:r w:rsidRPr="00F237E7">
              <w:rPr>
                <w:rFonts w:ascii="Nunito Sans" w:hAnsi="Nunito Sans"/>
                <w:sz w:val="18"/>
                <w:szCs w:val="18"/>
              </w:rPr>
              <w:t>Technical Policy and Procedure. Below is a summary of the key assumptions made:</w:t>
            </w:r>
          </w:p>
        </w:tc>
      </w:tr>
      <w:tr w:rsidR="005D3A27" w:rsidRPr="006F03C9" w14:paraId="3BB7693B" w14:textId="77777777" w:rsidTr="00F237E7">
        <w:trPr>
          <w:trHeight w:val="345"/>
          <w:jc w:val="center"/>
        </w:trPr>
        <w:tc>
          <w:tcPr>
            <w:tcW w:w="6145" w:type="dxa"/>
          </w:tcPr>
          <w:p w14:paraId="0D66CC47" w14:textId="77777777" w:rsidR="005D3A27" w:rsidRPr="006F03C9" w:rsidRDefault="005D3A27" w:rsidP="005D3A27">
            <w:pPr>
              <w:pStyle w:val="TableParagraph"/>
              <w:spacing w:before="93"/>
              <w:ind w:left="31"/>
              <w:jc w:val="left"/>
              <w:rPr>
                <w:rFonts w:ascii="Nunito Sans SemiBold" w:hAnsi="Nunito Sans SemiBold"/>
                <w:b/>
                <w:sz w:val="18"/>
                <w:szCs w:val="18"/>
              </w:rPr>
            </w:pPr>
            <w:r w:rsidRPr="006F03C9">
              <w:rPr>
                <w:rFonts w:ascii="Nunito Sans SemiBold" w:hAnsi="Nunito Sans SemiBold"/>
                <w:b/>
                <w:color w:val="C00000"/>
                <w:spacing w:val="-6"/>
                <w:sz w:val="18"/>
                <w:szCs w:val="18"/>
              </w:rPr>
              <w:t>Key</w:t>
            </w:r>
            <w:r w:rsidRPr="006F03C9">
              <w:rPr>
                <w:rFonts w:ascii="Nunito Sans SemiBold" w:hAnsi="Nunito Sans SemiBold"/>
                <w:b/>
                <w:color w:val="C00000"/>
                <w:spacing w:val="-5"/>
                <w:sz w:val="18"/>
                <w:szCs w:val="18"/>
              </w:rPr>
              <w:t xml:space="preserve"> </w:t>
            </w:r>
            <w:r w:rsidRPr="006F03C9">
              <w:rPr>
                <w:rFonts w:ascii="Nunito Sans SemiBold" w:hAnsi="Nunito Sans SemiBold"/>
                <w:b/>
                <w:color w:val="C00000"/>
                <w:spacing w:val="-2"/>
                <w:sz w:val="18"/>
                <w:szCs w:val="18"/>
              </w:rPr>
              <w:t>Assumptions</w:t>
            </w:r>
          </w:p>
        </w:tc>
      </w:tr>
      <w:tr w:rsidR="005D3A27" w:rsidRPr="006F03C9" w14:paraId="499791B3" w14:textId="77777777" w:rsidTr="00F237E7">
        <w:trPr>
          <w:trHeight w:val="256"/>
          <w:jc w:val="center"/>
        </w:trPr>
        <w:tc>
          <w:tcPr>
            <w:tcW w:w="6145" w:type="dxa"/>
          </w:tcPr>
          <w:p w14:paraId="064CC112" w14:textId="77777777" w:rsidR="005D3A27" w:rsidRPr="003C4157" w:rsidRDefault="005D3A27">
            <w:pPr>
              <w:pStyle w:val="TableParagraph"/>
              <w:tabs>
                <w:tab w:val="left" w:pos="5515"/>
              </w:tabs>
              <w:spacing w:before="87" w:line="146" w:lineRule="exact"/>
              <w:ind w:left="31" w:right="-216"/>
              <w:rPr>
                <w:rFonts w:ascii="Nunito Sans" w:hAnsi="Nunito Sans"/>
                <w:b/>
                <w:sz w:val="18"/>
                <w:szCs w:val="18"/>
              </w:rPr>
            </w:pPr>
            <w:r w:rsidRPr="00F237E7">
              <w:rPr>
                <w:rFonts w:ascii="Nunito Sans" w:hAnsi="Nunito Sans"/>
                <w:b/>
                <w:sz w:val="18"/>
                <w:szCs w:val="18"/>
              </w:rPr>
              <w:t>1</w:t>
            </w:r>
            <w:r w:rsidRPr="00F237E7">
              <w:rPr>
                <w:rFonts w:ascii="Nunito Sans" w:hAnsi="Nunito Sans"/>
                <w:b/>
                <w:spacing w:val="42"/>
                <w:sz w:val="18"/>
                <w:szCs w:val="18"/>
              </w:rPr>
              <w:t xml:space="preserve"> </w:t>
            </w:r>
            <w:r w:rsidRPr="00F237E7">
              <w:rPr>
                <w:rFonts w:ascii="Nunito Sans" w:hAnsi="Nunito Sans"/>
                <w:b/>
                <w:sz w:val="18"/>
                <w:szCs w:val="18"/>
                <w:u w:val="single" w:color="2E5BA6"/>
              </w:rPr>
              <w:tab/>
            </w:r>
          </w:p>
        </w:tc>
      </w:tr>
      <w:tr w:rsidR="005D3A27" w:rsidRPr="006F03C9" w14:paraId="3B697196" w14:textId="77777777" w:rsidTr="00F237E7">
        <w:trPr>
          <w:trHeight w:val="173"/>
          <w:jc w:val="center"/>
        </w:trPr>
        <w:tc>
          <w:tcPr>
            <w:tcW w:w="6145" w:type="dxa"/>
          </w:tcPr>
          <w:p w14:paraId="56BD68C7"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2 </w:t>
            </w:r>
            <w:r w:rsidRPr="006F03C9">
              <w:rPr>
                <w:rFonts w:ascii="Nunito Sans" w:hAnsi="Nunito Sans"/>
                <w:b/>
                <w:sz w:val="16"/>
                <w:szCs w:val="16"/>
                <w:u w:val="single" w:color="2E5BA6"/>
              </w:rPr>
              <w:tab/>
            </w:r>
          </w:p>
        </w:tc>
      </w:tr>
      <w:tr w:rsidR="005D3A27" w:rsidRPr="006F03C9" w14:paraId="0061C54A" w14:textId="77777777" w:rsidTr="00F237E7">
        <w:trPr>
          <w:trHeight w:val="173"/>
          <w:jc w:val="center"/>
        </w:trPr>
        <w:tc>
          <w:tcPr>
            <w:tcW w:w="6145" w:type="dxa"/>
          </w:tcPr>
          <w:p w14:paraId="5737526B"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3</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005D3A27" w:rsidRPr="006F03C9" w14:paraId="730931E9" w14:textId="77777777" w:rsidTr="00F237E7">
        <w:trPr>
          <w:trHeight w:val="174"/>
          <w:jc w:val="center"/>
        </w:trPr>
        <w:tc>
          <w:tcPr>
            <w:tcW w:w="6145" w:type="dxa"/>
          </w:tcPr>
          <w:p w14:paraId="41DA695F"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4 </w:t>
            </w:r>
            <w:r w:rsidRPr="006F03C9">
              <w:rPr>
                <w:rFonts w:ascii="Nunito Sans" w:hAnsi="Nunito Sans"/>
                <w:b/>
                <w:sz w:val="16"/>
                <w:szCs w:val="16"/>
                <w:u w:val="single" w:color="2E5BA6"/>
              </w:rPr>
              <w:tab/>
            </w:r>
          </w:p>
        </w:tc>
      </w:tr>
      <w:tr w:rsidR="005D3A27" w:rsidRPr="006F03C9" w14:paraId="3E8B617C" w14:textId="77777777" w:rsidTr="00F237E7">
        <w:trPr>
          <w:trHeight w:val="339"/>
          <w:jc w:val="center"/>
        </w:trPr>
        <w:tc>
          <w:tcPr>
            <w:tcW w:w="6145" w:type="dxa"/>
          </w:tcPr>
          <w:p w14:paraId="42CC9C0C"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5 </w:t>
            </w:r>
            <w:r w:rsidRPr="006F03C9">
              <w:rPr>
                <w:rFonts w:ascii="Nunito Sans" w:hAnsi="Nunito Sans"/>
                <w:b/>
                <w:sz w:val="16"/>
                <w:szCs w:val="16"/>
                <w:u w:val="single" w:color="2E5BA6"/>
              </w:rPr>
              <w:tab/>
            </w:r>
          </w:p>
        </w:tc>
      </w:tr>
      <w:tr w:rsidR="005D3A27" w:rsidRPr="006F03C9" w14:paraId="2BF697F6" w14:textId="77777777" w:rsidTr="00F237E7">
        <w:trPr>
          <w:trHeight w:val="427"/>
          <w:jc w:val="center"/>
        </w:trPr>
        <w:tc>
          <w:tcPr>
            <w:tcW w:w="6145" w:type="dxa"/>
          </w:tcPr>
          <w:p w14:paraId="0427A5D2" w14:textId="77777777" w:rsidR="005D3A27" w:rsidRPr="00F237E7" w:rsidRDefault="005D3A27">
            <w:pPr>
              <w:pStyle w:val="TableParagraph"/>
              <w:spacing w:before="10"/>
              <w:rPr>
                <w:rFonts w:ascii="Nunito Sans" w:hAnsi="Nunito Sans"/>
                <w:b/>
                <w:sz w:val="18"/>
                <w:szCs w:val="18"/>
              </w:rPr>
            </w:pPr>
          </w:p>
          <w:p w14:paraId="00111F9E" w14:textId="77777777" w:rsidR="005D3A27" w:rsidRPr="003C4157" w:rsidRDefault="005D3A27" w:rsidP="005D3A27">
            <w:pPr>
              <w:pStyle w:val="TableParagraph"/>
              <w:tabs>
                <w:tab w:val="left" w:pos="2198"/>
              </w:tabs>
              <w:spacing w:before="1"/>
              <w:ind w:left="35"/>
              <w:jc w:val="left"/>
              <w:rPr>
                <w:rFonts w:ascii="Nunito Sans" w:hAnsi="Nunito Sans"/>
                <w:b/>
                <w:sz w:val="18"/>
                <w:szCs w:val="18"/>
              </w:rPr>
            </w:pPr>
            <w:r w:rsidRPr="00F237E7">
              <w:rPr>
                <w:rFonts w:ascii="Nunito Sans" w:hAnsi="Nunito Sans"/>
                <w:b/>
                <w:w w:val="95"/>
                <w:sz w:val="18"/>
                <w:szCs w:val="18"/>
              </w:rPr>
              <w:t>Name:</w:t>
            </w:r>
            <w:r w:rsidRPr="00F237E7">
              <w:rPr>
                <w:rFonts w:ascii="Nunito Sans" w:hAnsi="Nunito Sans"/>
                <w:b/>
                <w:spacing w:val="40"/>
                <w:w w:val="95"/>
                <w:sz w:val="18"/>
                <w:szCs w:val="18"/>
              </w:rPr>
              <w:t xml:space="preserve"> </w:t>
            </w:r>
            <w:r w:rsidRPr="00F237E7">
              <w:rPr>
                <w:rFonts w:ascii="Nunito Sans" w:hAnsi="Nunito Sans"/>
                <w:b/>
                <w:sz w:val="18"/>
                <w:szCs w:val="18"/>
                <w:u w:val="single"/>
              </w:rPr>
              <w:tab/>
            </w:r>
          </w:p>
        </w:tc>
      </w:tr>
      <w:tr w:rsidR="005D3A27" w:rsidRPr="006F03C9" w14:paraId="17DBE0C6" w14:textId="77777777" w:rsidTr="00F237E7">
        <w:trPr>
          <w:trHeight w:val="427"/>
          <w:jc w:val="center"/>
        </w:trPr>
        <w:tc>
          <w:tcPr>
            <w:tcW w:w="6145" w:type="dxa"/>
          </w:tcPr>
          <w:p w14:paraId="2E308E9D" w14:textId="77777777" w:rsidR="005D3A27" w:rsidRPr="00F237E7" w:rsidRDefault="005D3A27" w:rsidP="005D3A27">
            <w:pPr>
              <w:pStyle w:val="TableParagraph"/>
              <w:tabs>
                <w:tab w:val="left" w:pos="1588"/>
              </w:tabs>
              <w:spacing w:before="82"/>
              <w:ind w:left="98"/>
              <w:jc w:val="left"/>
              <w:rPr>
                <w:rFonts w:ascii="Nunito Sans" w:hAnsi="Nunito Sans"/>
                <w:b/>
                <w:sz w:val="18"/>
                <w:szCs w:val="18"/>
              </w:rPr>
            </w:pPr>
            <w:r w:rsidRPr="00F237E7">
              <w:rPr>
                <w:rFonts w:ascii="Nunito Sans" w:hAnsi="Nunito Sans"/>
                <w:b/>
                <w:sz w:val="18"/>
                <w:szCs w:val="18"/>
              </w:rPr>
              <w:t>Date:</w:t>
            </w:r>
            <w:r w:rsidRPr="00F237E7">
              <w:rPr>
                <w:rFonts w:ascii="Nunito Sans" w:hAnsi="Nunito Sans"/>
                <w:b/>
                <w:spacing w:val="39"/>
                <w:sz w:val="18"/>
                <w:szCs w:val="18"/>
              </w:rPr>
              <w:t xml:space="preserve"> </w:t>
            </w:r>
            <w:r w:rsidRPr="00F237E7">
              <w:rPr>
                <w:rFonts w:ascii="Nunito Sans" w:hAnsi="Nunito Sans"/>
                <w:b/>
                <w:sz w:val="18"/>
                <w:szCs w:val="18"/>
                <w:u w:val="single"/>
              </w:rPr>
              <w:tab/>
            </w:r>
          </w:p>
        </w:tc>
      </w:tr>
      <w:tr w:rsidR="00516E17" w:rsidRPr="006F03C9" w14:paraId="5407A228" w14:textId="77777777" w:rsidTr="00F237E7">
        <w:trPr>
          <w:trHeight w:val="438"/>
          <w:jc w:val="center"/>
        </w:trPr>
        <w:tc>
          <w:tcPr>
            <w:tcW w:w="6145" w:type="dxa"/>
          </w:tcPr>
          <w:p w14:paraId="694AC732" w14:textId="77777777" w:rsidR="005D3A27" w:rsidRPr="006F03C9" w:rsidRDefault="005D3A27">
            <w:pPr>
              <w:pStyle w:val="TableParagraph"/>
              <w:spacing w:before="1"/>
              <w:rPr>
                <w:rFonts w:ascii="Nunito Sans SemiBold" w:hAnsi="Nunito Sans SemiBold"/>
                <w:b/>
                <w:color w:val="0137A6"/>
                <w:sz w:val="18"/>
                <w:szCs w:val="18"/>
              </w:rPr>
            </w:pPr>
          </w:p>
          <w:p w14:paraId="74C8BD00" w14:textId="77777777" w:rsidR="005D3A27" w:rsidRPr="006F03C9" w:rsidRDefault="005D3A27" w:rsidP="005D3A27">
            <w:pPr>
              <w:pStyle w:val="TableParagraph"/>
              <w:ind w:left="31"/>
              <w:jc w:val="left"/>
              <w:rPr>
                <w:rFonts w:ascii="Nunito Sans SemiBold" w:hAnsi="Nunito Sans SemiBold"/>
                <w:b/>
                <w:color w:val="0137A6"/>
                <w:sz w:val="18"/>
                <w:szCs w:val="18"/>
              </w:rPr>
            </w:pPr>
            <w:r w:rsidRPr="006F03C9">
              <w:rPr>
                <w:rFonts w:ascii="Nunito Sans SemiBold" w:hAnsi="Nunito Sans SemiBold"/>
                <w:b/>
                <w:color w:val="0137A6"/>
                <w:w w:val="90"/>
                <w:sz w:val="18"/>
                <w:szCs w:val="18"/>
              </w:rPr>
              <w:t>Statement</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w w:val="90"/>
                <w:sz w:val="18"/>
                <w:szCs w:val="18"/>
              </w:rPr>
              <w:t>by</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w w:val="90"/>
                <w:sz w:val="18"/>
                <w:szCs w:val="18"/>
              </w:rPr>
              <w:t>Peer</w:t>
            </w:r>
            <w:r w:rsidRPr="006F03C9">
              <w:rPr>
                <w:rFonts w:ascii="Nunito Sans SemiBold" w:hAnsi="Nunito Sans SemiBold"/>
                <w:b/>
                <w:color w:val="0137A6"/>
                <w:spacing w:val="4"/>
                <w:sz w:val="18"/>
                <w:szCs w:val="18"/>
              </w:rPr>
              <w:t xml:space="preserve"> </w:t>
            </w:r>
            <w:r w:rsidRPr="006F03C9">
              <w:rPr>
                <w:rFonts w:ascii="Nunito Sans SemiBold" w:hAnsi="Nunito Sans SemiBold"/>
                <w:b/>
                <w:color w:val="0137A6"/>
                <w:spacing w:val="-2"/>
                <w:w w:val="90"/>
                <w:sz w:val="18"/>
                <w:szCs w:val="18"/>
              </w:rPr>
              <w:t>Reviewer</w:t>
            </w:r>
          </w:p>
        </w:tc>
      </w:tr>
      <w:tr w:rsidR="005D3A27" w:rsidRPr="006F03C9" w14:paraId="3BB7C8DA" w14:textId="77777777" w:rsidTr="00F237E7">
        <w:trPr>
          <w:trHeight w:val="499"/>
          <w:jc w:val="center"/>
        </w:trPr>
        <w:tc>
          <w:tcPr>
            <w:tcW w:w="6145" w:type="dxa"/>
          </w:tcPr>
          <w:p w14:paraId="43E4CDCB" w14:textId="77777777" w:rsidR="005D3A27" w:rsidRPr="00F237E7" w:rsidRDefault="005D3A27" w:rsidP="005D3A27">
            <w:pPr>
              <w:pStyle w:val="TableParagraph"/>
              <w:spacing w:before="89"/>
              <w:ind w:left="31"/>
              <w:jc w:val="left"/>
              <w:rPr>
                <w:rFonts w:ascii="Nunito Sans" w:hAnsi="Nunito Sans"/>
                <w:sz w:val="18"/>
                <w:szCs w:val="18"/>
              </w:rPr>
            </w:pPr>
            <w:r w:rsidRPr="00F237E7">
              <w:rPr>
                <w:rFonts w:ascii="Nunito Sans" w:hAnsi="Nunito Sans"/>
                <w:sz w:val="18"/>
                <w:szCs w:val="18"/>
              </w:rPr>
              <w:t>I</w:t>
            </w:r>
            <w:r w:rsidRPr="00F237E7">
              <w:rPr>
                <w:rFonts w:ascii="Nunito Sans" w:hAnsi="Nunito Sans"/>
                <w:spacing w:val="-5"/>
                <w:sz w:val="18"/>
                <w:szCs w:val="18"/>
              </w:rPr>
              <w:t xml:space="preserve"> </w:t>
            </w:r>
            <w:r w:rsidRPr="00F237E7">
              <w:rPr>
                <w:rFonts w:ascii="Nunito Sans" w:hAnsi="Nunito Sans"/>
                <w:sz w:val="18"/>
                <w:szCs w:val="18"/>
              </w:rPr>
              <w:t>have</w:t>
            </w:r>
            <w:r w:rsidRPr="00F237E7">
              <w:rPr>
                <w:rFonts w:ascii="Nunito Sans" w:hAnsi="Nunito Sans"/>
                <w:spacing w:val="-4"/>
                <w:sz w:val="18"/>
                <w:szCs w:val="18"/>
              </w:rPr>
              <w:t xml:space="preserve"> </w:t>
            </w:r>
            <w:r w:rsidRPr="00F237E7">
              <w:rPr>
                <w:rFonts w:ascii="Nunito Sans" w:hAnsi="Nunito Sans"/>
                <w:sz w:val="18"/>
                <w:szCs w:val="18"/>
              </w:rPr>
              <w:t>reviewed</w:t>
            </w:r>
            <w:r w:rsidRPr="00F237E7">
              <w:rPr>
                <w:rFonts w:ascii="Nunito Sans" w:hAnsi="Nunito Sans"/>
                <w:spacing w:val="-5"/>
                <w:sz w:val="18"/>
                <w:szCs w:val="18"/>
              </w:rPr>
              <w:t xml:space="preserve"> </w:t>
            </w:r>
            <w:r w:rsidRPr="00F237E7">
              <w:rPr>
                <w:rFonts w:ascii="Nunito Sans" w:hAnsi="Nunito Sans"/>
                <w:sz w:val="18"/>
                <w:szCs w:val="18"/>
              </w:rPr>
              <w:t>this</w:t>
            </w:r>
            <w:r w:rsidRPr="00F237E7">
              <w:rPr>
                <w:rFonts w:ascii="Nunito Sans" w:hAnsi="Nunito Sans"/>
                <w:spacing w:val="-4"/>
                <w:sz w:val="18"/>
                <w:szCs w:val="18"/>
              </w:rPr>
              <w:t xml:space="preserve"> </w:t>
            </w:r>
            <w:r w:rsidRPr="00F237E7">
              <w:rPr>
                <w:rFonts w:ascii="Nunito Sans" w:hAnsi="Nunito Sans"/>
                <w:sz w:val="18"/>
                <w:szCs w:val="18"/>
              </w:rPr>
              <w:t>work</w:t>
            </w:r>
            <w:r w:rsidRPr="00F237E7">
              <w:rPr>
                <w:rFonts w:ascii="Nunito Sans" w:hAnsi="Nunito Sans"/>
                <w:spacing w:val="-5"/>
                <w:sz w:val="18"/>
                <w:szCs w:val="18"/>
              </w:rPr>
              <w:t xml:space="preserve"> </w:t>
            </w:r>
            <w:r w:rsidRPr="00F237E7">
              <w:rPr>
                <w:rFonts w:ascii="Nunito Sans" w:hAnsi="Nunito Sans"/>
                <w:sz w:val="18"/>
                <w:szCs w:val="18"/>
              </w:rPr>
              <w:t>in</w:t>
            </w:r>
            <w:r w:rsidRPr="00F237E7">
              <w:rPr>
                <w:rFonts w:ascii="Nunito Sans" w:hAnsi="Nunito Sans"/>
                <w:spacing w:val="-4"/>
                <w:sz w:val="18"/>
                <w:szCs w:val="18"/>
              </w:rPr>
              <w:t xml:space="preserve"> </w:t>
            </w:r>
            <w:r w:rsidRPr="00F237E7">
              <w:rPr>
                <w:rFonts w:ascii="Nunito Sans" w:hAnsi="Nunito Sans"/>
                <w:sz w:val="18"/>
                <w:szCs w:val="18"/>
              </w:rPr>
              <w:t>line</w:t>
            </w:r>
            <w:r w:rsidRPr="00F237E7">
              <w:rPr>
                <w:rFonts w:ascii="Nunito Sans" w:hAnsi="Nunito Sans"/>
                <w:spacing w:val="-4"/>
                <w:sz w:val="18"/>
                <w:szCs w:val="18"/>
              </w:rPr>
              <w:t xml:space="preserve"> </w:t>
            </w:r>
            <w:r w:rsidRPr="00F237E7">
              <w:rPr>
                <w:rFonts w:ascii="Nunito Sans" w:hAnsi="Nunito Sans"/>
                <w:sz w:val="18"/>
                <w:szCs w:val="18"/>
              </w:rPr>
              <w:t>with</w:t>
            </w:r>
            <w:r w:rsidRPr="00F237E7">
              <w:rPr>
                <w:rFonts w:ascii="Nunito Sans" w:hAnsi="Nunito Sans"/>
                <w:spacing w:val="-4"/>
                <w:sz w:val="18"/>
                <w:szCs w:val="18"/>
              </w:rPr>
              <w:t xml:space="preserve"> </w:t>
            </w:r>
            <w:r w:rsidRPr="00F237E7">
              <w:rPr>
                <w:rFonts w:ascii="Nunito Sans" w:hAnsi="Nunito Sans"/>
                <w:sz w:val="18"/>
                <w:szCs w:val="18"/>
              </w:rPr>
              <w:t>the</w:t>
            </w:r>
            <w:r w:rsidRPr="00F237E7">
              <w:rPr>
                <w:rFonts w:ascii="Nunito Sans" w:hAnsi="Nunito Sans"/>
                <w:spacing w:val="-4"/>
                <w:sz w:val="18"/>
                <w:szCs w:val="18"/>
              </w:rPr>
              <w:t xml:space="preserve"> </w:t>
            </w:r>
            <w:r w:rsidRPr="00F237E7">
              <w:rPr>
                <w:rFonts w:ascii="Nunito Sans" w:hAnsi="Nunito Sans"/>
                <w:sz w:val="18"/>
                <w:szCs w:val="18"/>
              </w:rPr>
              <w:t>KAFS</w:t>
            </w:r>
            <w:r w:rsidRPr="00F237E7">
              <w:rPr>
                <w:rFonts w:ascii="Nunito Sans" w:hAnsi="Nunito Sans"/>
                <w:spacing w:val="-4"/>
                <w:sz w:val="18"/>
                <w:szCs w:val="18"/>
              </w:rPr>
              <w:t xml:space="preserve"> </w:t>
            </w:r>
            <w:r w:rsidRPr="00F237E7">
              <w:rPr>
                <w:rFonts w:ascii="Nunito Sans" w:hAnsi="Nunito Sans"/>
                <w:sz w:val="18"/>
                <w:szCs w:val="18"/>
              </w:rPr>
              <w:t>Work</w:t>
            </w:r>
            <w:r w:rsidRPr="00F237E7">
              <w:rPr>
                <w:rFonts w:ascii="Nunito Sans" w:hAnsi="Nunito Sans"/>
                <w:spacing w:val="-5"/>
                <w:sz w:val="18"/>
                <w:szCs w:val="18"/>
              </w:rPr>
              <w:t xml:space="preserve"> </w:t>
            </w:r>
            <w:r w:rsidRPr="00F237E7">
              <w:rPr>
                <w:rFonts w:ascii="Nunito Sans" w:hAnsi="Nunito Sans"/>
                <w:sz w:val="18"/>
                <w:szCs w:val="18"/>
              </w:rPr>
              <w:t>Review</w:t>
            </w:r>
            <w:r w:rsidRPr="00F237E7">
              <w:rPr>
                <w:rFonts w:ascii="Nunito Sans" w:hAnsi="Nunito Sans"/>
                <w:spacing w:val="-6"/>
                <w:sz w:val="18"/>
                <w:szCs w:val="18"/>
              </w:rPr>
              <w:t xml:space="preserve"> </w:t>
            </w:r>
            <w:r w:rsidRPr="00F237E7">
              <w:rPr>
                <w:rFonts w:ascii="Nunito Sans" w:hAnsi="Nunito Sans"/>
                <w:sz w:val="18"/>
                <w:szCs w:val="18"/>
              </w:rPr>
              <w:t>Policy</w:t>
            </w:r>
            <w:r w:rsidRPr="00F237E7">
              <w:rPr>
                <w:rFonts w:ascii="Nunito Sans" w:hAnsi="Nunito Sans"/>
                <w:spacing w:val="-4"/>
                <w:sz w:val="18"/>
                <w:szCs w:val="18"/>
              </w:rPr>
              <w:t xml:space="preserve"> </w:t>
            </w:r>
            <w:r w:rsidRPr="00F237E7">
              <w:rPr>
                <w:rFonts w:ascii="Nunito Sans" w:hAnsi="Nunito Sans"/>
                <w:sz w:val="18"/>
                <w:szCs w:val="18"/>
              </w:rPr>
              <w:t>and</w:t>
            </w:r>
            <w:r w:rsidRPr="00F237E7">
              <w:rPr>
                <w:rFonts w:ascii="Nunito Sans" w:hAnsi="Nunito Sans"/>
                <w:spacing w:val="-5"/>
                <w:sz w:val="18"/>
                <w:szCs w:val="18"/>
              </w:rPr>
              <w:t xml:space="preserve"> </w:t>
            </w:r>
            <w:r w:rsidRPr="00F237E7">
              <w:rPr>
                <w:rFonts w:ascii="Nunito Sans" w:hAnsi="Nunito Sans"/>
                <w:sz w:val="18"/>
                <w:szCs w:val="18"/>
              </w:rPr>
              <w:t>discussed</w:t>
            </w:r>
            <w:r w:rsidRPr="00F237E7">
              <w:rPr>
                <w:rFonts w:ascii="Nunito Sans" w:hAnsi="Nunito Sans"/>
                <w:spacing w:val="-5"/>
                <w:sz w:val="18"/>
                <w:szCs w:val="18"/>
              </w:rPr>
              <w:t xml:space="preserve"> </w:t>
            </w:r>
            <w:r w:rsidRPr="00F237E7">
              <w:rPr>
                <w:rFonts w:ascii="Nunito Sans" w:hAnsi="Nunito Sans"/>
                <w:sz w:val="18"/>
                <w:szCs w:val="18"/>
              </w:rPr>
              <w:t>all</w:t>
            </w:r>
            <w:r w:rsidRPr="00F237E7">
              <w:rPr>
                <w:rFonts w:ascii="Nunito Sans" w:hAnsi="Nunito Sans"/>
                <w:spacing w:val="-4"/>
                <w:sz w:val="18"/>
                <w:szCs w:val="18"/>
              </w:rPr>
              <w:t xml:space="preserve"> </w:t>
            </w:r>
            <w:r w:rsidRPr="00F237E7">
              <w:rPr>
                <w:rFonts w:ascii="Nunito Sans" w:hAnsi="Nunito Sans"/>
                <w:sz w:val="18"/>
                <w:szCs w:val="18"/>
              </w:rPr>
              <w:t>issues encountered with the Lead Analyst. Below are my review comments:</w:t>
            </w:r>
          </w:p>
        </w:tc>
      </w:tr>
      <w:tr w:rsidR="005D3A27" w:rsidRPr="006F03C9" w14:paraId="046699AC" w14:textId="77777777" w:rsidTr="00F237E7">
        <w:trPr>
          <w:trHeight w:val="338"/>
          <w:jc w:val="center"/>
        </w:trPr>
        <w:tc>
          <w:tcPr>
            <w:tcW w:w="6145" w:type="dxa"/>
          </w:tcPr>
          <w:p w14:paraId="14A12073" w14:textId="77777777" w:rsidR="005D3A27" w:rsidRPr="006F03C9" w:rsidRDefault="005D3A27" w:rsidP="005D3A27">
            <w:pPr>
              <w:pStyle w:val="TableParagraph"/>
              <w:spacing w:before="87"/>
              <w:ind w:left="31"/>
              <w:jc w:val="left"/>
              <w:rPr>
                <w:rFonts w:ascii="Nunito Sans SemiBold" w:hAnsi="Nunito Sans SemiBold"/>
                <w:b/>
                <w:sz w:val="18"/>
                <w:szCs w:val="18"/>
              </w:rPr>
            </w:pPr>
            <w:r w:rsidRPr="006F03C9">
              <w:rPr>
                <w:rFonts w:ascii="Nunito Sans SemiBold" w:hAnsi="Nunito Sans SemiBold"/>
                <w:b/>
                <w:color w:val="C00000"/>
                <w:spacing w:val="-2"/>
                <w:w w:val="90"/>
                <w:sz w:val="18"/>
                <w:szCs w:val="18"/>
              </w:rPr>
              <w:t>Review</w:t>
            </w:r>
            <w:r w:rsidRPr="006F03C9">
              <w:rPr>
                <w:rFonts w:ascii="Nunito Sans SemiBold" w:hAnsi="Nunito Sans SemiBold"/>
                <w:b/>
                <w:color w:val="C00000"/>
                <w:sz w:val="18"/>
                <w:szCs w:val="18"/>
              </w:rPr>
              <w:t xml:space="preserve"> </w:t>
            </w:r>
            <w:r w:rsidRPr="006F03C9">
              <w:rPr>
                <w:rFonts w:ascii="Nunito Sans SemiBold" w:hAnsi="Nunito Sans SemiBold"/>
                <w:b/>
                <w:color w:val="C00000"/>
                <w:spacing w:val="-2"/>
                <w:sz w:val="18"/>
                <w:szCs w:val="18"/>
              </w:rPr>
              <w:t>Comments</w:t>
            </w:r>
          </w:p>
        </w:tc>
      </w:tr>
      <w:tr w:rsidR="005D3A27" w:rsidRPr="006F03C9" w14:paraId="08D882B7" w14:textId="77777777" w:rsidTr="00F237E7">
        <w:trPr>
          <w:trHeight w:val="255"/>
          <w:jc w:val="center"/>
        </w:trPr>
        <w:tc>
          <w:tcPr>
            <w:tcW w:w="6145" w:type="dxa"/>
          </w:tcPr>
          <w:p w14:paraId="6F22104E"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1</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005D3A27" w:rsidRPr="006F03C9" w14:paraId="35A75A0E" w14:textId="77777777" w:rsidTr="00F237E7">
        <w:trPr>
          <w:trHeight w:val="173"/>
          <w:jc w:val="center"/>
        </w:trPr>
        <w:tc>
          <w:tcPr>
            <w:tcW w:w="6145" w:type="dxa"/>
          </w:tcPr>
          <w:p w14:paraId="751B5C0D"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2</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005D3A27" w:rsidRPr="006F03C9" w14:paraId="7B4AEACD" w14:textId="77777777" w:rsidTr="00F237E7">
        <w:trPr>
          <w:trHeight w:val="174"/>
          <w:jc w:val="center"/>
        </w:trPr>
        <w:tc>
          <w:tcPr>
            <w:tcW w:w="6145" w:type="dxa"/>
          </w:tcPr>
          <w:p w14:paraId="7036A453"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3</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005D3A27" w:rsidRPr="006F03C9" w14:paraId="2911DA6D" w14:textId="77777777" w:rsidTr="00F237E7">
        <w:trPr>
          <w:trHeight w:val="174"/>
          <w:jc w:val="center"/>
        </w:trPr>
        <w:tc>
          <w:tcPr>
            <w:tcW w:w="6145" w:type="dxa"/>
          </w:tcPr>
          <w:p w14:paraId="041EB4FC"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4</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005D3A27" w:rsidRPr="006F03C9" w14:paraId="58D3A375" w14:textId="77777777" w:rsidTr="00F237E7">
        <w:trPr>
          <w:trHeight w:val="338"/>
          <w:jc w:val="center"/>
        </w:trPr>
        <w:tc>
          <w:tcPr>
            <w:tcW w:w="6145" w:type="dxa"/>
          </w:tcPr>
          <w:p w14:paraId="2CF547E3" w14:textId="77777777" w:rsidR="005D3A27" w:rsidRPr="003C4157" w:rsidRDefault="005D3A27" w:rsidP="00F237E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5 </w:t>
            </w:r>
            <w:r w:rsidRPr="006F03C9">
              <w:rPr>
                <w:rFonts w:ascii="Nunito Sans" w:hAnsi="Nunito Sans"/>
                <w:b/>
                <w:sz w:val="16"/>
                <w:szCs w:val="16"/>
                <w:u w:val="single" w:color="2E5BA6"/>
              </w:rPr>
              <w:tab/>
            </w:r>
          </w:p>
        </w:tc>
      </w:tr>
      <w:tr w:rsidR="005D3A27" w:rsidRPr="006F03C9" w14:paraId="209E0A4F" w14:textId="77777777" w:rsidTr="00F237E7">
        <w:trPr>
          <w:trHeight w:val="428"/>
          <w:jc w:val="center"/>
        </w:trPr>
        <w:tc>
          <w:tcPr>
            <w:tcW w:w="6145" w:type="dxa"/>
          </w:tcPr>
          <w:p w14:paraId="4A32B118" w14:textId="77777777" w:rsidR="005D3A27" w:rsidRPr="00F237E7" w:rsidRDefault="005D3A27">
            <w:pPr>
              <w:pStyle w:val="TableParagraph"/>
              <w:spacing w:before="10"/>
              <w:rPr>
                <w:rFonts w:ascii="Nunito Sans" w:hAnsi="Nunito Sans"/>
                <w:b/>
                <w:sz w:val="18"/>
                <w:szCs w:val="18"/>
              </w:rPr>
            </w:pPr>
          </w:p>
          <w:p w14:paraId="15C0CDA6" w14:textId="77777777" w:rsidR="005D3A27" w:rsidRPr="003C4157" w:rsidRDefault="005D3A27" w:rsidP="005D3A27">
            <w:pPr>
              <w:pStyle w:val="TableParagraph"/>
              <w:tabs>
                <w:tab w:val="left" w:pos="2198"/>
              </w:tabs>
              <w:spacing w:before="1"/>
              <w:ind w:left="35"/>
              <w:jc w:val="left"/>
              <w:rPr>
                <w:rFonts w:ascii="Nunito Sans" w:hAnsi="Nunito Sans"/>
                <w:b/>
                <w:sz w:val="18"/>
                <w:szCs w:val="18"/>
              </w:rPr>
            </w:pPr>
            <w:r w:rsidRPr="00F237E7">
              <w:rPr>
                <w:rFonts w:ascii="Nunito Sans" w:hAnsi="Nunito Sans"/>
                <w:b/>
                <w:w w:val="95"/>
                <w:sz w:val="18"/>
                <w:szCs w:val="18"/>
              </w:rPr>
              <w:t>Name:</w:t>
            </w:r>
            <w:r w:rsidRPr="00F237E7">
              <w:rPr>
                <w:rFonts w:ascii="Nunito Sans" w:hAnsi="Nunito Sans"/>
                <w:b/>
                <w:spacing w:val="40"/>
                <w:w w:val="95"/>
                <w:sz w:val="18"/>
                <w:szCs w:val="18"/>
              </w:rPr>
              <w:t xml:space="preserve"> </w:t>
            </w:r>
            <w:r w:rsidRPr="00F237E7">
              <w:rPr>
                <w:rFonts w:ascii="Nunito Sans" w:hAnsi="Nunito Sans"/>
                <w:b/>
                <w:sz w:val="18"/>
                <w:szCs w:val="18"/>
                <w:u w:val="single"/>
              </w:rPr>
              <w:tab/>
            </w:r>
          </w:p>
        </w:tc>
      </w:tr>
      <w:tr w:rsidR="005D3A27" w:rsidRPr="006F03C9" w14:paraId="5B809783" w14:textId="77777777" w:rsidTr="00F237E7">
        <w:trPr>
          <w:trHeight w:val="426"/>
          <w:jc w:val="center"/>
        </w:trPr>
        <w:tc>
          <w:tcPr>
            <w:tcW w:w="6145" w:type="dxa"/>
          </w:tcPr>
          <w:p w14:paraId="69FE4A98" w14:textId="77777777" w:rsidR="005D3A27" w:rsidRPr="00F237E7" w:rsidRDefault="005D3A27" w:rsidP="005D3A27">
            <w:pPr>
              <w:pStyle w:val="TableParagraph"/>
              <w:tabs>
                <w:tab w:val="left" w:pos="1588"/>
              </w:tabs>
              <w:spacing w:before="83"/>
              <w:ind w:left="98"/>
              <w:jc w:val="left"/>
              <w:rPr>
                <w:rFonts w:ascii="Nunito Sans" w:hAnsi="Nunito Sans"/>
                <w:b/>
                <w:sz w:val="18"/>
                <w:szCs w:val="18"/>
              </w:rPr>
            </w:pPr>
            <w:r w:rsidRPr="00F237E7">
              <w:rPr>
                <w:rFonts w:ascii="Nunito Sans" w:hAnsi="Nunito Sans"/>
                <w:b/>
                <w:sz w:val="18"/>
                <w:szCs w:val="18"/>
              </w:rPr>
              <w:t>Date:</w:t>
            </w:r>
            <w:r w:rsidRPr="00F237E7">
              <w:rPr>
                <w:rFonts w:ascii="Nunito Sans" w:hAnsi="Nunito Sans"/>
                <w:b/>
                <w:spacing w:val="39"/>
                <w:sz w:val="18"/>
                <w:szCs w:val="18"/>
              </w:rPr>
              <w:t xml:space="preserve"> </w:t>
            </w:r>
            <w:r w:rsidRPr="00F237E7">
              <w:rPr>
                <w:rFonts w:ascii="Nunito Sans" w:hAnsi="Nunito Sans"/>
                <w:b/>
                <w:sz w:val="18"/>
                <w:szCs w:val="18"/>
                <w:u w:val="single"/>
              </w:rPr>
              <w:tab/>
            </w:r>
          </w:p>
        </w:tc>
      </w:tr>
      <w:tr w:rsidR="00516E17" w:rsidRPr="006F03C9" w14:paraId="43D20A66" w14:textId="77777777" w:rsidTr="00F237E7">
        <w:trPr>
          <w:trHeight w:val="438"/>
          <w:jc w:val="center"/>
        </w:trPr>
        <w:tc>
          <w:tcPr>
            <w:tcW w:w="6145" w:type="dxa"/>
          </w:tcPr>
          <w:p w14:paraId="6F4164D0" w14:textId="77777777" w:rsidR="005D3A27" w:rsidRPr="006F03C9" w:rsidRDefault="005D3A27">
            <w:pPr>
              <w:pStyle w:val="TableParagraph"/>
              <w:spacing w:before="1"/>
              <w:rPr>
                <w:rFonts w:ascii="Nunito Sans SemiBold" w:hAnsi="Nunito Sans SemiBold"/>
                <w:b/>
                <w:color w:val="0137A6"/>
                <w:sz w:val="18"/>
                <w:szCs w:val="18"/>
              </w:rPr>
            </w:pPr>
          </w:p>
          <w:p w14:paraId="3AC572CE" w14:textId="77777777" w:rsidR="005D3A27" w:rsidRPr="006F03C9" w:rsidRDefault="005D3A27" w:rsidP="005D3A27">
            <w:pPr>
              <w:pStyle w:val="TableParagraph"/>
              <w:ind w:left="31"/>
              <w:jc w:val="left"/>
              <w:rPr>
                <w:rFonts w:ascii="Nunito Sans SemiBold" w:hAnsi="Nunito Sans SemiBold"/>
                <w:b/>
                <w:color w:val="0137A6"/>
                <w:sz w:val="18"/>
                <w:szCs w:val="18"/>
              </w:rPr>
            </w:pPr>
            <w:r w:rsidRPr="006F03C9">
              <w:rPr>
                <w:rFonts w:ascii="Nunito Sans SemiBold" w:hAnsi="Nunito Sans SemiBold"/>
                <w:b/>
                <w:color w:val="0137A6"/>
                <w:w w:val="90"/>
                <w:sz w:val="18"/>
                <w:szCs w:val="18"/>
              </w:rPr>
              <w:t>Statement</w:t>
            </w:r>
            <w:r w:rsidRPr="006F03C9">
              <w:rPr>
                <w:rFonts w:ascii="Nunito Sans SemiBold" w:hAnsi="Nunito Sans SemiBold"/>
                <w:b/>
                <w:color w:val="0137A6"/>
                <w:spacing w:val="1"/>
                <w:sz w:val="18"/>
                <w:szCs w:val="18"/>
              </w:rPr>
              <w:t xml:space="preserve"> </w:t>
            </w:r>
            <w:r w:rsidRPr="006F03C9">
              <w:rPr>
                <w:rFonts w:ascii="Nunito Sans SemiBold" w:hAnsi="Nunito Sans SemiBold"/>
                <w:b/>
                <w:color w:val="0137A6"/>
                <w:w w:val="90"/>
                <w:sz w:val="18"/>
                <w:szCs w:val="18"/>
              </w:rPr>
              <w:t>by</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spacing w:val="-2"/>
                <w:w w:val="90"/>
                <w:sz w:val="18"/>
                <w:szCs w:val="18"/>
              </w:rPr>
              <w:t>Supervisor</w:t>
            </w:r>
          </w:p>
        </w:tc>
      </w:tr>
      <w:tr w:rsidR="005D3A27" w:rsidRPr="006F03C9" w14:paraId="68607B21" w14:textId="77777777" w:rsidTr="00F237E7">
        <w:trPr>
          <w:trHeight w:val="498"/>
          <w:jc w:val="center"/>
        </w:trPr>
        <w:tc>
          <w:tcPr>
            <w:tcW w:w="6145" w:type="dxa"/>
          </w:tcPr>
          <w:p w14:paraId="6BE5C26B" w14:textId="77777777" w:rsidR="005D3A27" w:rsidRPr="003C4157" w:rsidRDefault="005D3A27" w:rsidP="005D3A27">
            <w:pPr>
              <w:pStyle w:val="TableParagraph"/>
              <w:spacing w:before="89"/>
              <w:ind w:left="31"/>
              <w:jc w:val="left"/>
              <w:rPr>
                <w:rFonts w:ascii="Nunito Sans" w:hAnsi="Nunito Sans"/>
                <w:sz w:val="18"/>
                <w:szCs w:val="18"/>
              </w:rPr>
            </w:pPr>
            <w:r w:rsidRPr="006F03C9">
              <w:rPr>
                <w:rFonts w:ascii="Nunito Sans" w:hAnsi="Nunito Sans"/>
                <w:sz w:val="18"/>
                <w:szCs w:val="18"/>
              </w:rPr>
              <w:t>I</w:t>
            </w:r>
            <w:r w:rsidRPr="006F03C9">
              <w:rPr>
                <w:rFonts w:ascii="Nunito Sans" w:hAnsi="Nunito Sans"/>
                <w:spacing w:val="-10"/>
                <w:sz w:val="18"/>
                <w:szCs w:val="18"/>
              </w:rPr>
              <w:t xml:space="preserve"> </w:t>
            </w:r>
            <w:r w:rsidRPr="006F03C9">
              <w:rPr>
                <w:rFonts w:ascii="Nunito Sans" w:hAnsi="Nunito Sans"/>
                <w:sz w:val="18"/>
                <w:szCs w:val="18"/>
              </w:rPr>
              <w:t>have</w:t>
            </w:r>
            <w:r w:rsidRPr="006F03C9">
              <w:rPr>
                <w:rFonts w:ascii="Nunito Sans" w:hAnsi="Nunito Sans"/>
                <w:spacing w:val="-9"/>
                <w:sz w:val="18"/>
                <w:szCs w:val="18"/>
              </w:rPr>
              <w:t xml:space="preserve"> </w:t>
            </w:r>
            <w:r w:rsidRPr="006F03C9">
              <w:rPr>
                <w:rFonts w:ascii="Nunito Sans" w:hAnsi="Nunito Sans"/>
                <w:sz w:val="18"/>
                <w:szCs w:val="18"/>
              </w:rPr>
              <w:t>reviewed</w:t>
            </w:r>
            <w:r w:rsidRPr="006F03C9">
              <w:rPr>
                <w:rFonts w:ascii="Nunito Sans" w:hAnsi="Nunito Sans"/>
                <w:spacing w:val="-10"/>
                <w:sz w:val="18"/>
                <w:szCs w:val="18"/>
              </w:rPr>
              <w:t xml:space="preserve"> </w:t>
            </w:r>
            <w:r w:rsidRPr="006F03C9">
              <w:rPr>
                <w:rFonts w:ascii="Nunito Sans" w:hAnsi="Nunito Sans"/>
                <w:sz w:val="18"/>
                <w:szCs w:val="18"/>
              </w:rPr>
              <w:t>this</w:t>
            </w:r>
            <w:r w:rsidRPr="006F03C9">
              <w:rPr>
                <w:rFonts w:ascii="Nunito Sans" w:hAnsi="Nunito Sans"/>
                <w:spacing w:val="-9"/>
                <w:sz w:val="18"/>
                <w:szCs w:val="18"/>
              </w:rPr>
              <w:t xml:space="preserve"> </w:t>
            </w:r>
            <w:r w:rsidRPr="006F03C9">
              <w:rPr>
                <w:rFonts w:ascii="Nunito Sans" w:hAnsi="Nunito Sans"/>
                <w:sz w:val="18"/>
                <w:szCs w:val="18"/>
              </w:rPr>
              <w:t>work</w:t>
            </w:r>
            <w:r w:rsidRPr="006F03C9">
              <w:rPr>
                <w:rFonts w:ascii="Nunito Sans" w:hAnsi="Nunito Sans"/>
                <w:spacing w:val="-10"/>
                <w:sz w:val="18"/>
                <w:szCs w:val="18"/>
              </w:rPr>
              <w:t xml:space="preserve"> </w:t>
            </w:r>
            <w:r w:rsidRPr="006F03C9">
              <w:rPr>
                <w:rFonts w:ascii="Nunito Sans" w:hAnsi="Nunito Sans"/>
                <w:sz w:val="18"/>
                <w:szCs w:val="18"/>
              </w:rPr>
              <w:t>and</w:t>
            </w:r>
            <w:r w:rsidRPr="006F03C9">
              <w:rPr>
                <w:rFonts w:ascii="Nunito Sans" w:hAnsi="Nunito Sans"/>
                <w:spacing w:val="-9"/>
                <w:sz w:val="18"/>
                <w:szCs w:val="18"/>
              </w:rPr>
              <w:t xml:space="preserve"> </w:t>
            </w:r>
            <w:r w:rsidRPr="006F03C9">
              <w:rPr>
                <w:rFonts w:ascii="Nunito Sans" w:hAnsi="Nunito Sans"/>
                <w:sz w:val="18"/>
                <w:szCs w:val="18"/>
              </w:rPr>
              <w:t>discussed</w:t>
            </w:r>
            <w:r w:rsidRPr="006F03C9">
              <w:rPr>
                <w:rFonts w:ascii="Nunito Sans" w:hAnsi="Nunito Sans"/>
                <w:spacing w:val="-10"/>
                <w:sz w:val="18"/>
                <w:szCs w:val="18"/>
              </w:rPr>
              <w:t xml:space="preserve"> </w:t>
            </w:r>
            <w:r w:rsidRPr="006F03C9">
              <w:rPr>
                <w:rFonts w:ascii="Nunito Sans" w:hAnsi="Nunito Sans"/>
                <w:sz w:val="18"/>
                <w:szCs w:val="18"/>
              </w:rPr>
              <w:t>the</w:t>
            </w:r>
            <w:r w:rsidRPr="006F03C9">
              <w:rPr>
                <w:rFonts w:ascii="Nunito Sans" w:hAnsi="Nunito Sans"/>
                <w:spacing w:val="-9"/>
                <w:sz w:val="18"/>
                <w:szCs w:val="18"/>
              </w:rPr>
              <w:t xml:space="preserve"> </w:t>
            </w:r>
            <w:r w:rsidRPr="006F03C9">
              <w:rPr>
                <w:rFonts w:ascii="Nunito Sans" w:hAnsi="Nunito Sans"/>
                <w:sz w:val="18"/>
                <w:szCs w:val="18"/>
              </w:rPr>
              <w:t>issues</w:t>
            </w:r>
            <w:r w:rsidRPr="006F03C9">
              <w:rPr>
                <w:rFonts w:ascii="Nunito Sans" w:hAnsi="Nunito Sans"/>
                <w:spacing w:val="-9"/>
                <w:sz w:val="18"/>
                <w:szCs w:val="18"/>
              </w:rPr>
              <w:t xml:space="preserve"> </w:t>
            </w:r>
            <w:r w:rsidRPr="006F03C9">
              <w:rPr>
                <w:rFonts w:ascii="Nunito Sans" w:hAnsi="Nunito Sans"/>
                <w:sz w:val="18"/>
                <w:szCs w:val="18"/>
              </w:rPr>
              <w:t>encountered</w:t>
            </w:r>
            <w:r w:rsidRPr="006F03C9">
              <w:rPr>
                <w:rFonts w:ascii="Nunito Sans" w:hAnsi="Nunito Sans"/>
                <w:spacing w:val="-10"/>
                <w:sz w:val="18"/>
                <w:szCs w:val="18"/>
              </w:rPr>
              <w:t xml:space="preserve"> </w:t>
            </w:r>
            <w:r w:rsidRPr="006F03C9">
              <w:rPr>
                <w:rFonts w:ascii="Nunito Sans" w:hAnsi="Nunito Sans"/>
                <w:sz w:val="18"/>
                <w:szCs w:val="18"/>
              </w:rPr>
              <w:t>and</w:t>
            </w:r>
            <w:r w:rsidRPr="006F03C9">
              <w:rPr>
                <w:rFonts w:ascii="Nunito Sans" w:hAnsi="Nunito Sans"/>
                <w:spacing w:val="-10"/>
                <w:sz w:val="18"/>
                <w:szCs w:val="18"/>
              </w:rPr>
              <w:t xml:space="preserve"> </w:t>
            </w:r>
            <w:r w:rsidRPr="006F03C9">
              <w:rPr>
                <w:rFonts w:ascii="Nunito Sans" w:hAnsi="Nunito Sans"/>
                <w:sz w:val="18"/>
                <w:szCs w:val="18"/>
              </w:rPr>
              <w:t>the</w:t>
            </w:r>
            <w:r w:rsidRPr="006F03C9">
              <w:rPr>
                <w:rFonts w:ascii="Nunito Sans" w:hAnsi="Nunito Sans"/>
                <w:spacing w:val="-9"/>
                <w:sz w:val="18"/>
                <w:szCs w:val="18"/>
              </w:rPr>
              <w:t xml:space="preserve"> </w:t>
            </w:r>
            <w:r w:rsidRPr="006F03C9">
              <w:rPr>
                <w:rFonts w:ascii="Nunito Sans" w:hAnsi="Nunito Sans"/>
                <w:sz w:val="18"/>
                <w:szCs w:val="18"/>
              </w:rPr>
              <w:t>key</w:t>
            </w:r>
            <w:r w:rsidRPr="006F03C9">
              <w:rPr>
                <w:rFonts w:ascii="Nunito Sans" w:hAnsi="Nunito Sans"/>
                <w:spacing w:val="-9"/>
                <w:sz w:val="18"/>
                <w:szCs w:val="18"/>
              </w:rPr>
              <w:t xml:space="preserve"> </w:t>
            </w:r>
            <w:r w:rsidRPr="006F03C9">
              <w:rPr>
                <w:rFonts w:ascii="Nunito Sans" w:hAnsi="Nunito Sans"/>
                <w:sz w:val="18"/>
                <w:szCs w:val="18"/>
              </w:rPr>
              <w:t>assumptions made by the Lead Analyst. I confirm that the results are in order.</w:t>
            </w:r>
          </w:p>
        </w:tc>
      </w:tr>
      <w:tr w:rsidR="005D3A27" w:rsidRPr="006F03C9" w14:paraId="0B688541" w14:textId="77777777" w:rsidTr="00F237E7">
        <w:trPr>
          <w:trHeight w:val="345"/>
          <w:jc w:val="center"/>
        </w:trPr>
        <w:tc>
          <w:tcPr>
            <w:tcW w:w="6145" w:type="dxa"/>
          </w:tcPr>
          <w:p w14:paraId="58608F5B" w14:textId="77777777" w:rsidR="005D3A27" w:rsidRPr="003C4157" w:rsidRDefault="005D3A27" w:rsidP="005D3A27">
            <w:pPr>
              <w:pStyle w:val="TableParagraph"/>
              <w:tabs>
                <w:tab w:val="left" w:pos="2198"/>
              </w:tabs>
              <w:spacing w:before="87"/>
              <w:ind w:left="35"/>
              <w:jc w:val="left"/>
              <w:rPr>
                <w:rFonts w:ascii="Nunito Sans" w:hAnsi="Nunito Sans"/>
                <w:b/>
                <w:sz w:val="18"/>
                <w:szCs w:val="18"/>
              </w:rPr>
            </w:pPr>
            <w:r w:rsidRPr="00F237E7">
              <w:rPr>
                <w:rFonts w:ascii="Nunito Sans" w:hAnsi="Nunito Sans"/>
                <w:b/>
                <w:w w:val="95"/>
                <w:sz w:val="18"/>
                <w:szCs w:val="18"/>
              </w:rPr>
              <w:t>Name:</w:t>
            </w:r>
            <w:r w:rsidRPr="00F237E7">
              <w:rPr>
                <w:rFonts w:ascii="Nunito Sans" w:hAnsi="Nunito Sans"/>
                <w:b/>
                <w:spacing w:val="40"/>
                <w:w w:val="95"/>
                <w:sz w:val="18"/>
                <w:szCs w:val="18"/>
              </w:rPr>
              <w:t xml:space="preserve"> </w:t>
            </w:r>
            <w:r w:rsidRPr="00F237E7">
              <w:rPr>
                <w:rFonts w:ascii="Nunito Sans" w:hAnsi="Nunito Sans"/>
                <w:b/>
                <w:sz w:val="18"/>
                <w:szCs w:val="18"/>
                <w:u w:val="single"/>
              </w:rPr>
              <w:tab/>
            </w:r>
          </w:p>
        </w:tc>
      </w:tr>
      <w:tr w:rsidR="005D3A27" w:rsidRPr="006F03C9" w14:paraId="246F194D" w14:textId="77777777" w:rsidTr="00F237E7">
        <w:trPr>
          <w:trHeight w:val="243"/>
          <w:jc w:val="center"/>
        </w:trPr>
        <w:tc>
          <w:tcPr>
            <w:tcW w:w="6145" w:type="dxa"/>
          </w:tcPr>
          <w:p w14:paraId="43CCD75E" w14:textId="77777777" w:rsidR="005D3A27" w:rsidRPr="00F237E7" w:rsidRDefault="005D3A27" w:rsidP="005D3A27">
            <w:pPr>
              <w:pStyle w:val="TableParagraph"/>
              <w:tabs>
                <w:tab w:val="left" w:pos="1588"/>
              </w:tabs>
              <w:spacing w:before="83" w:line="138" w:lineRule="exact"/>
              <w:ind w:left="98"/>
              <w:jc w:val="left"/>
              <w:rPr>
                <w:rFonts w:ascii="Nunito Sans" w:hAnsi="Nunito Sans"/>
                <w:b/>
                <w:sz w:val="18"/>
                <w:szCs w:val="18"/>
              </w:rPr>
            </w:pPr>
            <w:r w:rsidRPr="00F237E7">
              <w:rPr>
                <w:rFonts w:ascii="Nunito Sans" w:hAnsi="Nunito Sans"/>
                <w:b/>
                <w:sz w:val="18"/>
                <w:szCs w:val="18"/>
              </w:rPr>
              <w:t>Date:</w:t>
            </w:r>
            <w:r w:rsidRPr="00F237E7">
              <w:rPr>
                <w:rFonts w:ascii="Nunito Sans" w:hAnsi="Nunito Sans"/>
                <w:b/>
                <w:spacing w:val="39"/>
                <w:sz w:val="18"/>
                <w:szCs w:val="18"/>
              </w:rPr>
              <w:t xml:space="preserve"> </w:t>
            </w:r>
            <w:r w:rsidRPr="00F237E7">
              <w:rPr>
                <w:rFonts w:ascii="Nunito Sans" w:hAnsi="Nunito Sans"/>
                <w:b/>
                <w:sz w:val="18"/>
                <w:szCs w:val="18"/>
                <w:u w:val="single"/>
              </w:rPr>
              <w:tab/>
            </w:r>
          </w:p>
        </w:tc>
      </w:tr>
    </w:tbl>
    <w:p w14:paraId="0A85F1CC" w14:textId="77777777" w:rsidR="00F1195C" w:rsidRPr="006F03C9" w:rsidRDefault="00F1195C">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742A00D9" w14:textId="748355D7" w:rsidR="005D77E6" w:rsidRPr="006F03C9" w:rsidRDefault="005D3A27" w:rsidP="00753591">
      <w:pPr>
        <w:pStyle w:val="Heading1"/>
        <w:numPr>
          <w:ilvl w:val="0"/>
          <w:numId w:val="6"/>
        </w:numPr>
        <w:tabs>
          <w:tab w:val="num" w:pos="360"/>
        </w:tabs>
        <w:ind w:left="720" w:hanging="540"/>
        <w:rPr>
          <w:rFonts w:ascii="Nunito Sans Black" w:hAnsi="Nunito Sans Black"/>
        </w:rPr>
      </w:pPr>
      <w:bookmarkStart w:id="39" w:name="_Toc210138996"/>
      <w:bookmarkEnd w:id="9"/>
      <w:r w:rsidRPr="006F03C9">
        <w:rPr>
          <w:rFonts w:ascii="Nunito Sans Black" w:hAnsi="Nunito Sans Black"/>
        </w:rPr>
        <w:lastRenderedPageBreak/>
        <w:t>APPROVAL</w:t>
      </w:r>
      <w:bookmarkEnd w:id="39"/>
      <w:r w:rsidRPr="006F03C9">
        <w:rPr>
          <w:rFonts w:ascii="Nunito Sans Black" w:hAnsi="Nunito Sans Black"/>
        </w:rPr>
        <w:t xml:space="preserve"> </w:t>
      </w:r>
    </w:p>
    <w:p w14:paraId="0B441976" w14:textId="374AE445" w:rsidR="00C25D60" w:rsidRPr="006F03C9" w:rsidRDefault="00C25D60" w:rsidP="00537A38">
      <w:pPr>
        <w:autoSpaceDE w:val="0"/>
        <w:autoSpaceDN w:val="0"/>
        <w:adjustRightInd w:val="0"/>
        <w:spacing w:before="240" w:after="240"/>
        <w:ind w:right="0"/>
        <w:jc w:val="both"/>
      </w:pPr>
      <w:r w:rsidRPr="006F03C9">
        <w:t xml:space="preserve">Thus, adopted and signed by the management and </w:t>
      </w:r>
      <w:r w:rsidR="00A747A5">
        <w:t>Chief Actuary</w:t>
      </w:r>
      <w:r w:rsidRPr="006F03C9">
        <w:t xml:space="preserve"> of KAFS </w:t>
      </w:r>
      <w:r w:rsidR="00B26045" w:rsidRPr="00B26045">
        <w:t>in January</w:t>
      </w:r>
      <w:r w:rsidRPr="00B26045">
        <w:t xml:space="preserve"> 2025</w:t>
      </w:r>
      <w:r w:rsidRPr="006F03C9">
        <w:t>.</w:t>
      </w:r>
    </w:p>
    <w:tbl>
      <w:tblPr>
        <w:tblStyle w:val="TableGrid"/>
        <w:tblW w:w="11124" w:type="dxa"/>
        <w:tblLook w:val="04A0" w:firstRow="1" w:lastRow="0" w:firstColumn="1" w:lastColumn="0" w:noHBand="0" w:noVBand="1"/>
      </w:tblPr>
      <w:tblGrid>
        <w:gridCol w:w="11124"/>
      </w:tblGrid>
      <w:tr w:rsidR="005D77E6" w:rsidRPr="006F03C9" w14:paraId="3DED6AF5" w14:textId="77777777" w:rsidTr="0089274A">
        <w:trPr>
          <w:trHeight w:val="2660"/>
        </w:trPr>
        <w:tc>
          <w:tcPr>
            <w:tcW w:w="11124" w:type="dxa"/>
          </w:tcPr>
          <w:p w14:paraId="1AC4B5AF" w14:textId="77777777" w:rsidR="005D77E6" w:rsidRPr="006F03C9" w:rsidRDefault="005D77E6">
            <w:pPr>
              <w:spacing w:after="160" w:line="259" w:lineRule="auto"/>
              <w:ind w:right="0"/>
              <w:rPr>
                <w:rFonts w:ascii="Nunito Sans" w:hAnsi="Nunito Sans"/>
                <w:b/>
                <w:bCs/>
              </w:rPr>
            </w:pPr>
            <w:r w:rsidRPr="006F03C9">
              <w:rPr>
                <w:rFonts w:ascii="Nunito Sans" w:hAnsi="Nunito Sans"/>
                <w:b/>
                <w:bCs/>
              </w:rPr>
              <w:t>APPROVED BY</w:t>
            </w:r>
          </w:p>
          <w:p w14:paraId="077ACB6D" w14:textId="75A47B86" w:rsidR="005D77E6" w:rsidRPr="006F03C9" w:rsidRDefault="004428A6">
            <w:pPr>
              <w:spacing w:after="160" w:line="259" w:lineRule="auto"/>
              <w:ind w:right="0"/>
              <w:rPr>
                <w:rFonts w:ascii="Nunito Sans" w:hAnsi="Nunito Sans"/>
              </w:rPr>
            </w:pPr>
            <w:r w:rsidRPr="006F03C9">
              <w:rPr>
                <w:rFonts w:ascii="Nunito Sans" w:hAnsi="Nunito Sans"/>
              </w:rPr>
              <w:t>Ezekiel Macharia</w:t>
            </w:r>
          </w:p>
          <w:p w14:paraId="0CDAC7B4" w14:textId="598E64CF" w:rsidR="005D77E6" w:rsidRPr="006F03C9" w:rsidRDefault="00C66C34">
            <w:pPr>
              <w:spacing w:after="160" w:line="259" w:lineRule="auto"/>
              <w:ind w:right="0"/>
              <w:rPr>
                <w:rFonts w:ascii="Nunito Sans" w:hAnsi="Nunito Sans"/>
              </w:rPr>
            </w:pPr>
            <w:r w:rsidRPr="006F03C9">
              <w:rPr>
                <w:rFonts w:ascii="Nunito Sans" w:hAnsi="Nunito Sans"/>
              </w:rPr>
              <w:t>Chief</w:t>
            </w:r>
            <w:r w:rsidR="00C14E7F" w:rsidRPr="006F03C9">
              <w:rPr>
                <w:rFonts w:ascii="Nunito Sans" w:hAnsi="Nunito Sans"/>
              </w:rPr>
              <w:t xml:space="preserve"> Actuary</w:t>
            </w:r>
            <w:r w:rsidR="005D77E6" w:rsidRPr="006F03C9">
              <w:rPr>
                <w:rFonts w:ascii="Nunito Sans" w:hAnsi="Nunito Sans"/>
              </w:rPr>
              <w:t xml:space="preserve"> </w:t>
            </w:r>
            <w:r w:rsidR="001065CA" w:rsidRPr="006F03C9">
              <w:rPr>
                <w:rFonts w:ascii="Nunito Sans" w:hAnsi="Nunito Sans"/>
              </w:rPr>
              <w:t xml:space="preserve">&amp; Managing Director </w:t>
            </w:r>
            <w:r w:rsidR="005D77E6" w:rsidRPr="006F03C9">
              <w:rPr>
                <w:rFonts w:ascii="Nunito Sans" w:hAnsi="Nunito Sans"/>
              </w:rPr>
              <w:t>– Kenbright</w:t>
            </w:r>
            <w:r w:rsidR="004428A6" w:rsidRPr="006F03C9">
              <w:rPr>
                <w:rFonts w:ascii="Nunito Sans" w:hAnsi="Nunito Sans"/>
              </w:rPr>
              <w:t xml:space="preserve"> Actuarial and Financial Services</w:t>
            </w:r>
            <w:r w:rsidR="005D77E6" w:rsidRPr="006F03C9">
              <w:rPr>
                <w:rFonts w:ascii="Nunito Sans" w:hAnsi="Nunito Sans"/>
              </w:rPr>
              <w:t xml:space="preserve"> Limited</w:t>
            </w:r>
          </w:p>
          <w:p w14:paraId="402BF339" w14:textId="09EC97E7" w:rsidR="005D77E6" w:rsidRPr="006F03C9" w:rsidRDefault="000A4939">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4124CD0F" wp14:editId="61627417">
                  <wp:simplePos x="0" y="0"/>
                  <wp:positionH relativeFrom="column">
                    <wp:posOffset>461645</wp:posOffset>
                  </wp:positionH>
                  <wp:positionV relativeFrom="paragraph">
                    <wp:posOffset>165735</wp:posOffset>
                  </wp:positionV>
                  <wp:extent cx="1362222" cy="426720"/>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62222" cy="426720"/>
                          </a:xfrm>
                          <a:prstGeom prst="rect">
                            <a:avLst/>
                          </a:prstGeom>
                          <a:noFill/>
                        </pic:spPr>
                      </pic:pic>
                    </a:graphicData>
                  </a:graphic>
                  <wp14:sizeRelH relativeFrom="margin">
                    <wp14:pctWidth>0</wp14:pctWidth>
                  </wp14:sizeRelH>
                  <wp14:sizeRelV relativeFrom="margin">
                    <wp14:pctHeight>0</wp14:pctHeight>
                  </wp14:sizeRelV>
                </wp:anchor>
              </w:drawing>
            </w:r>
            <w:r w:rsidR="005D77E6" w:rsidRPr="006F03C9">
              <w:rPr>
                <w:rFonts w:ascii="Nunito Sans" w:hAnsi="Nunito Sans"/>
              </w:rPr>
              <w:t>Date:</w:t>
            </w:r>
            <w:r w:rsidR="00543511" w:rsidRPr="006F03C9">
              <w:rPr>
                <w:rFonts w:ascii="Nunito Sans" w:hAnsi="Nunito Sans"/>
              </w:rPr>
              <w:t xml:space="preserve"> </w:t>
            </w:r>
            <w:r w:rsidR="00F61B29">
              <w:rPr>
                <w:rFonts w:ascii="Nunito Sans" w:hAnsi="Nunito Sans"/>
              </w:rPr>
              <w:t>January</w:t>
            </w:r>
            <w:r w:rsidR="005D77E6" w:rsidRPr="00057B30">
              <w:rPr>
                <w:rFonts w:ascii="Nunito Sans" w:hAnsi="Nunito Sans"/>
              </w:rPr>
              <w:t xml:space="preserve"> 202</w:t>
            </w:r>
            <w:r w:rsidR="002353A2" w:rsidRPr="00057B30">
              <w:rPr>
                <w:rFonts w:ascii="Nunito Sans" w:hAnsi="Nunito Sans"/>
              </w:rPr>
              <w:t>5</w:t>
            </w:r>
          </w:p>
          <w:p w14:paraId="711E9956" w14:textId="7B626C95" w:rsidR="005D77E6" w:rsidRPr="006F03C9" w:rsidRDefault="005D77E6">
            <w:pPr>
              <w:spacing w:after="160" w:line="259" w:lineRule="auto"/>
              <w:ind w:right="0"/>
              <w:rPr>
                <w:rFonts w:ascii="Nunito Sans" w:hAnsi="Nunito Sans"/>
              </w:rPr>
            </w:pPr>
            <w:r w:rsidRPr="006F03C9">
              <w:rPr>
                <w:rFonts w:ascii="Nunito Sans" w:hAnsi="Nunito Sans"/>
              </w:rPr>
              <w:t xml:space="preserve">Signed: </w:t>
            </w:r>
          </w:p>
        </w:tc>
      </w:tr>
    </w:tbl>
    <w:p w14:paraId="582D1670" w14:textId="77777777" w:rsidR="005D77E6" w:rsidRPr="006F03C9" w:rsidRDefault="005D77E6" w:rsidP="005D77E6">
      <w:pPr>
        <w:spacing w:after="160" w:line="259" w:lineRule="auto"/>
        <w:ind w:right="0"/>
      </w:pPr>
    </w:p>
    <w:p w14:paraId="4EA95319" w14:textId="77777777" w:rsidR="00FD0F59" w:rsidRPr="006F03C9" w:rsidRDefault="00FD0F59" w:rsidP="005D77E6">
      <w:pPr>
        <w:spacing w:after="160" w:line="259" w:lineRule="auto"/>
        <w:ind w:right="0"/>
      </w:pPr>
    </w:p>
    <w:p w14:paraId="7457F01E" w14:textId="77777777" w:rsidR="005D77E6" w:rsidRPr="006F03C9" w:rsidRDefault="005D77E6">
      <w:pPr>
        <w:spacing w:after="160" w:line="259" w:lineRule="auto"/>
        <w:ind w:right="0"/>
      </w:pPr>
    </w:p>
    <w:p w14:paraId="6C3459D6" w14:textId="1038357A" w:rsidR="00C02B1C" w:rsidRDefault="00C02B1C">
      <w:pPr>
        <w:spacing w:after="160" w:line="259" w:lineRule="auto"/>
        <w:ind w:right="0"/>
        <w:rPr>
          <w:rFonts w:ascii="Mulish Black" w:hAnsi="Mulish Black"/>
          <w:color w:val="0137A6"/>
          <w:sz w:val="36"/>
          <w:szCs w:val="36"/>
        </w:rPr>
      </w:pPr>
      <w:r w:rsidRPr="006F03C9">
        <w:br w:type="page"/>
      </w:r>
    </w:p>
    <w:p w14:paraId="4FAAAD10" w14:textId="3C2DE0FB" w:rsidR="00C02B1C" w:rsidRPr="006F03C9" w:rsidRDefault="009E714D" w:rsidP="00C02B1C">
      <w:r w:rsidRPr="002A0B6F">
        <w:rPr>
          <w:noProof/>
          <w:sz w:val="20"/>
          <w:szCs w:val="20"/>
        </w:rPr>
        <w:lastRenderedPageBreak/>
        <mc:AlternateContent>
          <mc:Choice Requires="wps">
            <w:drawing>
              <wp:anchor distT="0" distB="0" distL="114300" distR="114300" simplePos="0" relativeHeight="251658243"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1">
                                            <a:extLst>
                                              <a:ext uri="{BEBA8EAE-BF5A-486C-A8C5-ECC9F3942E4B}">
                                                <a14:imgProps xmlns:a14="http://schemas.microsoft.com/office/drawing/2010/main">
                                                  <a14:imgLayer r:embed="rId22">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3"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731C9827"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1065CA" w:rsidRPr="006F03C9">
                              <w:rPr>
                                <w:color w:val="FFFFFF" w:themeColor="background1"/>
                              </w:rPr>
                              <w:t>5</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29" style="position:absolute;margin-left:0;margin-top:-5.55pt;width:612.15pt;height:925.8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DOiaE6lgIAAIoFAAAOAAAAAAAAAAAAAAAAAC4CAABkcnMvZTJvRG9j&#10;LnhtbFBLAQItABQABgAIAAAAIQChlRgB3wAAAAoBAAAPAAAAAAAAAAAAAAAAAPAEAABkcnMvZG93&#10;bnJldi54bWxQSwUGAAAAAAQABADzAAAA/AUAAAAA&#10;" fillcolor="#0137a6" stroked="f" strokeweight="1pt">
                <v:textbo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1">
                                      <a:extLst>
                                        <a:ext uri="{BEBA8EAE-BF5A-486C-A8C5-ECC9F3942E4B}">
                                          <a14:imgProps xmlns:a14="http://schemas.microsoft.com/office/drawing/2010/main">
                                            <a14:imgLayer r:embed="rId22">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4"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731C9827"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1065CA" w:rsidRPr="006F03C9">
                        <w:rPr>
                          <w:color w:val="FFFFFF" w:themeColor="background1"/>
                        </w:rPr>
                        <w:t>5</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00C02B1C" w:rsidRPr="006F03C9" w:rsidSect="00F623BC">
      <w:headerReference w:type="even" r:id="rId25"/>
      <w:headerReference w:type="default" r:id="rId26"/>
      <w:footerReference w:type="default" r:id="rId27"/>
      <w:headerReference w:type="first" r:id="rId28"/>
      <w:footerReference w:type="first" r:id="rId29"/>
      <w:pgSz w:w="12240" w:h="15840" w:code="1"/>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3105" w14:textId="77777777" w:rsidR="00D121C7" w:rsidRDefault="00D121C7" w:rsidP="001F54AF">
      <w:r>
        <w:separator/>
      </w:r>
    </w:p>
  </w:endnote>
  <w:endnote w:type="continuationSeparator" w:id="0">
    <w:p w14:paraId="4FCC299E" w14:textId="77777777" w:rsidR="00D121C7" w:rsidRDefault="00D121C7" w:rsidP="001F54AF">
      <w:r>
        <w:continuationSeparator/>
      </w:r>
    </w:p>
  </w:endnote>
  <w:endnote w:type="continuationNotice" w:id="1">
    <w:p w14:paraId="5B4F7955" w14:textId="77777777" w:rsidR="00D121C7" w:rsidRDefault="00D12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Mulish">
    <w:altName w:val="Calibri"/>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ulish Black">
    <w:altName w:val="Calibri"/>
    <w:charset w:val="00"/>
    <w:family w:val="auto"/>
    <w:pitch w:val="variable"/>
    <w:sig w:usb0="A00002FF" w:usb1="5000204B" w:usb2="00000000" w:usb3="00000000" w:csb0="00000197" w:csb1="00000000"/>
  </w:font>
  <w:font w:name="Nunito Sans SemiBold">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altName w:val="游明朝"/>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Black">
    <w:charset w:val="00"/>
    <w:family w:val="auto"/>
    <w:pitch w:val="variable"/>
    <w:sig w:usb0="A00002FF" w:usb1="5000204B" w:usb2="00000000" w:usb3="00000000" w:csb0="00000197" w:csb1="00000000"/>
  </w:font>
  <w:font w:name="Nunito Sans Light">
    <w:charset w:val="00"/>
    <w:family w:val="auto"/>
    <w:pitch w:val="variable"/>
    <w:sig w:usb0="A00002FF" w:usb1="5000204B" w:usb2="00000000" w:usb3="00000000" w:csb0="00000197" w:csb1="00000000"/>
  </w:font>
  <w:font w:name="Gilroy Light">
    <w:altName w:val="Cambria"/>
    <w:panose1 w:val="00000000000000000000"/>
    <w:charset w:val="00"/>
    <w:family w:val="modern"/>
    <w:notTrueType/>
    <w:pitch w:val="variable"/>
    <w:sig w:usb0="00000207" w:usb1="00000000" w:usb2="00000000" w:usb3="00000000" w:csb0="00000097" w:csb1="00000000"/>
  </w:font>
  <w:font w:name="Gilroy SemiBold">
    <w:altName w:val="Courier New"/>
    <w:panose1 w:val="00000000000000000000"/>
    <w:charset w:val="00"/>
    <w:family w:val="modern"/>
    <w:notTrueType/>
    <w:pitch w:val="variable"/>
    <w:sig w:usb0="00000207" w:usb1="00000000" w:usb2="00000000" w:usb3="00000000" w:csb0="00000097" w:csb1="00000000"/>
  </w:font>
  <w:font w:name="Mulish Light">
    <w:altName w:val="Calibri"/>
    <w:charset w:val="00"/>
    <w:family w:val="auto"/>
    <w:pitch w:val="variable"/>
    <w:sig w:usb0="A00002FF" w:usb1="5000204B" w:usb2="00000000" w:usb3="00000000" w:csb0="00000197" w:csb1="00000000"/>
  </w:font>
  <w:font w:name="Mulish SemiBold">
    <w:altName w:val="Calibri"/>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Nunito Light">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1DA5BD05" w14:textId="77777777">
      <w:tc>
        <w:tcPr>
          <w:tcW w:w="3485" w:type="dxa"/>
        </w:tcPr>
        <w:p w14:paraId="3A0DD787" w14:textId="77777777" w:rsidR="006F7B03" w:rsidRPr="00954D78" w:rsidRDefault="003F750B">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14:paraId="401227DD" w14:textId="77777777" w:rsidR="006F7B03" w:rsidRPr="00954D78" w:rsidRDefault="006F7B03">
          <w:pPr>
            <w:pStyle w:val="Footer"/>
            <w:ind w:left="360"/>
            <w:rPr>
              <w:rFonts w:ascii="Gilroy Light" w:hAnsi="Gilroy Light"/>
              <w:sz w:val="14"/>
              <w:szCs w:val="14"/>
            </w:rPr>
          </w:pPr>
        </w:p>
      </w:tc>
      <w:tc>
        <w:tcPr>
          <w:tcW w:w="3833" w:type="dxa"/>
          <w:vAlign w:val="bottom"/>
        </w:tcPr>
        <w:p w14:paraId="1390309D" w14:textId="77777777" w:rsidR="006F7B03" w:rsidRPr="00954D78" w:rsidRDefault="003F750B">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669F8530" w14:textId="77777777">
      <w:tc>
        <w:tcPr>
          <w:tcW w:w="3485" w:type="dxa"/>
        </w:tcPr>
        <w:p w14:paraId="343A4A3E" w14:textId="1A316609" w:rsidR="006F7B03" w:rsidRPr="006F03C9" w:rsidRDefault="006F7B03">
          <w:pPr>
            <w:pStyle w:val="Footer"/>
            <w:ind w:left="206"/>
            <w:rPr>
              <w:rFonts w:ascii="Nunito Sans" w:hAnsi="Nunito Sans"/>
            </w:rPr>
          </w:pPr>
        </w:p>
      </w:tc>
      <w:tc>
        <w:tcPr>
          <w:tcW w:w="3485" w:type="dxa"/>
        </w:tcPr>
        <w:p w14:paraId="3B3F04CA" w14:textId="77777777" w:rsidR="006F7B03" w:rsidRPr="006F03C9"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6F03C9" w:rsidRDefault="006F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945A74" w:rsidRPr="006F03C9" w14:paraId="0D1995CB" w14:textId="77777777">
      <w:tc>
        <w:tcPr>
          <w:tcW w:w="1567" w:type="pct"/>
        </w:tcPr>
        <w:p w14:paraId="191FA956" w14:textId="5AAE99DA" w:rsidR="006F7B03" w:rsidRPr="00DA1577" w:rsidRDefault="00F237E7">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6EAFF5B9" w14:textId="77777777" w:rsidR="006F7B03" w:rsidRPr="006F03C9" w:rsidRDefault="006F7B03">
          <w:pPr>
            <w:pStyle w:val="Footer"/>
            <w:ind w:left="360"/>
            <w:rPr>
              <w:rFonts w:ascii="Nunito Sans Light" w:hAnsi="Nunito Sans Light"/>
              <w:sz w:val="14"/>
              <w:szCs w:val="14"/>
            </w:rPr>
          </w:pPr>
        </w:p>
        <w:p w14:paraId="6F729DDC" w14:textId="77777777" w:rsidR="006F7B03" w:rsidRPr="00DA1577" w:rsidRDefault="006F7B03">
          <w:pPr>
            <w:jc w:val="right"/>
            <w:rPr>
              <w:rFonts w:ascii="Nunito Light" w:hAnsi="Nunito Light"/>
            </w:rPr>
          </w:pPr>
        </w:p>
      </w:tc>
      <w:tc>
        <w:tcPr>
          <w:tcW w:w="1866" w:type="pct"/>
          <w:vAlign w:val="bottom"/>
        </w:tcPr>
        <w:p w14:paraId="1B1EF13E" w14:textId="77777777" w:rsidR="006F7B03" w:rsidRPr="006F03C9" w:rsidRDefault="003F750B">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47DE24A7" w14:textId="77777777" w:rsidR="00777B6F" w:rsidRDefault="00777B6F" w:rsidP="00995FF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945A74" w:rsidRPr="006F03C9" w14:paraId="3F27C197" w14:textId="77777777">
      <w:tc>
        <w:tcPr>
          <w:tcW w:w="1567" w:type="pct"/>
        </w:tcPr>
        <w:p w14:paraId="7851EAB5" w14:textId="3D29D434" w:rsidR="006F7B03" w:rsidRPr="00E97CD3" w:rsidRDefault="003F750B">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Default="006F7B03">
          <w:pPr>
            <w:pStyle w:val="Footer"/>
            <w:ind w:left="360"/>
            <w:rPr>
              <w:rFonts w:ascii="Mulish Light" w:hAnsi="Mulish Light"/>
              <w:sz w:val="14"/>
              <w:szCs w:val="14"/>
            </w:rPr>
          </w:pPr>
        </w:p>
        <w:p w14:paraId="75ADE2F5" w14:textId="77777777" w:rsidR="006F7B03" w:rsidRPr="006F03C9" w:rsidRDefault="006F7B03">
          <w:pPr>
            <w:jc w:val="right"/>
            <w:rPr>
              <w:rFonts w:ascii="Nunito Sans" w:hAnsi="Nunito Sans"/>
            </w:rPr>
          </w:pPr>
        </w:p>
      </w:tc>
      <w:tc>
        <w:tcPr>
          <w:tcW w:w="1866" w:type="pct"/>
          <w:vAlign w:val="bottom"/>
        </w:tcPr>
        <w:p w14:paraId="2AE8C705" w14:textId="77777777" w:rsidR="006F7B03" w:rsidRPr="00E97CD3" w:rsidRDefault="003F750B">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14:paraId="733A8F3A" w14:textId="77777777" w:rsidR="006F7B03" w:rsidRPr="006F03C9" w:rsidRDefault="006F7B03">
    <w:pPr>
      <w:pStyle w:val="Footer"/>
    </w:pPr>
  </w:p>
  <w:p w14:paraId="1EF0F5D9" w14:textId="77777777" w:rsidR="00777B6F" w:rsidRDefault="00777B6F"/>
  <w:p w14:paraId="1A1E192E" w14:textId="77777777" w:rsidR="00777B6F" w:rsidRDefault="00777B6F"/>
  <w:p w14:paraId="3552336C" w14:textId="77777777" w:rsidR="00777B6F" w:rsidRDefault="00777B6F"/>
  <w:p w14:paraId="6F43F1AB" w14:textId="77777777" w:rsidR="00777B6F" w:rsidRDefault="00777B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F4237" w14:textId="77777777" w:rsidR="00D121C7" w:rsidRDefault="00D121C7" w:rsidP="001F54AF">
      <w:r>
        <w:separator/>
      </w:r>
    </w:p>
  </w:footnote>
  <w:footnote w:type="continuationSeparator" w:id="0">
    <w:p w14:paraId="584D6957" w14:textId="77777777" w:rsidR="00D121C7" w:rsidRDefault="00D121C7" w:rsidP="001F54AF">
      <w:r>
        <w:continuationSeparator/>
      </w:r>
    </w:p>
  </w:footnote>
  <w:footnote w:type="continuationNotice" w:id="1">
    <w:p w14:paraId="1FE8138B" w14:textId="77777777" w:rsidR="00D121C7" w:rsidRDefault="00D12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65F7BE41" w:rsidR="006F7B03" w:rsidRPr="006F03C9" w:rsidRDefault="006F7B03">
    <w:pPr>
      <w:pStyle w:val="Header"/>
    </w:pPr>
  </w:p>
  <w:p w14:paraId="601FA799" w14:textId="77777777" w:rsidR="00777B6F" w:rsidRDefault="00777B6F"/>
  <w:p w14:paraId="46A10EBE" w14:textId="77777777" w:rsidR="00777B6F" w:rsidRDefault="00777B6F"/>
  <w:p w14:paraId="439409D1" w14:textId="77777777" w:rsidR="00777B6F" w:rsidRDefault="00777B6F"/>
  <w:p w14:paraId="36FEA047" w14:textId="77777777" w:rsidR="00777B6F" w:rsidRDefault="00777B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945A74" w:rsidRPr="006F03C9" w14:paraId="6915EA41" w14:textId="77777777" w:rsidTr="00F237E7">
      <w:trPr>
        <w:trHeight w:val="371"/>
      </w:trPr>
      <w:tc>
        <w:tcPr>
          <w:tcW w:w="1804" w:type="pct"/>
        </w:tcPr>
        <w:p w14:paraId="00912815" w14:textId="6D5F81F8" w:rsidR="000D5129" w:rsidRPr="006F03C9" w:rsidRDefault="000D5129" w:rsidP="00945A74">
          <w:pPr>
            <w:spacing w:line="200" w:lineRule="exact"/>
            <w:rPr>
              <w:rFonts w:ascii="Nunito Sans Light" w:hAnsi="Nunito Sans Light" w:cs="Helvetica"/>
              <w:sz w:val="14"/>
              <w:szCs w:val="14"/>
            </w:rPr>
          </w:pPr>
          <w:proofErr w:type="spellStart"/>
          <w:r w:rsidRPr="006F03C9">
            <w:rPr>
              <w:rFonts w:ascii="Nunito Sans Light" w:hAnsi="Nunito Sans Light" w:cs="Helvetica"/>
              <w:sz w:val="14"/>
              <w:szCs w:val="14"/>
            </w:rPr>
            <w:t>Kenbright</w:t>
          </w:r>
          <w:proofErr w:type="spellEnd"/>
          <w:r w:rsidRPr="006F03C9">
            <w:rPr>
              <w:rFonts w:ascii="Nunito Sans Light" w:hAnsi="Nunito Sans Light" w:cs="Helvetica"/>
              <w:sz w:val="14"/>
              <w:szCs w:val="14"/>
            </w:rPr>
            <w:t xml:space="preserve"> Actuarial and Financial Services</w:t>
          </w:r>
        </w:p>
        <w:p w14:paraId="597D0F51" w14:textId="2B91F43F" w:rsidR="00351986" w:rsidRPr="00CD3A9D" w:rsidRDefault="00B136D8" w:rsidP="00945A74">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00495E00" w:rsidRPr="006F03C9">
            <w:rPr>
              <w:rFonts w:ascii="Nunito Sans Light" w:hAnsi="Nunito Sans Light" w:cs="Helvetica"/>
              <w:sz w:val="14"/>
              <w:szCs w:val="14"/>
            </w:rPr>
            <w:t>Technical Procedures</w:t>
          </w:r>
        </w:p>
      </w:tc>
      <w:tc>
        <w:tcPr>
          <w:tcW w:w="1338" w:type="pct"/>
        </w:tcPr>
        <w:p w14:paraId="2DC17523" w14:textId="77777777" w:rsidR="006F7B03" w:rsidRPr="00CD3A9D" w:rsidRDefault="006F7B03" w:rsidP="00945A74">
          <w:pPr>
            <w:spacing w:line="200" w:lineRule="exact"/>
            <w:rPr>
              <w:rFonts w:ascii="Nunito Light" w:hAnsi="Nunito Light" w:cs="Helvetica"/>
              <w:sz w:val="14"/>
              <w:szCs w:val="14"/>
            </w:rPr>
          </w:pPr>
        </w:p>
      </w:tc>
      <w:tc>
        <w:tcPr>
          <w:tcW w:w="1858" w:type="pct"/>
        </w:tcPr>
        <w:p w14:paraId="24BB9B89" w14:textId="0436431A" w:rsidR="00D37CA5" w:rsidRPr="006F03C9" w:rsidRDefault="00DA1577" w:rsidP="00FE2650">
          <w:pPr>
            <w:spacing w:line="200" w:lineRule="exact"/>
            <w:jc w:val="right"/>
            <w:rPr>
              <w:rFonts w:ascii="Nunito Sans Light" w:hAnsi="Nunito Sans Light" w:cs="Helvetica"/>
              <w:sz w:val="14"/>
              <w:szCs w:val="14"/>
            </w:rPr>
          </w:pPr>
          <w:r w:rsidRPr="006F03C9">
            <w:rPr>
              <w:rFonts w:ascii="Nunito Sans Light" w:hAnsi="Nunito Sans Light" w:cs="Helvetica"/>
              <w:sz w:val="14"/>
              <w:szCs w:val="14"/>
            </w:rPr>
            <w:t xml:space="preserve">General </w:t>
          </w:r>
          <w:r w:rsidR="00495E00" w:rsidRPr="006F03C9">
            <w:rPr>
              <w:rFonts w:ascii="Nunito Sans Light" w:hAnsi="Nunito Sans Light" w:cs="Helvetica"/>
              <w:sz w:val="14"/>
              <w:szCs w:val="14"/>
            </w:rPr>
            <w:t>Insurance Valuation</w:t>
          </w:r>
        </w:p>
        <w:p w14:paraId="2934C929" w14:textId="1ACC981C" w:rsidR="006F7B03" w:rsidRPr="006F03C9" w:rsidRDefault="006F7B03" w:rsidP="00D37CA5">
          <w:pPr>
            <w:spacing w:line="200" w:lineRule="exact"/>
            <w:jc w:val="right"/>
            <w:rPr>
              <w:rFonts w:ascii="Nunito Sans Light" w:hAnsi="Nunito Sans Light" w:cs="Helvetica"/>
              <w:sz w:val="14"/>
              <w:szCs w:val="14"/>
            </w:rPr>
          </w:pPr>
        </w:p>
      </w:tc>
    </w:tr>
  </w:tbl>
  <w:p w14:paraId="3F81EA8E" w14:textId="77777777" w:rsidR="00777B6F" w:rsidRDefault="00777B6F" w:rsidP="00995F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7"/>
      <w:gridCol w:w="2890"/>
      <w:gridCol w:w="4013"/>
    </w:tblGrid>
    <w:tr w:rsidR="00945A74" w:rsidRPr="006F03C9" w14:paraId="42F68242" w14:textId="77777777">
      <w:tc>
        <w:tcPr>
          <w:tcW w:w="1804" w:type="pct"/>
        </w:tcPr>
        <w:p w14:paraId="3394EED6" w14:textId="5658B94E" w:rsidR="006F7B03" w:rsidRPr="00FE6803" w:rsidRDefault="00FE6803">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FE6803" w:rsidRDefault="00FE6803" w:rsidP="00945A74">
          <w:pPr>
            <w:spacing w:line="200" w:lineRule="exact"/>
            <w:jc w:val="right"/>
            <w:rPr>
              <w:rFonts w:ascii="Mulish Light" w:hAnsi="Mulish Light" w:cs="Helvetica"/>
              <w:color w:val="3B3838" w:themeColor="background2" w:themeShade="40"/>
              <w:sz w:val="14"/>
              <w:szCs w:val="14"/>
            </w:rPr>
          </w:pPr>
          <w:proofErr w:type="spellStart"/>
          <w:r w:rsidRPr="00FE6803">
            <w:rPr>
              <w:rFonts w:ascii="Mulish Light" w:hAnsi="Mulish Light" w:cs="Helvetica"/>
              <w:color w:val="3B3838" w:themeColor="background2" w:themeShade="40"/>
              <w:sz w:val="14"/>
              <w:szCs w:val="14"/>
            </w:rPr>
            <w:t>Kenbright</w:t>
          </w:r>
          <w:proofErr w:type="spellEnd"/>
          <w:r w:rsidRPr="00FE6803">
            <w:rPr>
              <w:rFonts w:ascii="Mulish Light" w:hAnsi="Mulish Light" w:cs="Helvetica"/>
              <w:color w:val="3B3838" w:themeColor="background2" w:themeShade="40"/>
              <w:sz w:val="14"/>
              <w:szCs w:val="14"/>
            </w:rPr>
            <w:t xml:space="preserve"> Reinsurance Brokers Limited</w:t>
          </w:r>
        </w:p>
        <w:p w14:paraId="7605435F" w14:textId="0A26823B" w:rsidR="00FE6803" w:rsidRPr="002C3E9E" w:rsidRDefault="00FE6803" w:rsidP="00945A74">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14:paraId="05EFE370" w14:textId="77777777" w:rsidR="006F7B03" w:rsidRPr="006F03C9" w:rsidRDefault="006F7B03">
    <w:pPr>
      <w:pStyle w:val="Header"/>
      <w:rPr>
        <w:sz w:val="16"/>
        <w:szCs w:val="16"/>
      </w:rPr>
    </w:pPr>
  </w:p>
  <w:p w14:paraId="78DF0E4E" w14:textId="77777777" w:rsidR="00777B6F" w:rsidRDefault="00777B6F"/>
  <w:p w14:paraId="21176112" w14:textId="77777777" w:rsidR="00777B6F" w:rsidRDefault="00777B6F"/>
  <w:p w14:paraId="40D6F76E" w14:textId="77777777" w:rsidR="00777B6F" w:rsidRDefault="00777B6F"/>
  <w:p w14:paraId="48D1B296" w14:textId="77777777" w:rsidR="00777B6F" w:rsidRDefault="00777B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B16"/>
    <w:multiLevelType w:val="hybridMultilevel"/>
    <w:tmpl w:val="5F664910"/>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04877B3"/>
    <w:multiLevelType w:val="multilevel"/>
    <w:tmpl w:val="A9466FAE"/>
    <w:lvl w:ilvl="0">
      <w:start w:val="1"/>
      <w:numFmt w:val="decimal"/>
      <w:pStyle w:val="Heading1"/>
      <w:lvlText w:val="%1"/>
      <w:lvlJc w:val="left"/>
      <w:pPr>
        <w:ind w:left="2367" w:hanging="567"/>
      </w:pPr>
      <w:rPr>
        <w:rFonts w:ascii="Nunito Sans" w:hAnsi="Nunito Sans"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3DDB4177"/>
    <w:multiLevelType w:val="hybridMultilevel"/>
    <w:tmpl w:val="6CF6B3D6"/>
    <w:lvl w:ilvl="0" w:tplc="FFFFFFFF">
      <w:start w:val="1"/>
      <w:numFmt w:val="lowerLetter"/>
      <w:lvlText w:val="%1)"/>
      <w:lvlJc w:val="left"/>
      <w:pPr>
        <w:ind w:left="1080" w:hanging="360"/>
      </w:pPr>
      <w:rPr>
        <w:rFonts w:ascii="Mulish" w:hAnsi="Mulish" w:hint="default"/>
        <w:sz w:val="1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00024F9"/>
    <w:multiLevelType w:val="multilevel"/>
    <w:tmpl w:val="A21EDDB4"/>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7" w15:restartNumberingAfterBreak="0">
    <w:nsid w:val="69FE0B34"/>
    <w:multiLevelType w:val="hybridMultilevel"/>
    <w:tmpl w:val="DCDCA0EC"/>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72C24894"/>
    <w:multiLevelType w:val="hybridMultilevel"/>
    <w:tmpl w:val="52AE396E"/>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757F48AF"/>
    <w:multiLevelType w:val="hybridMultilevel"/>
    <w:tmpl w:val="538EF9A2"/>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532455212">
    <w:abstractNumId w:val="1"/>
  </w:num>
  <w:num w:numId="2" w16cid:durableId="186988004">
    <w:abstractNumId w:val="5"/>
  </w:num>
  <w:num w:numId="3" w16cid:durableId="1996686642">
    <w:abstractNumId w:val="2"/>
    <w:lvlOverride w:ilvl="0">
      <w:startOverride w:val="1"/>
    </w:lvlOverride>
  </w:num>
  <w:num w:numId="4" w16cid:durableId="6150178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6"/>
  </w:num>
  <w:num w:numId="6" w16cid:durableId="20347703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3937357">
    <w:abstractNumId w:val="8"/>
  </w:num>
  <w:num w:numId="8" w16cid:durableId="114907738">
    <w:abstractNumId w:val="7"/>
  </w:num>
  <w:num w:numId="9" w16cid:durableId="1284919193">
    <w:abstractNumId w:val="9"/>
  </w:num>
  <w:num w:numId="10" w16cid:durableId="1594820214">
    <w:abstractNumId w:val="0"/>
  </w:num>
  <w:num w:numId="11" w16cid:durableId="63525995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2985"/>
    <w:rsid w:val="00003E46"/>
    <w:rsid w:val="000042BA"/>
    <w:rsid w:val="00004672"/>
    <w:rsid w:val="000048B2"/>
    <w:rsid w:val="00004D55"/>
    <w:rsid w:val="000061C0"/>
    <w:rsid w:val="000070B1"/>
    <w:rsid w:val="000123B8"/>
    <w:rsid w:val="00012C0B"/>
    <w:rsid w:val="0001316B"/>
    <w:rsid w:val="00013362"/>
    <w:rsid w:val="000134F6"/>
    <w:rsid w:val="00013CDF"/>
    <w:rsid w:val="00013F7C"/>
    <w:rsid w:val="00014045"/>
    <w:rsid w:val="0001405E"/>
    <w:rsid w:val="00014298"/>
    <w:rsid w:val="000161C6"/>
    <w:rsid w:val="00016968"/>
    <w:rsid w:val="00021F3F"/>
    <w:rsid w:val="000224F9"/>
    <w:rsid w:val="0002499A"/>
    <w:rsid w:val="00027404"/>
    <w:rsid w:val="00030735"/>
    <w:rsid w:val="00031415"/>
    <w:rsid w:val="00032FE2"/>
    <w:rsid w:val="00033122"/>
    <w:rsid w:val="00035234"/>
    <w:rsid w:val="00035589"/>
    <w:rsid w:val="0003785A"/>
    <w:rsid w:val="00040840"/>
    <w:rsid w:val="00041A40"/>
    <w:rsid w:val="00042AFC"/>
    <w:rsid w:val="00043789"/>
    <w:rsid w:val="00044C64"/>
    <w:rsid w:val="00045C07"/>
    <w:rsid w:val="000460C1"/>
    <w:rsid w:val="0004644B"/>
    <w:rsid w:val="00050AEC"/>
    <w:rsid w:val="000520D9"/>
    <w:rsid w:val="00052442"/>
    <w:rsid w:val="000534F5"/>
    <w:rsid w:val="00053EB7"/>
    <w:rsid w:val="00054230"/>
    <w:rsid w:val="00054679"/>
    <w:rsid w:val="00054AFA"/>
    <w:rsid w:val="00055D70"/>
    <w:rsid w:val="00055F2F"/>
    <w:rsid w:val="00056C59"/>
    <w:rsid w:val="00057AB6"/>
    <w:rsid w:val="00057B30"/>
    <w:rsid w:val="00062928"/>
    <w:rsid w:val="000632B6"/>
    <w:rsid w:val="00065A29"/>
    <w:rsid w:val="000664B1"/>
    <w:rsid w:val="00066582"/>
    <w:rsid w:val="00066B72"/>
    <w:rsid w:val="00070078"/>
    <w:rsid w:val="00071A0D"/>
    <w:rsid w:val="00072589"/>
    <w:rsid w:val="000727A1"/>
    <w:rsid w:val="00072E80"/>
    <w:rsid w:val="00073E97"/>
    <w:rsid w:val="00074675"/>
    <w:rsid w:val="0007684C"/>
    <w:rsid w:val="0007753C"/>
    <w:rsid w:val="00077BB3"/>
    <w:rsid w:val="00081324"/>
    <w:rsid w:val="00082D74"/>
    <w:rsid w:val="000835D6"/>
    <w:rsid w:val="000838B6"/>
    <w:rsid w:val="000839F6"/>
    <w:rsid w:val="0008404B"/>
    <w:rsid w:val="0008598B"/>
    <w:rsid w:val="00085AFC"/>
    <w:rsid w:val="000864BD"/>
    <w:rsid w:val="00087983"/>
    <w:rsid w:val="00091D51"/>
    <w:rsid w:val="00092F83"/>
    <w:rsid w:val="0009324E"/>
    <w:rsid w:val="00093D18"/>
    <w:rsid w:val="000944F8"/>
    <w:rsid w:val="000960F1"/>
    <w:rsid w:val="0009622A"/>
    <w:rsid w:val="000A10F0"/>
    <w:rsid w:val="000A26B2"/>
    <w:rsid w:val="000A2EFA"/>
    <w:rsid w:val="000A3B24"/>
    <w:rsid w:val="000A4939"/>
    <w:rsid w:val="000A4CC0"/>
    <w:rsid w:val="000A62AB"/>
    <w:rsid w:val="000A645E"/>
    <w:rsid w:val="000A7E60"/>
    <w:rsid w:val="000B0660"/>
    <w:rsid w:val="000B1041"/>
    <w:rsid w:val="000B1322"/>
    <w:rsid w:val="000B3C58"/>
    <w:rsid w:val="000B3FE8"/>
    <w:rsid w:val="000B5EC0"/>
    <w:rsid w:val="000B744C"/>
    <w:rsid w:val="000C0069"/>
    <w:rsid w:val="000C16ED"/>
    <w:rsid w:val="000C41D9"/>
    <w:rsid w:val="000C452C"/>
    <w:rsid w:val="000C474B"/>
    <w:rsid w:val="000C4AB9"/>
    <w:rsid w:val="000C67E0"/>
    <w:rsid w:val="000D1DCB"/>
    <w:rsid w:val="000D1FF2"/>
    <w:rsid w:val="000D27B0"/>
    <w:rsid w:val="000D5129"/>
    <w:rsid w:val="000D5AC5"/>
    <w:rsid w:val="000D7343"/>
    <w:rsid w:val="000E01E1"/>
    <w:rsid w:val="000E10F3"/>
    <w:rsid w:val="000E350F"/>
    <w:rsid w:val="000E4150"/>
    <w:rsid w:val="000E42C0"/>
    <w:rsid w:val="000E522F"/>
    <w:rsid w:val="000F0516"/>
    <w:rsid w:val="000F2EEF"/>
    <w:rsid w:val="000F319E"/>
    <w:rsid w:val="000F3943"/>
    <w:rsid w:val="000F55D2"/>
    <w:rsid w:val="000F59C7"/>
    <w:rsid w:val="000F64B6"/>
    <w:rsid w:val="000F6D8C"/>
    <w:rsid w:val="000F7F12"/>
    <w:rsid w:val="00100196"/>
    <w:rsid w:val="001019BA"/>
    <w:rsid w:val="00101ACA"/>
    <w:rsid w:val="00102E5A"/>
    <w:rsid w:val="00102F19"/>
    <w:rsid w:val="00103548"/>
    <w:rsid w:val="001037D9"/>
    <w:rsid w:val="0010482E"/>
    <w:rsid w:val="001055C6"/>
    <w:rsid w:val="001065CA"/>
    <w:rsid w:val="00106D87"/>
    <w:rsid w:val="00107397"/>
    <w:rsid w:val="00107A98"/>
    <w:rsid w:val="00107AB6"/>
    <w:rsid w:val="001106B8"/>
    <w:rsid w:val="001111E7"/>
    <w:rsid w:val="00112447"/>
    <w:rsid w:val="00113B43"/>
    <w:rsid w:val="00113FA8"/>
    <w:rsid w:val="00114E9C"/>
    <w:rsid w:val="001159B8"/>
    <w:rsid w:val="001177E3"/>
    <w:rsid w:val="00117F33"/>
    <w:rsid w:val="0012030F"/>
    <w:rsid w:val="00122ADE"/>
    <w:rsid w:val="0012302A"/>
    <w:rsid w:val="00123ED1"/>
    <w:rsid w:val="0012535F"/>
    <w:rsid w:val="0012570A"/>
    <w:rsid w:val="00130BC3"/>
    <w:rsid w:val="0013216B"/>
    <w:rsid w:val="0013486D"/>
    <w:rsid w:val="00141989"/>
    <w:rsid w:val="00141E05"/>
    <w:rsid w:val="00143155"/>
    <w:rsid w:val="0014329C"/>
    <w:rsid w:val="001446D0"/>
    <w:rsid w:val="00146F71"/>
    <w:rsid w:val="001477E6"/>
    <w:rsid w:val="00150019"/>
    <w:rsid w:val="0015095F"/>
    <w:rsid w:val="00154896"/>
    <w:rsid w:val="00154D21"/>
    <w:rsid w:val="001553AC"/>
    <w:rsid w:val="001565E0"/>
    <w:rsid w:val="00156A2D"/>
    <w:rsid w:val="001570E2"/>
    <w:rsid w:val="00157846"/>
    <w:rsid w:val="001578AC"/>
    <w:rsid w:val="00160F28"/>
    <w:rsid w:val="00161F11"/>
    <w:rsid w:val="00162960"/>
    <w:rsid w:val="00163072"/>
    <w:rsid w:val="00164142"/>
    <w:rsid w:val="00164350"/>
    <w:rsid w:val="00165D07"/>
    <w:rsid w:val="00170190"/>
    <w:rsid w:val="00171F88"/>
    <w:rsid w:val="00175050"/>
    <w:rsid w:val="001763DE"/>
    <w:rsid w:val="0017719E"/>
    <w:rsid w:val="00177817"/>
    <w:rsid w:val="00180313"/>
    <w:rsid w:val="001807D4"/>
    <w:rsid w:val="00180ACA"/>
    <w:rsid w:val="00180E47"/>
    <w:rsid w:val="001814C3"/>
    <w:rsid w:val="00181FB4"/>
    <w:rsid w:val="001820AA"/>
    <w:rsid w:val="00182995"/>
    <w:rsid w:val="00184636"/>
    <w:rsid w:val="0018513A"/>
    <w:rsid w:val="00186E92"/>
    <w:rsid w:val="00191AC7"/>
    <w:rsid w:val="00192396"/>
    <w:rsid w:val="001924E0"/>
    <w:rsid w:val="00192F8B"/>
    <w:rsid w:val="00196412"/>
    <w:rsid w:val="00197359"/>
    <w:rsid w:val="00197F08"/>
    <w:rsid w:val="001A1FA7"/>
    <w:rsid w:val="001A6E75"/>
    <w:rsid w:val="001A7596"/>
    <w:rsid w:val="001A7725"/>
    <w:rsid w:val="001B01B2"/>
    <w:rsid w:val="001B2440"/>
    <w:rsid w:val="001B2922"/>
    <w:rsid w:val="001B2ECB"/>
    <w:rsid w:val="001B3273"/>
    <w:rsid w:val="001B47B1"/>
    <w:rsid w:val="001B6CCF"/>
    <w:rsid w:val="001C05A7"/>
    <w:rsid w:val="001C0E47"/>
    <w:rsid w:val="001C0F1D"/>
    <w:rsid w:val="001C21D2"/>
    <w:rsid w:val="001C2491"/>
    <w:rsid w:val="001C2738"/>
    <w:rsid w:val="001C2F3D"/>
    <w:rsid w:val="001C3C5C"/>
    <w:rsid w:val="001C6127"/>
    <w:rsid w:val="001C6D16"/>
    <w:rsid w:val="001C7A74"/>
    <w:rsid w:val="001D0929"/>
    <w:rsid w:val="001D0F94"/>
    <w:rsid w:val="001D2542"/>
    <w:rsid w:val="001D585E"/>
    <w:rsid w:val="001E0926"/>
    <w:rsid w:val="001E18D7"/>
    <w:rsid w:val="001E2E73"/>
    <w:rsid w:val="001E366B"/>
    <w:rsid w:val="001E37D7"/>
    <w:rsid w:val="001E4E35"/>
    <w:rsid w:val="001E5062"/>
    <w:rsid w:val="001E5FCF"/>
    <w:rsid w:val="001E639F"/>
    <w:rsid w:val="001E7ADB"/>
    <w:rsid w:val="001F2558"/>
    <w:rsid w:val="001F47A9"/>
    <w:rsid w:val="001F4E71"/>
    <w:rsid w:val="001F54AF"/>
    <w:rsid w:val="001F65F7"/>
    <w:rsid w:val="001F6F1F"/>
    <w:rsid w:val="001F7466"/>
    <w:rsid w:val="001F7A14"/>
    <w:rsid w:val="00200102"/>
    <w:rsid w:val="002006E1"/>
    <w:rsid w:val="00200954"/>
    <w:rsid w:val="00202847"/>
    <w:rsid w:val="002029A0"/>
    <w:rsid w:val="00203A28"/>
    <w:rsid w:val="0020419A"/>
    <w:rsid w:val="002041B1"/>
    <w:rsid w:val="002056CE"/>
    <w:rsid w:val="00205BF9"/>
    <w:rsid w:val="002073D5"/>
    <w:rsid w:val="00210DE0"/>
    <w:rsid w:val="00211411"/>
    <w:rsid w:val="00213274"/>
    <w:rsid w:val="00213955"/>
    <w:rsid w:val="00215F1C"/>
    <w:rsid w:val="00216043"/>
    <w:rsid w:val="0022041F"/>
    <w:rsid w:val="002221CC"/>
    <w:rsid w:val="002228AB"/>
    <w:rsid w:val="002235C8"/>
    <w:rsid w:val="002242DB"/>
    <w:rsid w:val="00232086"/>
    <w:rsid w:val="002324EF"/>
    <w:rsid w:val="00232B2A"/>
    <w:rsid w:val="0023475C"/>
    <w:rsid w:val="002353A2"/>
    <w:rsid w:val="0023705D"/>
    <w:rsid w:val="002372F2"/>
    <w:rsid w:val="0024072D"/>
    <w:rsid w:val="0024178B"/>
    <w:rsid w:val="002418CD"/>
    <w:rsid w:val="00242E31"/>
    <w:rsid w:val="002449FE"/>
    <w:rsid w:val="00245178"/>
    <w:rsid w:val="00246906"/>
    <w:rsid w:val="00246BEB"/>
    <w:rsid w:val="00247A4A"/>
    <w:rsid w:val="00254486"/>
    <w:rsid w:val="002544AF"/>
    <w:rsid w:val="002559E3"/>
    <w:rsid w:val="00255A4A"/>
    <w:rsid w:val="00256464"/>
    <w:rsid w:val="00256A42"/>
    <w:rsid w:val="00257073"/>
    <w:rsid w:val="00257337"/>
    <w:rsid w:val="002574BA"/>
    <w:rsid w:val="002619EC"/>
    <w:rsid w:val="002633B4"/>
    <w:rsid w:val="0026539D"/>
    <w:rsid w:val="00265E75"/>
    <w:rsid w:val="0026621B"/>
    <w:rsid w:val="0026657E"/>
    <w:rsid w:val="00266ECF"/>
    <w:rsid w:val="00267348"/>
    <w:rsid w:val="00270E86"/>
    <w:rsid w:val="00271540"/>
    <w:rsid w:val="0027176B"/>
    <w:rsid w:val="00271F2E"/>
    <w:rsid w:val="00272059"/>
    <w:rsid w:val="00275520"/>
    <w:rsid w:val="00275637"/>
    <w:rsid w:val="0028078D"/>
    <w:rsid w:val="00281536"/>
    <w:rsid w:val="00281EB6"/>
    <w:rsid w:val="002839A2"/>
    <w:rsid w:val="0028426E"/>
    <w:rsid w:val="0028439E"/>
    <w:rsid w:val="00284B2D"/>
    <w:rsid w:val="0028553C"/>
    <w:rsid w:val="002859F2"/>
    <w:rsid w:val="00285C59"/>
    <w:rsid w:val="002869E9"/>
    <w:rsid w:val="00294DFD"/>
    <w:rsid w:val="00295EFD"/>
    <w:rsid w:val="00297329"/>
    <w:rsid w:val="002A16F1"/>
    <w:rsid w:val="002A26A5"/>
    <w:rsid w:val="002A275A"/>
    <w:rsid w:val="002A2C5D"/>
    <w:rsid w:val="002A2C6D"/>
    <w:rsid w:val="002A5E58"/>
    <w:rsid w:val="002A6856"/>
    <w:rsid w:val="002A6D7D"/>
    <w:rsid w:val="002A7A0D"/>
    <w:rsid w:val="002A7CAB"/>
    <w:rsid w:val="002B0A70"/>
    <w:rsid w:val="002B1768"/>
    <w:rsid w:val="002B1F62"/>
    <w:rsid w:val="002B2979"/>
    <w:rsid w:val="002B2F68"/>
    <w:rsid w:val="002B3CBD"/>
    <w:rsid w:val="002B5605"/>
    <w:rsid w:val="002B64FC"/>
    <w:rsid w:val="002B6A36"/>
    <w:rsid w:val="002B732C"/>
    <w:rsid w:val="002C0572"/>
    <w:rsid w:val="002C107A"/>
    <w:rsid w:val="002C53D9"/>
    <w:rsid w:val="002C5785"/>
    <w:rsid w:val="002C76C1"/>
    <w:rsid w:val="002D10E1"/>
    <w:rsid w:val="002D131A"/>
    <w:rsid w:val="002D7271"/>
    <w:rsid w:val="002D7AD8"/>
    <w:rsid w:val="002D7AEB"/>
    <w:rsid w:val="002E2773"/>
    <w:rsid w:val="002E5289"/>
    <w:rsid w:val="002E5EB2"/>
    <w:rsid w:val="002E6C32"/>
    <w:rsid w:val="002E75AF"/>
    <w:rsid w:val="002E7B50"/>
    <w:rsid w:val="002F056A"/>
    <w:rsid w:val="002F1010"/>
    <w:rsid w:val="002F10DB"/>
    <w:rsid w:val="002F2524"/>
    <w:rsid w:val="002F2C80"/>
    <w:rsid w:val="002F310C"/>
    <w:rsid w:val="002F3887"/>
    <w:rsid w:val="002F4127"/>
    <w:rsid w:val="002F56BD"/>
    <w:rsid w:val="002F6346"/>
    <w:rsid w:val="002F69AD"/>
    <w:rsid w:val="002F758C"/>
    <w:rsid w:val="002F75AF"/>
    <w:rsid w:val="0030004C"/>
    <w:rsid w:val="00300494"/>
    <w:rsid w:val="0030075F"/>
    <w:rsid w:val="0030088A"/>
    <w:rsid w:val="003033E4"/>
    <w:rsid w:val="0030596B"/>
    <w:rsid w:val="0030700E"/>
    <w:rsid w:val="0031016A"/>
    <w:rsid w:val="003106A0"/>
    <w:rsid w:val="00311589"/>
    <w:rsid w:val="00311913"/>
    <w:rsid w:val="00311EA1"/>
    <w:rsid w:val="00314248"/>
    <w:rsid w:val="00314781"/>
    <w:rsid w:val="00314894"/>
    <w:rsid w:val="00314ACE"/>
    <w:rsid w:val="00315957"/>
    <w:rsid w:val="0031732E"/>
    <w:rsid w:val="00320D3E"/>
    <w:rsid w:val="00320EAB"/>
    <w:rsid w:val="003210E8"/>
    <w:rsid w:val="00321172"/>
    <w:rsid w:val="00321895"/>
    <w:rsid w:val="0032374D"/>
    <w:rsid w:val="00325256"/>
    <w:rsid w:val="0032538B"/>
    <w:rsid w:val="0033160C"/>
    <w:rsid w:val="00331EB4"/>
    <w:rsid w:val="00332ADD"/>
    <w:rsid w:val="003331C3"/>
    <w:rsid w:val="0033623B"/>
    <w:rsid w:val="00336BFB"/>
    <w:rsid w:val="00336F51"/>
    <w:rsid w:val="00337441"/>
    <w:rsid w:val="00337F4D"/>
    <w:rsid w:val="00340C7B"/>
    <w:rsid w:val="00342257"/>
    <w:rsid w:val="00343064"/>
    <w:rsid w:val="00343849"/>
    <w:rsid w:val="00343998"/>
    <w:rsid w:val="00344D1E"/>
    <w:rsid w:val="00345AA8"/>
    <w:rsid w:val="003468B6"/>
    <w:rsid w:val="003479AC"/>
    <w:rsid w:val="00350679"/>
    <w:rsid w:val="00350C6A"/>
    <w:rsid w:val="00351622"/>
    <w:rsid w:val="00351986"/>
    <w:rsid w:val="00351BC4"/>
    <w:rsid w:val="003524D3"/>
    <w:rsid w:val="00352C08"/>
    <w:rsid w:val="003536BA"/>
    <w:rsid w:val="00353DB8"/>
    <w:rsid w:val="00354561"/>
    <w:rsid w:val="00355D3C"/>
    <w:rsid w:val="003567DD"/>
    <w:rsid w:val="00356B11"/>
    <w:rsid w:val="003575F1"/>
    <w:rsid w:val="0036007F"/>
    <w:rsid w:val="00360722"/>
    <w:rsid w:val="00363EB2"/>
    <w:rsid w:val="003676C8"/>
    <w:rsid w:val="00372BD1"/>
    <w:rsid w:val="003732AE"/>
    <w:rsid w:val="0037509A"/>
    <w:rsid w:val="00376514"/>
    <w:rsid w:val="00376E8D"/>
    <w:rsid w:val="00380125"/>
    <w:rsid w:val="00380D62"/>
    <w:rsid w:val="00381A59"/>
    <w:rsid w:val="00383831"/>
    <w:rsid w:val="003848BE"/>
    <w:rsid w:val="0038586D"/>
    <w:rsid w:val="00387376"/>
    <w:rsid w:val="00390125"/>
    <w:rsid w:val="00390D2D"/>
    <w:rsid w:val="00391D45"/>
    <w:rsid w:val="0039358C"/>
    <w:rsid w:val="00393B42"/>
    <w:rsid w:val="00393FDB"/>
    <w:rsid w:val="003953EE"/>
    <w:rsid w:val="00395891"/>
    <w:rsid w:val="00395B35"/>
    <w:rsid w:val="0039730B"/>
    <w:rsid w:val="003974EC"/>
    <w:rsid w:val="003A03A7"/>
    <w:rsid w:val="003A1CCE"/>
    <w:rsid w:val="003A2490"/>
    <w:rsid w:val="003A30B1"/>
    <w:rsid w:val="003A5253"/>
    <w:rsid w:val="003A5521"/>
    <w:rsid w:val="003B03E7"/>
    <w:rsid w:val="003B206C"/>
    <w:rsid w:val="003B3100"/>
    <w:rsid w:val="003B3CBC"/>
    <w:rsid w:val="003B477B"/>
    <w:rsid w:val="003B4824"/>
    <w:rsid w:val="003B4AED"/>
    <w:rsid w:val="003B50A5"/>
    <w:rsid w:val="003B51C0"/>
    <w:rsid w:val="003B528A"/>
    <w:rsid w:val="003B679B"/>
    <w:rsid w:val="003B6CC6"/>
    <w:rsid w:val="003B751E"/>
    <w:rsid w:val="003B7943"/>
    <w:rsid w:val="003B7B2A"/>
    <w:rsid w:val="003B7E1F"/>
    <w:rsid w:val="003C0111"/>
    <w:rsid w:val="003C24D6"/>
    <w:rsid w:val="003C29B8"/>
    <w:rsid w:val="003C34E0"/>
    <w:rsid w:val="003C3699"/>
    <w:rsid w:val="003C4157"/>
    <w:rsid w:val="003C4332"/>
    <w:rsid w:val="003C51CE"/>
    <w:rsid w:val="003C6F5A"/>
    <w:rsid w:val="003D1067"/>
    <w:rsid w:val="003D2564"/>
    <w:rsid w:val="003D31A9"/>
    <w:rsid w:val="003D35DD"/>
    <w:rsid w:val="003D38E1"/>
    <w:rsid w:val="003D4844"/>
    <w:rsid w:val="003D6E79"/>
    <w:rsid w:val="003E0A88"/>
    <w:rsid w:val="003E2BBC"/>
    <w:rsid w:val="003E3EA1"/>
    <w:rsid w:val="003E5538"/>
    <w:rsid w:val="003E6B0A"/>
    <w:rsid w:val="003F03E8"/>
    <w:rsid w:val="003F1A35"/>
    <w:rsid w:val="003F1E59"/>
    <w:rsid w:val="003F5278"/>
    <w:rsid w:val="003F53F9"/>
    <w:rsid w:val="003F750B"/>
    <w:rsid w:val="003F7E1D"/>
    <w:rsid w:val="00400149"/>
    <w:rsid w:val="0040078C"/>
    <w:rsid w:val="00401C1C"/>
    <w:rsid w:val="00401DDC"/>
    <w:rsid w:val="00403741"/>
    <w:rsid w:val="0040380B"/>
    <w:rsid w:val="0040537F"/>
    <w:rsid w:val="004054F3"/>
    <w:rsid w:val="00406816"/>
    <w:rsid w:val="00406BBF"/>
    <w:rsid w:val="00410C4D"/>
    <w:rsid w:val="00410CB9"/>
    <w:rsid w:val="004117A4"/>
    <w:rsid w:val="00411B55"/>
    <w:rsid w:val="00412368"/>
    <w:rsid w:val="004130D2"/>
    <w:rsid w:val="00413B52"/>
    <w:rsid w:val="00416657"/>
    <w:rsid w:val="00417070"/>
    <w:rsid w:val="004171DF"/>
    <w:rsid w:val="00421309"/>
    <w:rsid w:val="00421F83"/>
    <w:rsid w:val="00422535"/>
    <w:rsid w:val="004248C4"/>
    <w:rsid w:val="00424A43"/>
    <w:rsid w:val="00425205"/>
    <w:rsid w:val="00426F46"/>
    <w:rsid w:val="004305D5"/>
    <w:rsid w:val="00431012"/>
    <w:rsid w:val="00432428"/>
    <w:rsid w:val="004330D6"/>
    <w:rsid w:val="0043409C"/>
    <w:rsid w:val="00435FCC"/>
    <w:rsid w:val="0043724F"/>
    <w:rsid w:val="00437AA0"/>
    <w:rsid w:val="00437BBC"/>
    <w:rsid w:val="00437D66"/>
    <w:rsid w:val="004428A6"/>
    <w:rsid w:val="004443CA"/>
    <w:rsid w:val="0044486F"/>
    <w:rsid w:val="004459B1"/>
    <w:rsid w:val="0044631C"/>
    <w:rsid w:val="00447A21"/>
    <w:rsid w:val="00450400"/>
    <w:rsid w:val="004508D4"/>
    <w:rsid w:val="004509CB"/>
    <w:rsid w:val="00451CA8"/>
    <w:rsid w:val="00452359"/>
    <w:rsid w:val="004528F8"/>
    <w:rsid w:val="00452C00"/>
    <w:rsid w:val="0045423C"/>
    <w:rsid w:val="00455AE4"/>
    <w:rsid w:val="00457058"/>
    <w:rsid w:val="004573BE"/>
    <w:rsid w:val="00460C8F"/>
    <w:rsid w:val="00460F49"/>
    <w:rsid w:val="00461503"/>
    <w:rsid w:val="0046391B"/>
    <w:rsid w:val="00463BE8"/>
    <w:rsid w:val="00466576"/>
    <w:rsid w:val="004666E4"/>
    <w:rsid w:val="00467EE1"/>
    <w:rsid w:val="004700C6"/>
    <w:rsid w:val="0047080E"/>
    <w:rsid w:val="004721CE"/>
    <w:rsid w:val="00472B52"/>
    <w:rsid w:val="00473740"/>
    <w:rsid w:val="00474671"/>
    <w:rsid w:val="00474836"/>
    <w:rsid w:val="00474B57"/>
    <w:rsid w:val="004750AF"/>
    <w:rsid w:val="00475FE0"/>
    <w:rsid w:val="0048096B"/>
    <w:rsid w:val="00481DB8"/>
    <w:rsid w:val="004833AC"/>
    <w:rsid w:val="00483C2D"/>
    <w:rsid w:val="00484908"/>
    <w:rsid w:val="00486567"/>
    <w:rsid w:val="00490391"/>
    <w:rsid w:val="004910A0"/>
    <w:rsid w:val="00491BAD"/>
    <w:rsid w:val="0049226A"/>
    <w:rsid w:val="00492D93"/>
    <w:rsid w:val="004937EA"/>
    <w:rsid w:val="0049397E"/>
    <w:rsid w:val="00493D0A"/>
    <w:rsid w:val="00495B9C"/>
    <w:rsid w:val="00495E00"/>
    <w:rsid w:val="004966DE"/>
    <w:rsid w:val="0049680A"/>
    <w:rsid w:val="00497012"/>
    <w:rsid w:val="00497FEA"/>
    <w:rsid w:val="004A0D4C"/>
    <w:rsid w:val="004A2C3F"/>
    <w:rsid w:val="004A3D47"/>
    <w:rsid w:val="004A4B88"/>
    <w:rsid w:val="004A5E22"/>
    <w:rsid w:val="004A6B37"/>
    <w:rsid w:val="004A7C31"/>
    <w:rsid w:val="004A7FC7"/>
    <w:rsid w:val="004B1175"/>
    <w:rsid w:val="004B1950"/>
    <w:rsid w:val="004B1EAA"/>
    <w:rsid w:val="004B3FEC"/>
    <w:rsid w:val="004B50B4"/>
    <w:rsid w:val="004B6F68"/>
    <w:rsid w:val="004B7ADB"/>
    <w:rsid w:val="004C016A"/>
    <w:rsid w:val="004C2D34"/>
    <w:rsid w:val="004C470F"/>
    <w:rsid w:val="004C49B4"/>
    <w:rsid w:val="004C55C3"/>
    <w:rsid w:val="004C5A8F"/>
    <w:rsid w:val="004C5F10"/>
    <w:rsid w:val="004D094D"/>
    <w:rsid w:val="004D12B0"/>
    <w:rsid w:val="004D1BA6"/>
    <w:rsid w:val="004D2434"/>
    <w:rsid w:val="004D24A9"/>
    <w:rsid w:val="004D299C"/>
    <w:rsid w:val="004D3306"/>
    <w:rsid w:val="004D3638"/>
    <w:rsid w:val="004D4292"/>
    <w:rsid w:val="004D49C0"/>
    <w:rsid w:val="004D50B2"/>
    <w:rsid w:val="004D55E9"/>
    <w:rsid w:val="004D6C44"/>
    <w:rsid w:val="004D7531"/>
    <w:rsid w:val="004E00D4"/>
    <w:rsid w:val="004E1BD5"/>
    <w:rsid w:val="004E241A"/>
    <w:rsid w:val="004E26F0"/>
    <w:rsid w:val="004E2DE9"/>
    <w:rsid w:val="004E3C56"/>
    <w:rsid w:val="004E44AE"/>
    <w:rsid w:val="004E66EC"/>
    <w:rsid w:val="004E6A63"/>
    <w:rsid w:val="004E7900"/>
    <w:rsid w:val="004E7E1C"/>
    <w:rsid w:val="004F02F9"/>
    <w:rsid w:val="004F2A9A"/>
    <w:rsid w:val="004F45F7"/>
    <w:rsid w:val="004F63E9"/>
    <w:rsid w:val="004F65CD"/>
    <w:rsid w:val="004F661C"/>
    <w:rsid w:val="00501136"/>
    <w:rsid w:val="005023C9"/>
    <w:rsid w:val="00503B4B"/>
    <w:rsid w:val="0050489A"/>
    <w:rsid w:val="00504E04"/>
    <w:rsid w:val="00505D0A"/>
    <w:rsid w:val="00510029"/>
    <w:rsid w:val="00511627"/>
    <w:rsid w:val="00512E37"/>
    <w:rsid w:val="0051314F"/>
    <w:rsid w:val="00513727"/>
    <w:rsid w:val="005151B2"/>
    <w:rsid w:val="00515971"/>
    <w:rsid w:val="005163F4"/>
    <w:rsid w:val="0051651E"/>
    <w:rsid w:val="00516E17"/>
    <w:rsid w:val="00520BBC"/>
    <w:rsid w:val="00520CD0"/>
    <w:rsid w:val="00521D29"/>
    <w:rsid w:val="00522D9F"/>
    <w:rsid w:val="00523B4F"/>
    <w:rsid w:val="00524486"/>
    <w:rsid w:val="00524B6A"/>
    <w:rsid w:val="00525605"/>
    <w:rsid w:val="005273D1"/>
    <w:rsid w:val="00527797"/>
    <w:rsid w:val="00530A8D"/>
    <w:rsid w:val="00532327"/>
    <w:rsid w:val="00532DD8"/>
    <w:rsid w:val="00533690"/>
    <w:rsid w:val="00534866"/>
    <w:rsid w:val="0053562B"/>
    <w:rsid w:val="00536934"/>
    <w:rsid w:val="00537A38"/>
    <w:rsid w:val="005400B1"/>
    <w:rsid w:val="00541DB4"/>
    <w:rsid w:val="0054313C"/>
    <w:rsid w:val="00543511"/>
    <w:rsid w:val="00544D0F"/>
    <w:rsid w:val="005458C4"/>
    <w:rsid w:val="0054764D"/>
    <w:rsid w:val="0054792A"/>
    <w:rsid w:val="00552792"/>
    <w:rsid w:val="005529EF"/>
    <w:rsid w:val="00553754"/>
    <w:rsid w:val="00555E82"/>
    <w:rsid w:val="0055730C"/>
    <w:rsid w:val="00557EB0"/>
    <w:rsid w:val="00560078"/>
    <w:rsid w:val="005623D2"/>
    <w:rsid w:val="005647BC"/>
    <w:rsid w:val="005648F9"/>
    <w:rsid w:val="00566698"/>
    <w:rsid w:val="00567032"/>
    <w:rsid w:val="005676FB"/>
    <w:rsid w:val="00570702"/>
    <w:rsid w:val="00570FFA"/>
    <w:rsid w:val="005712C0"/>
    <w:rsid w:val="00573823"/>
    <w:rsid w:val="005738A6"/>
    <w:rsid w:val="00574084"/>
    <w:rsid w:val="00576173"/>
    <w:rsid w:val="00576906"/>
    <w:rsid w:val="00576C10"/>
    <w:rsid w:val="00577685"/>
    <w:rsid w:val="00580F19"/>
    <w:rsid w:val="00581EEC"/>
    <w:rsid w:val="00582876"/>
    <w:rsid w:val="00582A92"/>
    <w:rsid w:val="005841EA"/>
    <w:rsid w:val="00584B41"/>
    <w:rsid w:val="005866AD"/>
    <w:rsid w:val="005867B6"/>
    <w:rsid w:val="00592CF5"/>
    <w:rsid w:val="005949CA"/>
    <w:rsid w:val="005960BD"/>
    <w:rsid w:val="00596B27"/>
    <w:rsid w:val="005A085C"/>
    <w:rsid w:val="005A0BC9"/>
    <w:rsid w:val="005A286E"/>
    <w:rsid w:val="005A3A29"/>
    <w:rsid w:val="005A3F53"/>
    <w:rsid w:val="005A5FC6"/>
    <w:rsid w:val="005B0CCB"/>
    <w:rsid w:val="005B1CBD"/>
    <w:rsid w:val="005B226D"/>
    <w:rsid w:val="005B30D5"/>
    <w:rsid w:val="005B38D6"/>
    <w:rsid w:val="005B4771"/>
    <w:rsid w:val="005B4A37"/>
    <w:rsid w:val="005B54B9"/>
    <w:rsid w:val="005B573F"/>
    <w:rsid w:val="005C03C9"/>
    <w:rsid w:val="005C0B4D"/>
    <w:rsid w:val="005C0EB9"/>
    <w:rsid w:val="005C0F58"/>
    <w:rsid w:val="005C129C"/>
    <w:rsid w:val="005C16FF"/>
    <w:rsid w:val="005C175A"/>
    <w:rsid w:val="005C1910"/>
    <w:rsid w:val="005C33AD"/>
    <w:rsid w:val="005C41CE"/>
    <w:rsid w:val="005C563A"/>
    <w:rsid w:val="005C5FE1"/>
    <w:rsid w:val="005C77C8"/>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5150"/>
    <w:rsid w:val="005E53A1"/>
    <w:rsid w:val="005E5626"/>
    <w:rsid w:val="005E69F4"/>
    <w:rsid w:val="005F0179"/>
    <w:rsid w:val="005F02C0"/>
    <w:rsid w:val="005F243A"/>
    <w:rsid w:val="005F3046"/>
    <w:rsid w:val="005F424D"/>
    <w:rsid w:val="005F4CBA"/>
    <w:rsid w:val="005F6140"/>
    <w:rsid w:val="005F625F"/>
    <w:rsid w:val="005F7063"/>
    <w:rsid w:val="005F7D5F"/>
    <w:rsid w:val="0060073C"/>
    <w:rsid w:val="00600EA1"/>
    <w:rsid w:val="006012C4"/>
    <w:rsid w:val="006038E5"/>
    <w:rsid w:val="00603F61"/>
    <w:rsid w:val="006069A9"/>
    <w:rsid w:val="00606F26"/>
    <w:rsid w:val="006071E2"/>
    <w:rsid w:val="00607DA5"/>
    <w:rsid w:val="00612224"/>
    <w:rsid w:val="00613EE7"/>
    <w:rsid w:val="00613FD4"/>
    <w:rsid w:val="006156A9"/>
    <w:rsid w:val="006209C1"/>
    <w:rsid w:val="00620B95"/>
    <w:rsid w:val="00622A2B"/>
    <w:rsid w:val="00627970"/>
    <w:rsid w:val="00630C2A"/>
    <w:rsid w:val="00631B63"/>
    <w:rsid w:val="00632CB6"/>
    <w:rsid w:val="0063402F"/>
    <w:rsid w:val="00635619"/>
    <w:rsid w:val="00636312"/>
    <w:rsid w:val="00637036"/>
    <w:rsid w:val="006374C8"/>
    <w:rsid w:val="0063797E"/>
    <w:rsid w:val="006411CB"/>
    <w:rsid w:val="0064162B"/>
    <w:rsid w:val="0064314A"/>
    <w:rsid w:val="00643881"/>
    <w:rsid w:val="00643BF2"/>
    <w:rsid w:val="00645AC7"/>
    <w:rsid w:val="00646A75"/>
    <w:rsid w:val="00646DDF"/>
    <w:rsid w:val="0064759D"/>
    <w:rsid w:val="0064779D"/>
    <w:rsid w:val="00651C57"/>
    <w:rsid w:val="00651E4B"/>
    <w:rsid w:val="00652075"/>
    <w:rsid w:val="00654E37"/>
    <w:rsid w:val="006557F8"/>
    <w:rsid w:val="006614FC"/>
    <w:rsid w:val="00662F16"/>
    <w:rsid w:val="00663731"/>
    <w:rsid w:val="006664C0"/>
    <w:rsid w:val="00670A06"/>
    <w:rsid w:val="0067165E"/>
    <w:rsid w:val="00671A92"/>
    <w:rsid w:val="00673624"/>
    <w:rsid w:val="0067591C"/>
    <w:rsid w:val="00676122"/>
    <w:rsid w:val="006761CE"/>
    <w:rsid w:val="006766B1"/>
    <w:rsid w:val="006769EB"/>
    <w:rsid w:val="00676E48"/>
    <w:rsid w:val="0067741B"/>
    <w:rsid w:val="00680515"/>
    <w:rsid w:val="0068239F"/>
    <w:rsid w:val="006853B8"/>
    <w:rsid w:val="006876F7"/>
    <w:rsid w:val="00687EA3"/>
    <w:rsid w:val="006903BB"/>
    <w:rsid w:val="00691DBA"/>
    <w:rsid w:val="00693F1E"/>
    <w:rsid w:val="0069511B"/>
    <w:rsid w:val="00695542"/>
    <w:rsid w:val="00696433"/>
    <w:rsid w:val="006A0537"/>
    <w:rsid w:val="006A13D8"/>
    <w:rsid w:val="006A3B0C"/>
    <w:rsid w:val="006A5171"/>
    <w:rsid w:val="006A5F33"/>
    <w:rsid w:val="006A64D9"/>
    <w:rsid w:val="006A6CFC"/>
    <w:rsid w:val="006A6D99"/>
    <w:rsid w:val="006A6EC7"/>
    <w:rsid w:val="006B0DD3"/>
    <w:rsid w:val="006B1829"/>
    <w:rsid w:val="006B33BC"/>
    <w:rsid w:val="006B49E2"/>
    <w:rsid w:val="006B6313"/>
    <w:rsid w:val="006B7D22"/>
    <w:rsid w:val="006C0AF1"/>
    <w:rsid w:val="006C4A5D"/>
    <w:rsid w:val="006C7B97"/>
    <w:rsid w:val="006D028E"/>
    <w:rsid w:val="006D3C90"/>
    <w:rsid w:val="006D495D"/>
    <w:rsid w:val="006D783A"/>
    <w:rsid w:val="006E0FC0"/>
    <w:rsid w:val="006E26EE"/>
    <w:rsid w:val="006E2E96"/>
    <w:rsid w:val="006E3EDF"/>
    <w:rsid w:val="006E416A"/>
    <w:rsid w:val="006E70FD"/>
    <w:rsid w:val="006E7F99"/>
    <w:rsid w:val="006F0283"/>
    <w:rsid w:val="006F03C9"/>
    <w:rsid w:val="006F0793"/>
    <w:rsid w:val="006F358E"/>
    <w:rsid w:val="006F39D7"/>
    <w:rsid w:val="006F595C"/>
    <w:rsid w:val="006F6550"/>
    <w:rsid w:val="006F666B"/>
    <w:rsid w:val="006F6E69"/>
    <w:rsid w:val="006F7588"/>
    <w:rsid w:val="006F7B03"/>
    <w:rsid w:val="00700084"/>
    <w:rsid w:val="0070013B"/>
    <w:rsid w:val="0070079F"/>
    <w:rsid w:val="00701255"/>
    <w:rsid w:val="0070191C"/>
    <w:rsid w:val="00701B26"/>
    <w:rsid w:val="0070244C"/>
    <w:rsid w:val="00702814"/>
    <w:rsid w:val="00702DDD"/>
    <w:rsid w:val="00702F1D"/>
    <w:rsid w:val="00703F32"/>
    <w:rsid w:val="0070465D"/>
    <w:rsid w:val="00705BE3"/>
    <w:rsid w:val="0070663D"/>
    <w:rsid w:val="0070792C"/>
    <w:rsid w:val="0071069A"/>
    <w:rsid w:val="00710A22"/>
    <w:rsid w:val="00711507"/>
    <w:rsid w:val="007129ED"/>
    <w:rsid w:val="00713030"/>
    <w:rsid w:val="00714258"/>
    <w:rsid w:val="00714F59"/>
    <w:rsid w:val="007162FB"/>
    <w:rsid w:val="00717320"/>
    <w:rsid w:val="00720EA9"/>
    <w:rsid w:val="00721960"/>
    <w:rsid w:val="00721C98"/>
    <w:rsid w:val="00724C2B"/>
    <w:rsid w:val="00724D28"/>
    <w:rsid w:val="007250C1"/>
    <w:rsid w:val="0072714E"/>
    <w:rsid w:val="0073016E"/>
    <w:rsid w:val="0073030A"/>
    <w:rsid w:val="00730526"/>
    <w:rsid w:val="00730C0C"/>
    <w:rsid w:val="007312AF"/>
    <w:rsid w:val="00735358"/>
    <w:rsid w:val="00735709"/>
    <w:rsid w:val="00736E3C"/>
    <w:rsid w:val="0073753A"/>
    <w:rsid w:val="00737B72"/>
    <w:rsid w:val="007404DF"/>
    <w:rsid w:val="0074280A"/>
    <w:rsid w:val="0074302C"/>
    <w:rsid w:val="00746947"/>
    <w:rsid w:val="007470F9"/>
    <w:rsid w:val="00747971"/>
    <w:rsid w:val="00747D36"/>
    <w:rsid w:val="007507E7"/>
    <w:rsid w:val="00750823"/>
    <w:rsid w:val="00750D9D"/>
    <w:rsid w:val="007519F3"/>
    <w:rsid w:val="00751CAC"/>
    <w:rsid w:val="0075213F"/>
    <w:rsid w:val="00752AF6"/>
    <w:rsid w:val="00753591"/>
    <w:rsid w:val="00753AC0"/>
    <w:rsid w:val="0075459D"/>
    <w:rsid w:val="007549FD"/>
    <w:rsid w:val="00755722"/>
    <w:rsid w:val="00755746"/>
    <w:rsid w:val="0075589B"/>
    <w:rsid w:val="00755B5B"/>
    <w:rsid w:val="00756038"/>
    <w:rsid w:val="00756220"/>
    <w:rsid w:val="007569EE"/>
    <w:rsid w:val="007619B2"/>
    <w:rsid w:val="007626CF"/>
    <w:rsid w:val="00762D96"/>
    <w:rsid w:val="0076617F"/>
    <w:rsid w:val="007677BC"/>
    <w:rsid w:val="00771417"/>
    <w:rsid w:val="00772E07"/>
    <w:rsid w:val="007737F7"/>
    <w:rsid w:val="00775557"/>
    <w:rsid w:val="00775D31"/>
    <w:rsid w:val="00776BCC"/>
    <w:rsid w:val="00777B6F"/>
    <w:rsid w:val="00780065"/>
    <w:rsid w:val="00784175"/>
    <w:rsid w:val="007842A8"/>
    <w:rsid w:val="007844FA"/>
    <w:rsid w:val="00785C0A"/>
    <w:rsid w:val="007863A8"/>
    <w:rsid w:val="007865D0"/>
    <w:rsid w:val="00787700"/>
    <w:rsid w:val="00787E09"/>
    <w:rsid w:val="0079016A"/>
    <w:rsid w:val="00791AD8"/>
    <w:rsid w:val="007941FC"/>
    <w:rsid w:val="00795DF5"/>
    <w:rsid w:val="00796437"/>
    <w:rsid w:val="0079670A"/>
    <w:rsid w:val="00797F05"/>
    <w:rsid w:val="007A0CE4"/>
    <w:rsid w:val="007A2A10"/>
    <w:rsid w:val="007A34E2"/>
    <w:rsid w:val="007A3EB8"/>
    <w:rsid w:val="007A4693"/>
    <w:rsid w:val="007A513A"/>
    <w:rsid w:val="007A5854"/>
    <w:rsid w:val="007A5D1A"/>
    <w:rsid w:val="007A7859"/>
    <w:rsid w:val="007A7FB1"/>
    <w:rsid w:val="007B2FE6"/>
    <w:rsid w:val="007B46EF"/>
    <w:rsid w:val="007B49BC"/>
    <w:rsid w:val="007B4A9E"/>
    <w:rsid w:val="007B532A"/>
    <w:rsid w:val="007B5EE4"/>
    <w:rsid w:val="007C04D5"/>
    <w:rsid w:val="007C0826"/>
    <w:rsid w:val="007C1685"/>
    <w:rsid w:val="007C2212"/>
    <w:rsid w:val="007C3158"/>
    <w:rsid w:val="007C41FC"/>
    <w:rsid w:val="007C4C78"/>
    <w:rsid w:val="007D1529"/>
    <w:rsid w:val="007D30EA"/>
    <w:rsid w:val="007D5A50"/>
    <w:rsid w:val="007E04DB"/>
    <w:rsid w:val="007E2E44"/>
    <w:rsid w:val="007E400B"/>
    <w:rsid w:val="007E5FCC"/>
    <w:rsid w:val="007F043F"/>
    <w:rsid w:val="007F15D7"/>
    <w:rsid w:val="007F234E"/>
    <w:rsid w:val="007F469F"/>
    <w:rsid w:val="007F67CF"/>
    <w:rsid w:val="007F6828"/>
    <w:rsid w:val="007F7F44"/>
    <w:rsid w:val="00800B2C"/>
    <w:rsid w:val="008015AB"/>
    <w:rsid w:val="0080341A"/>
    <w:rsid w:val="008040BA"/>
    <w:rsid w:val="00805040"/>
    <w:rsid w:val="00805867"/>
    <w:rsid w:val="00805FD7"/>
    <w:rsid w:val="0080683A"/>
    <w:rsid w:val="008073D3"/>
    <w:rsid w:val="00807DB7"/>
    <w:rsid w:val="008103F0"/>
    <w:rsid w:val="00813C6C"/>
    <w:rsid w:val="0081466B"/>
    <w:rsid w:val="00815F9B"/>
    <w:rsid w:val="00815FC8"/>
    <w:rsid w:val="008160D0"/>
    <w:rsid w:val="00816329"/>
    <w:rsid w:val="00816AC2"/>
    <w:rsid w:val="00820EA2"/>
    <w:rsid w:val="008227DA"/>
    <w:rsid w:val="008232A1"/>
    <w:rsid w:val="00823593"/>
    <w:rsid w:val="0082486C"/>
    <w:rsid w:val="008262C6"/>
    <w:rsid w:val="00826801"/>
    <w:rsid w:val="00826BBC"/>
    <w:rsid w:val="008334AA"/>
    <w:rsid w:val="00833B75"/>
    <w:rsid w:val="0083415F"/>
    <w:rsid w:val="008350DC"/>
    <w:rsid w:val="00837D56"/>
    <w:rsid w:val="00840E2D"/>
    <w:rsid w:val="00845479"/>
    <w:rsid w:val="00845B97"/>
    <w:rsid w:val="0084607D"/>
    <w:rsid w:val="00846445"/>
    <w:rsid w:val="00846819"/>
    <w:rsid w:val="00847BF2"/>
    <w:rsid w:val="008510AC"/>
    <w:rsid w:val="00851D90"/>
    <w:rsid w:val="008542E2"/>
    <w:rsid w:val="008548E4"/>
    <w:rsid w:val="00855690"/>
    <w:rsid w:val="00856FEA"/>
    <w:rsid w:val="00857D52"/>
    <w:rsid w:val="00861242"/>
    <w:rsid w:val="00862D95"/>
    <w:rsid w:val="00866C97"/>
    <w:rsid w:val="00867C51"/>
    <w:rsid w:val="008701EC"/>
    <w:rsid w:val="00872D9D"/>
    <w:rsid w:val="0087342B"/>
    <w:rsid w:val="00873F2A"/>
    <w:rsid w:val="0087466B"/>
    <w:rsid w:val="0087520A"/>
    <w:rsid w:val="008752E4"/>
    <w:rsid w:val="008805EC"/>
    <w:rsid w:val="00880EB3"/>
    <w:rsid w:val="0088126C"/>
    <w:rsid w:val="0088130A"/>
    <w:rsid w:val="008836C8"/>
    <w:rsid w:val="008853D7"/>
    <w:rsid w:val="008859AD"/>
    <w:rsid w:val="008866F4"/>
    <w:rsid w:val="0088709C"/>
    <w:rsid w:val="0088790E"/>
    <w:rsid w:val="00887ACB"/>
    <w:rsid w:val="00891A85"/>
    <w:rsid w:val="00891EE4"/>
    <w:rsid w:val="0089274A"/>
    <w:rsid w:val="008955F9"/>
    <w:rsid w:val="008963C2"/>
    <w:rsid w:val="00896CF3"/>
    <w:rsid w:val="008975DE"/>
    <w:rsid w:val="00897AE9"/>
    <w:rsid w:val="00897D9F"/>
    <w:rsid w:val="008A18EE"/>
    <w:rsid w:val="008A1D51"/>
    <w:rsid w:val="008A25B9"/>
    <w:rsid w:val="008A4012"/>
    <w:rsid w:val="008A6496"/>
    <w:rsid w:val="008A76FE"/>
    <w:rsid w:val="008B0614"/>
    <w:rsid w:val="008B0A2A"/>
    <w:rsid w:val="008B12D2"/>
    <w:rsid w:val="008B1622"/>
    <w:rsid w:val="008B1671"/>
    <w:rsid w:val="008B1DD2"/>
    <w:rsid w:val="008B39E9"/>
    <w:rsid w:val="008B671E"/>
    <w:rsid w:val="008C05C8"/>
    <w:rsid w:val="008C3EAA"/>
    <w:rsid w:val="008C4219"/>
    <w:rsid w:val="008C5D9D"/>
    <w:rsid w:val="008C5DA4"/>
    <w:rsid w:val="008C72FF"/>
    <w:rsid w:val="008D1BE4"/>
    <w:rsid w:val="008D493C"/>
    <w:rsid w:val="008D6559"/>
    <w:rsid w:val="008D6EE1"/>
    <w:rsid w:val="008D73C7"/>
    <w:rsid w:val="008D7A09"/>
    <w:rsid w:val="008E1B2C"/>
    <w:rsid w:val="008E3BEA"/>
    <w:rsid w:val="008E5351"/>
    <w:rsid w:val="008E63E1"/>
    <w:rsid w:val="008F1CAA"/>
    <w:rsid w:val="008F6B52"/>
    <w:rsid w:val="008F6CFD"/>
    <w:rsid w:val="008F6D58"/>
    <w:rsid w:val="008F7116"/>
    <w:rsid w:val="008F759F"/>
    <w:rsid w:val="008F7AF8"/>
    <w:rsid w:val="00900F2E"/>
    <w:rsid w:val="00902EFB"/>
    <w:rsid w:val="00904169"/>
    <w:rsid w:val="00910B35"/>
    <w:rsid w:val="00910EC9"/>
    <w:rsid w:val="00913AD2"/>
    <w:rsid w:val="00914D66"/>
    <w:rsid w:val="00914DBD"/>
    <w:rsid w:val="009166FE"/>
    <w:rsid w:val="00916AF8"/>
    <w:rsid w:val="00916B6E"/>
    <w:rsid w:val="00920AF9"/>
    <w:rsid w:val="009217C0"/>
    <w:rsid w:val="00921ACA"/>
    <w:rsid w:val="00922DDB"/>
    <w:rsid w:val="00926DD9"/>
    <w:rsid w:val="00927379"/>
    <w:rsid w:val="00930B2A"/>
    <w:rsid w:val="00931350"/>
    <w:rsid w:val="00934084"/>
    <w:rsid w:val="009363D5"/>
    <w:rsid w:val="009369ED"/>
    <w:rsid w:val="00937242"/>
    <w:rsid w:val="00940328"/>
    <w:rsid w:val="0094058D"/>
    <w:rsid w:val="0094144B"/>
    <w:rsid w:val="009423C8"/>
    <w:rsid w:val="00943B44"/>
    <w:rsid w:val="00943CC1"/>
    <w:rsid w:val="00943F4C"/>
    <w:rsid w:val="009442BE"/>
    <w:rsid w:val="00945A74"/>
    <w:rsid w:val="00947B7C"/>
    <w:rsid w:val="00951306"/>
    <w:rsid w:val="00951C8B"/>
    <w:rsid w:val="00952309"/>
    <w:rsid w:val="00953264"/>
    <w:rsid w:val="00955610"/>
    <w:rsid w:val="00957A93"/>
    <w:rsid w:val="009608FD"/>
    <w:rsid w:val="00961DF3"/>
    <w:rsid w:val="00965079"/>
    <w:rsid w:val="009657FD"/>
    <w:rsid w:val="00967EE8"/>
    <w:rsid w:val="0097007C"/>
    <w:rsid w:val="009704BF"/>
    <w:rsid w:val="00972610"/>
    <w:rsid w:val="00973160"/>
    <w:rsid w:val="009734FC"/>
    <w:rsid w:val="009739F1"/>
    <w:rsid w:val="00973C88"/>
    <w:rsid w:val="00973CBE"/>
    <w:rsid w:val="009754A5"/>
    <w:rsid w:val="0097659A"/>
    <w:rsid w:val="00976C3C"/>
    <w:rsid w:val="0097794D"/>
    <w:rsid w:val="009800EE"/>
    <w:rsid w:val="00980E6F"/>
    <w:rsid w:val="00982C86"/>
    <w:rsid w:val="0098470D"/>
    <w:rsid w:val="00986D13"/>
    <w:rsid w:val="00990A62"/>
    <w:rsid w:val="009927D1"/>
    <w:rsid w:val="00992C6E"/>
    <w:rsid w:val="009938A7"/>
    <w:rsid w:val="00994599"/>
    <w:rsid w:val="00994E1A"/>
    <w:rsid w:val="00995840"/>
    <w:rsid w:val="00995FFE"/>
    <w:rsid w:val="009977BD"/>
    <w:rsid w:val="009979EE"/>
    <w:rsid w:val="009A0914"/>
    <w:rsid w:val="009A1B69"/>
    <w:rsid w:val="009A2043"/>
    <w:rsid w:val="009A2795"/>
    <w:rsid w:val="009A5789"/>
    <w:rsid w:val="009A57ED"/>
    <w:rsid w:val="009A5870"/>
    <w:rsid w:val="009A62FC"/>
    <w:rsid w:val="009A6506"/>
    <w:rsid w:val="009A6C6F"/>
    <w:rsid w:val="009A6C70"/>
    <w:rsid w:val="009A7DDB"/>
    <w:rsid w:val="009A7E60"/>
    <w:rsid w:val="009B04F1"/>
    <w:rsid w:val="009B091A"/>
    <w:rsid w:val="009B2345"/>
    <w:rsid w:val="009B3C58"/>
    <w:rsid w:val="009B52AC"/>
    <w:rsid w:val="009B679B"/>
    <w:rsid w:val="009B70BE"/>
    <w:rsid w:val="009B7C99"/>
    <w:rsid w:val="009C004B"/>
    <w:rsid w:val="009C083C"/>
    <w:rsid w:val="009C2E9E"/>
    <w:rsid w:val="009C3096"/>
    <w:rsid w:val="009C48CD"/>
    <w:rsid w:val="009C6499"/>
    <w:rsid w:val="009C73B0"/>
    <w:rsid w:val="009C76CF"/>
    <w:rsid w:val="009C77C6"/>
    <w:rsid w:val="009D0B78"/>
    <w:rsid w:val="009D15CA"/>
    <w:rsid w:val="009D1CBF"/>
    <w:rsid w:val="009D21FF"/>
    <w:rsid w:val="009D6F47"/>
    <w:rsid w:val="009E0630"/>
    <w:rsid w:val="009E1656"/>
    <w:rsid w:val="009E16E8"/>
    <w:rsid w:val="009E2638"/>
    <w:rsid w:val="009E29CF"/>
    <w:rsid w:val="009E2A47"/>
    <w:rsid w:val="009E2D27"/>
    <w:rsid w:val="009E495B"/>
    <w:rsid w:val="009E5D48"/>
    <w:rsid w:val="009E6B07"/>
    <w:rsid w:val="009E714D"/>
    <w:rsid w:val="009E72C7"/>
    <w:rsid w:val="009F005C"/>
    <w:rsid w:val="009F131F"/>
    <w:rsid w:val="009F2144"/>
    <w:rsid w:val="009F2C55"/>
    <w:rsid w:val="009F2F34"/>
    <w:rsid w:val="009F348A"/>
    <w:rsid w:val="009F40B8"/>
    <w:rsid w:val="00A0122B"/>
    <w:rsid w:val="00A0153E"/>
    <w:rsid w:val="00A02F04"/>
    <w:rsid w:val="00A04611"/>
    <w:rsid w:val="00A0479B"/>
    <w:rsid w:val="00A04848"/>
    <w:rsid w:val="00A052D4"/>
    <w:rsid w:val="00A054AB"/>
    <w:rsid w:val="00A06032"/>
    <w:rsid w:val="00A10AC0"/>
    <w:rsid w:val="00A121EE"/>
    <w:rsid w:val="00A12445"/>
    <w:rsid w:val="00A1410A"/>
    <w:rsid w:val="00A1496F"/>
    <w:rsid w:val="00A20228"/>
    <w:rsid w:val="00A20EFF"/>
    <w:rsid w:val="00A21ACD"/>
    <w:rsid w:val="00A22285"/>
    <w:rsid w:val="00A24279"/>
    <w:rsid w:val="00A248E6"/>
    <w:rsid w:val="00A2606F"/>
    <w:rsid w:val="00A26881"/>
    <w:rsid w:val="00A27195"/>
    <w:rsid w:val="00A277B0"/>
    <w:rsid w:val="00A27B01"/>
    <w:rsid w:val="00A32126"/>
    <w:rsid w:val="00A33085"/>
    <w:rsid w:val="00A331F1"/>
    <w:rsid w:val="00A33E74"/>
    <w:rsid w:val="00A342F5"/>
    <w:rsid w:val="00A345EA"/>
    <w:rsid w:val="00A35089"/>
    <w:rsid w:val="00A3557B"/>
    <w:rsid w:val="00A35723"/>
    <w:rsid w:val="00A35BFC"/>
    <w:rsid w:val="00A3607E"/>
    <w:rsid w:val="00A36667"/>
    <w:rsid w:val="00A36E07"/>
    <w:rsid w:val="00A42324"/>
    <w:rsid w:val="00A428DB"/>
    <w:rsid w:val="00A436FB"/>
    <w:rsid w:val="00A44B08"/>
    <w:rsid w:val="00A4661F"/>
    <w:rsid w:val="00A4694C"/>
    <w:rsid w:val="00A47434"/>
    <w:rsid w:val="00A50B46"/>
    <w:rsid w:val="00A50F95"/>
    <w:rsid w:val="00A522F4"/>
    <w:rsid w:val="00A52B24"/>
    <w:rsid w:val="00A53EE0"/>
    <w:rsid w:val="00A54C42"/>
    <w:rsid w:val="00A56FC1"/>
    <w:rsid w:val="00A61FFE"/>
    <w:rsid w:val="00A6294F"/>
    <w:rsid w:val="00A63E44"/>
    <w:rsid w:val="00A64DFC"/>
    <w:rsid w:val="00A6501B"/>
    <w:rsid w:val="00A6526A"/>
    <w:rsid w:val="00A70504"/>
    <w:rsid w:val="00A70ABC"/>
    <w:rsid w:val="00A7175F"/>
    <w:rsid w:val="00A72526"/>
    <w:rsid w:val="00A72C5A"/>
    <w:rsid w:val="00A747A5"/>
    <w:rsid w:val="00A77983"/>
    <w:rsid w:val="00A8276E"/>
    <w:rsid w:val="00A82F7A"/>
    <w:rsid w:val="00A853E5"/>
    <w:rsid w:val="00A86B14"/>
    <w:rsid w:val="00A9188D"/>
    <w:rsid w:val="00A919C0"/>
    <w:rsid w:val="00A91AD4"/>
    <w:rsid w:val="00A923AF"/>
    <w:rsid w:val="00A9252C"/>
    <w:rsid w:val="00A94023"/>
    <w:rsid w:val="00A942B1"/>
    <w:rsid w:val="00A94F62"/>
    <w:rsid w:val="00A95CDF"/>
    <w:rsid w:val="00A96C86"/>
    <w:rsid w:val="00A97109"/>
    <w:rsid w:val="00AA0731"/>
    <w:rsid w:val="00AA0976"/>
    <w:rsid w:val="00AA1CCB"/>
    <w:rsid w:val="00AA3830"/>
    <w:rsid w:val="00AA3BB4"/>
    <w:rsid w:val="00AA407B"/>
    <w:rsid w:val="00AA4DE6"/>
    <w:rsid w:val="00AB0158"/>
    <w:rsid w:val="00AB0CFC"/>
    <w:rsid w:val="00AB13F9"/>
    <w:rsid w:val="00AB26BD"/>
    <w:rsid w:val="00AB3FD5"/>
    <w:rsid w:val="00AB408C"/>
    <w:rsid w:val="00AB4542"/>
    <w:rsid w:val="00AB4DE1"/>
    <w:rsid w:val="00AB5065"/>
    <w:rsid w:val="00AB53FD"/>
    <w:rsid w:val="00AB54E1"/>
    <w:rsid w:val="00AB56FB"/>
    <w:rsid w:val="00AB7971"/>
    <w:rsid w:val="00AC065E"/>
    <w:rsid w:val="00AC1B88"/>
    <w:rsid w:val="00AC29A4"/>
    <w:rsid w:val="00AC7B50"/>
    <w:rsid w:val="00AC7DE1"/>
    <w:rsid w:val="00AD3045"/>
    <w:rsid w:val="00AD3104"/>
    <w:rsid w:val="00AD331D"/>
    <w:rsid w:val="00AD3B93"/>
    <w:rsid w:val="00AD428B"/>
    <w:rsid w:val="00AD6F5D"/>
    <w:rsid w:val="00AD7DEC"/>
    <w:rsid w:val="00AE0928"/>
    <w:rsid w:val="00AE1E67"/>
    <w:rsid w:val="00AE2E0F"/>
    <w:rsid w:val="00AE54E5"/>
    <w:rsid w:val="00AE5BE7"/>
    <w:rsid w:val="00AE5EF4"/>
    <w:rsid w:val="00AE68F6"/>
    <w:rsid w:val="00AE7639"/>
    <w:rsid w:val="00AF0178"/>
    <w:rsid w:val="00AF0BFE"/>
    <w:rsid w:val="00AF18ED"/>
    <w:rsid w:val="00AF2723"/>
    <w:rsid w:val="00AF6A9A"/>
    <w:rsid w:val="00AF7213"/>
    <w:rsid w:val="00AF75CA"/>
    <w:rsid w:val="00B00557"/>
    <w:rsid w:val="00B00937"/>
    <w:rsid w:val="00B00B5B"/>
    <w:rsid w:val="00B013DF"/>
    <w:rsid w:val="00B01932"/>
    <w:rsid w:val="00B01FD8"/>
    <w:rsid w:val="00B0456D"/>
    <w:rsid w:val="00B055E3"/>
    <w:rsid w:val="00B0561A"/>
    <w:rsid w:val="00B05B5E"/>
    <w:rsid w:val="00B05C96"/>
    <w:rsid w:val="00B0670A"/>
    <w:rsid w:val="00B06F67"/>
    <w:rsid w:val="00B10337"/>
    <w:rsid w:val="00B11B6A"/>
    <w:rsid w:val="00B12405"/>
    <w:rsid w:val="00B131C7"/>
    <w:rsid w:val="00B132A3"/>
    <w:rsid w:val="00B136D8"/>
    <w:rsid w:val="00B144E2"/>
    <w:rsid w:val="00B1544A"/>
    <w:rsid w:val="00B175CF"/>
    <w:rsid w:val="00B207AC"/>
    <w:rsid w:val="00B20A51"/>
    <w:rsid w:val="00B2107C"/>
    <w:rsid w:val="00B21247"/>
    <w:rsid w:val="00B21A80"/>
    <w:rsid w:val="00B22347"/>
    <w:rsid w:val="00B26045"/>
    <w:rsid w:val="00B2617D"/>
    <w:rsid w:val="00B26845"/>
    <w:rsid w:val="00B27922"/>
    <w:rsid w:val="00B309F9"/>
    <w:rsid w:val="00B30C6B"/>
    <w:rsid w:val="00B3207E"/>
    <w:rsid w:val="00B33351"/>
    <w:rsid w:val="00B336D9"/>
    <w:rsid w:val="00B339E3"/>
    <w:rsid w:val="00B33A5F"/>
    <w:rsid w:val="00B33A7E"/>
    <w:rsid w:val="00B35E12"/>
    <w:rsid w:val="00B35FBC"/>
    <w:rsid w:val="00B364B0"/>
    <w:rsid w:val="00B36E24"/>
    <w:rsid w:val="00B370B1"/>
    <w:rsid w:val="00B40769"/>
    <w:rsid w:val="00B4210C"/>
    <w:rsid w:val="00B42EEC"/>
    <w:rsid w:val="00B4461A"/>
    <w:rsid w:val="00B4576B"/>
    <w:rsid w:val="00B461FE"/>
    <w:rsid w:val="00B46867"/>
    <w:rsid w:val="00B46BAE"/>
    <w:rsid w:val="00B47AB6"/>
    <w:rsid w:val="00B5066F"/>
    <w:rsid w:val="00B51C49"/>
    <w:rsid w:val="00B521EF"/>
    <w:rsid w:val="00B52757"/>
    <w:rsid w:val="00B53537"/>
    <w:rsid w:val="00B56045"/>
    <w:rsid w:val="00B563F3"/>
    <w:rsid w:val="00B5655C"/>
    <w:rsid w:val="00B57C48"/>
    <w:rsid w:val="00B6035C"/>
    <w:rsid w:val="00B60442"/>
    <w:rsid w:val="00B611FD"/>
    <w:rsid w:val="00B62221"/>
    <w:rsid w:val="00B626F2"/>
    <w:rsid w:val="00B62D09"/>
    <w:rsid w:val="00B64503"/>
    <w:rsid w:val="00B64964"/>
    <w:rsid w:val="00B64D1A"/>
    <w:rsid w:val="00B650E9"/>
    <w:rsid w:val="00B65D83"/>
    <w:rsid w:val="00B67278"/>
    <w:rsid w:val="00B67A9B"/>
    <w:rsid w:val="00B70465"/>
    <w:rsid w:val="00B71CB3"/>
    <w:rsid w:val="00B72BE9"/>
    <w:rsid w:val="00B74B3D"/>
    <w:rsid w:val="00B758AF"/>
    <w:rsid w:val="00B75E61"/>
    <w:rsid w:val="00B7622A"/>
    <w:rsid w:val="00B76A13"/>
    <w:rsid w:val="00B77125"/>
    <w:rsid w:val="00B77DA1"/>
    <w:rsid w:val="00B826A9"/>
    <w:rsid w:val="00B8327D"/>
    <w:rsid w:val="00B834B1"/>
    <w:rsid w:val="00B836D8"/>
    <w:rsid w:val="00B843C3"/>
    <w:rsid w:val="00B849CD"/>
    <w:rsid w:val="00B865B5"/>
    <w:rsid w:val="00B8689C"/>
    <w:rsid w:val="00B86A3C"/>
    <w:rsid w:val="00B92291"/>
    <w:rsid w:val="00B93800"/>
    <w:rsid w:val="00B94A68"/>
    <w:rsid w:val="00B97668"/>
    <w:rsid w:val="00BA01B3"/>
    <w:rsid w:val="00BA06D6"/>
    <w:rsid w:val="00BA1BB6"/>
    <w:rsid w:val="00BA306E"/>
    <w:rsid w:val="00BA359A"/>
    <w:rsid w:val="00BA3857"/>
    <w:rsid w:val="00BA3C86"/>
    <w:rsid w:val="00BA42CF"/>
    <w:rsid w:val="00BA67AF"/>
    <w:rsid w:val="00BA6BA2"/>
    <w:rsid w:val="00BA7E19"/>
    <w:rsid w:val="00BA7EB7"/>
    <w:rsid w:val="00BB271B"/>
    <w:rsid w:val="00BB273C"/>
    <w:rsid w:val="00BB385A"/>
    <w:rsid w:val="00BB517A"/>
    <w:rsid w:val="00BB589D"/>
    <w:rsid w:val="00BB74FE"/>
    <w:rsid w:val="00BB768C"/>
    <w:rsid w:val="00BC018A"/>
    <w:rsid w:val="00BC1B77"/>
    <w:rsid w:val="00BC1CCA"/>
    <w:rsid w:val="00BC2327"/>
    <w:rsid w:val="00BC2D71"/>
    <w:rsid w:val="00BC35FE"/>
    <w:rsid w:val="00BC4BA7"/>
    <w:rsid w:val="00BC58F1"/>
    <w:rsid w:val="00BD02A4"/>
    <w:rsid w:val="00BD20E2"/>
    <w:rsid w:val="00BD4E56"/>
    <w:rsid w:val="00BD5981"/>
    <w:rsid w:val="00BE26F7"/>
    <w:rsid w:val="00BE2EF2"/>
    <w:rsid w:val="00BE3BC7"/>
    <w:rsid w:val="00BE44CD"/>
    <w:rsid w:val="00BE581A"/>
    <w:rsid w:val="00BE7B7F"/>
    <w:rsid w:val="00BE7E7A"/>
    <w:rsid w:val="00BF2EFA"/>
    <w:rsid w:val="00BF4F82"/>
    <w:rsid w:val="00BF5C83"/>
    <w:rsid w:val="00BF5E3B"/>
    <w:rsid w:val="00C02B1C"/>
    <w:rsid w:val="00C03240"/>
    <w:rsid w:val="00C03AF3"/>
    <w:rsid w:val="00C04C75"/>
    <w:rsid w:val="00C05A94"/>
    <w:rsid w:val="00C064E6"/>
    <w:rsid w:val="00C06B2F"/>
    <w:rsid w:val="00C07536"/>
    <w:rsid w:val="00C07ADF"/>
    <w:rsid w:val="00C11961"/>
    <w:rsid w:val="00C119ED"/>
    <w:rsid w:val="00C14A7E"/>
    <w:rsid w:val="00C14E7F"/>
    <w:rsid w:val="00C14E82"/>
    <w:rsid w:val="00C1547A"/>
    <w:rsid w:val="00C16BFD"/>
    <w:rsid w:val="00C17C27"/>
    <w:rsid w:val="00C207E7"/>
    <w:rsid w:val="00C20E00"/>
    <w:rsid w:val="00C21069"/>
    <w:rsid w:val="00C231ED"/>
    <w:rsid w:val="00C23926"/>
    <w:rsid w:val="00C2445C"/>
    <w:rsid w:val="00C248EE"/>
    <w:rsid w:val="00C25D60"/>
    <w:rsid w:val="00C26087"/>
    <w:rsid w:val="00C30197"/>
    <w:rsid w:val="00C30569"/>
    <w:rsid w:val="00C30A03"/>
    <w:rsid w:val="00C334A6"/>
    <w:rsid w:val="00C33F6E"/>
    <w:rsid w:val="00C355EE"/>
    <w:rsid w:val="00C35FE2"/>
    <w:rsid w:val="00C364F1"/>
    <w:rsid w:val="00C402BF"/>
    <w:rsid w:val="00C41DC2"/>
    <w:rsid w:val="00C43472"/>
    <w:rsid w:val="00C43682"/>
    <w:rsid w:val="00C43B08"/>
    <w:rsid w:val="00C442C8"/>
    <w:rsid w:val="00C4494F"/>
    <w:rsid w:val="00C44EAD"/>
    <w:rsid w:val="00C44F55"/>
    <w:rsid w:val="00C456FD"/>
    <w:rsid w:val="00C458FE"/>
    <w:rsid w:val="00C45CAA"/>
    <w:rsid w:val="00C461FB"/>
    <w:rsid w:val="00C50AAD"/>
    <w:rsid w:val="00C50B9C"/>
    <w:rsid w:val="00C51150"/>
    <w:rsid w:val="00C514BF"/>
    <w:rsid w:val="00C514CF"/>
    <w:rsid w:val="00C52808"/>
    <w:rsid w:val="00C53262"/>
    <w:rsid w:val="00C53ABD"/>
    <w:rsid w:val="00C54D9D"/>
    <w:rsid w:val="00C558D0"/>
    <w:rsid w:val="00C567D7"/>
    <w:rsid w:val="00C56854"/>
    <w:rsid w:val="00C57792"/>
    <w:rsid w:val="00C60414"/>
    <w:rsid w:val="00C60D41"/>
    <w:rsid w:val="00C617FD"/>
    <w:rsid w:val="00C623F4"/>
    <w:rsid w:val="00C62FE7"/>
    <w:rsid w:val="00C6499E"/>
    <w:rsid w:val="00C65230"/>
    <w:rsid w:val="00C6626C"/>
    <w:rsid w:val="00C66C34"/>
    <w:rsid w:val="00C670BE"/>
    <w:rsid w:val="00C67B85"/>
    <w:rsid w:val="00C70B47"/>
    <w:rsid w:val="00C7202E"/>
    <w:rsid w:val="00C72053"/>
    <w:rsid w:val="00C73C7A"/>
    <w:rsid w:val="00C751AE"/>
    <w:rsid w:val="00C7633E"/>
    <w:rsid w:val="00C767C8"/>
    <w:rsid w:val="00C773C1"/>
    <w:rsid w:val="00C813A0"/>
    <w:rsid w:val="00C815F6"/>
    <w:rsid w:val="00C81BDF"/>
    <w:rsid w:val="00C82D27"/>
    <w:rsid w:val="00C830BB"/>
    <w:rsid w:val="00C83538"/>
    <w:rsid w:val="00C8421B"/>
    <w:rsid w:val="00C847E5"/>
    <w:rsid w:val="00C86593"/>
    <w:rsid w:val="00C87195"/>
    <w:rsid w:val="00C87508"/>
    <w:rsid w:val="00C9025C"/>
    <w:rsid w:val="00C931EA"/>
    <w:rsid w:val="00C936D1"/>
    <w:rsid w:val="00C93941"/>
    <w:rsid w:val="00C957DF"/>
    <w:rsid w:val="00C9587D"/>
    <w:rsid w:val="00C96BBF"/>
    <w:rsid w:val="00CA0177"/>
    <w:rsid w:val="00CA13AF"/>
    <w:rsid w:val="00CA1CC2"/>
    <w:rsid w:val="00CA24C0"/>
    <w:rsid w:val="00CA2F78"/>
    <w:rsid w:val="00CA30F3"/>
    <w:rsid w:val="00CA320F"/>
    <w:rsid w:val="00CA33D3"/>
    <w:rsid w:val="00CA39AF"/>
    <w:rsid w:val="00CA5DF9"/>
    <w:rsid w:val="00CA6637"/>
    <w:rsid w:val="00CA7AE5"/>
    <w:rsid w:val="00CB2376"/>
    <w:rsid w:val="00CB2C6A"/>
    <w:rsid w:val="00CB2F4C"/>
    <w:rsid w:val="00CB3C71"/>
    <w:rsid w:val="00CB6054"/>
    <w:rsid w:val="00CB6B08"/>
    <w:rsid w:val="00CB728F"/>
    <w:rsid w:val="00CB74D9"/>
    <w:rsid w:val="00CB7B05"/>
    <w:rsid w:val="00CC0A44"/>
    <w:rsid w:val="00CC0F04"/>
    <w:rsid w:val="00CC1681"/>
    <w:rsid w:val="00CC1FB1"/>
    <w:rsid w:val="00CC4739"/>
    <w:rsid w:val="00CC4A19"/>
    <w:rsid w:val="00CC4AD5"/>
    <w:rsid w:val="00CC4B68"/>
    <w:rsid w:val="00CC51EE"/>
    <w:rsid w:val="00CC70D9"/>
    <w:rsid w:val="00CC7B51"/>
    <w:rsid w:val="00CD03FC"/>
    <w:rsid w:val="00CD31B1"/>
    <w:rsid w:val="00CD3A9D"/>
    <w:rsid w:val="00CD715D"/>
    <w:rsid w:val="00CE0DE2"/>
    <w:rsid w:val="00CE38AE"/>
    <w:rsid w:val="00CE499A"/>
    <w:rsid w:val="00CE49B3"/>
    <w:rsid w:val="00CE4C2E"/>
    <w:rsid w:val="00CE6E9F"/>
    <w:rsid w:val="00CF0471"/>
    <w:rsid w:val="00CF05E9"/>
    <w:rsid w:val="00CF4A2A"/>
    <w:rsid w:val="00CF5249"/>
    <w:rsid w:val="00CF7DCF"/>
    <w:rsid w:val="00D024A2"/>
    <w:rsid w:val="00D02B00"/>
    <w:rsid w:val="00D035EA"/>
    <w:rsid w:val="00D04BB8"/>
    <w:rsid w:val="00D059EF"/>
    <w:rsid w:val="00D06147"/>
    <w:rsid w:val="00D06334"/>
    <w:rsid w:val="00D11928"/>
    <w:rsid w:val="00D121C7"/>
    <w:rsid w:val="00D13259"/>
    <w:rsid w:val="00D14054"/>
    <w:rsid w:val="00D15666"/>
    <w:rsid w:val="00D162D2"/>
    <w:rsid w:val="00D176CC"/>
    <w:rsid w:val="00D17995"/>
    <w:rsid w:val="00D21E70"/>
    <w:rsid w:val="00D228AE"/>
    <w:rsid w:val="00D22B82"/>
    <w:rsid w:val="00D2484F"/>
    <w:rsid w:val="00D251CB"/>
    <w:rsid w:val="00D255E2"/>
    <w:rsid w:val="00D266C0"/>
    <w:rsid w:val="00D33C09"/>
    <w:rsid w:val="00D3480A"/>
    <w:rsid w:val="00D362D9"/>
    <w:rsid w:val="00D369D4"/>
    <w:rsid w:val="00D37C7F"/>
    <w:rsid w:val="00D37CA5"/>
    <w:rsid w:val="00D4122B"/>
    <w:rsid w:val="00D42997"/>
    <w:rsid w:val="00D430FE"/>
    <w:rsid w:val="00D43344"/>
    <w:rsid w:val="00D43D9A"/>
    <w:rsid w:val="00D4567B"/>
    <w:rsid w:val="00D45BA1"/>
    <w:rsid w:val="00D46B66"/>
    <w:rsid w:val="00D46CE1"/>
    <w:rsid w:val="00D5049A"/>
    <w:rsid w:val="00D50724"/>
    <w:rsid w:val="00D507BB"/>
    <w:rsid w:val="00D51407"/>
    <w:rsid w:val="00D525A8"/>
    <w:rsid w:val="00D5413E"/>
    <w:rsid w:val="00D54366"/>
    <w:rsid w:val="00D54A20"/>
    <w:rsid w:val="00D56DB7"/>
    <w:rsid w:val="00D578DB"/>
    <w:rsid w:val="00D61AD9"/>
    <w:rsid w:val="00D653CE"/>
    <w:rsid w:val="00D6701E"/>
    <w:rsid w:val="00D71455"/>
    <w:rsid w:val="00D7188C"/>
    <w:rsid w:val="00D71E10"/>
    <w:rsid w:val="00D72352"/>
    <w:rsid w:val="00D728A7"/>
    <w:rsid w:val="00D740B5"/>
    <w:rsid w:val="00D74A3D"/>
    <w:rsid w:val="00D74AD4"/>
    <w:rsid w:val="00D74B97"/>
    <w:rsid w:val="00D7616B"/>
    <w:rsid w:val="00D77E21"/>
    <w:rsid w:val="00D807DE"/>
    <w:rsid w:val="00D81922"/>
    <w:rsid w:val="00D81CBB"/>
    <w:rsid w:val="00D81F0D"/>
    <w:rsid w:val="00D8225A"/>
    <w:rsid w:val="00D846BF"/>
    <w:rsid w:val="00D84B4A"/>
    <w:rsid w:val="00D85028"/>
    <w:rsid w:val="00D851DD"/>
    <w:rsid w:val="00D86476"/>
    <w:rsid w:val="00D868E4"/>
    <w:rsid w:val="00D87B6A"/>
    <w:rsid w:val="00D87BCF"/>
    <w:rsid w:val="00D9117C"/>
    <w:rsid w:val="00D91F6C"/>
    <w:rsid w:val="00D93105"/>
    <w:rsid w:val="00D93211"/>
    <w:rsid w:val="00D94360"/>
    <w:rsid w:val="00D96819"/>
    <w:rsid w:val="00D96B91"/>
    <w:rsid w:val="00DA06F5"/>
    <w:rsid w:val="00DA1107"/>
    <w:rsid w:val="00DA1577"/>
    <w:rsid w:val="00DA161C"/>
    <w:rsid w:val="00DA23F6"/>
    <w:rsid w:val="00DA2915"/>
    <w:rsid w:val="00DA2E98"/>
    <w:rsid w:val="00DA3616"/>
    <w:rsid w:val="00DA3F7C"/>
    <w:rsid w:val="00DA510B"/>
    <w:rsid w:val="00DA618A"/>
    <w:rsid w:val="00DA6A7D"/>
    <w:rsid w:val="00DA6B32"/>
    <w:rsid w:val="00DA75A0"/>
    <w:rsid w:val="00DA7CB3"/>
    <w:rsid w:val="00DB0C00"/>
    <w:rsid w:val="00DB2CE6"/>
    <w:rsid w:val="00DB3400"/>
    <w:rsid w:val="00DB34C5"/>
    <w:rsid w:val="00DB3771"/>
    <w:rsid w:val="00DB3A2A"/>
    <w:rsid w:val="00DB467B"/>
    <w:rsid w:val="00DB46F4"/>
    <w:rsid w:val="00DB5242"/>
    <w:rsid w:val="00DB5F5F"/>
    <w:rsid w:val="00DB704B"/>
    <w:rsid w:val="00DC19E7"/>
    <w:rsid w:val="00DC1EB3"/>
    <w:rsid w:val="00DC20E7"/>
    <w:rsid w:val="00DC2218"/>
    <w:rsid w:val="00DC31C5"/>
    <w:rsid w:val="00DC326E"/>
    <w:rsid w:val="00DC33AC"/>
    <w:rsid w:val="00DC622D"/>
    <w:rsid w:val="00DD2D09"/>
    <w:rsid w:val="00DD2E4B"/>
    <w:rsid w:val="00DD4C62"/>
    <w:rsid w:val="00DD4F0F"/>
    <w:rsid w:val="00DD51EF"/>
    <w:rsid w:val="00DD5DB6"/>
    <w:rsid w:val="00DD7C8A"/>
    <w:rsid w:val="00DE05AB"/>
    <w:rsid w:val="00DE18A9"/>
    <w:rsid w:val="00DE1F7D"/>
    <w:rsid w:val="00DE20A5"/>
    <w:rsid w:val="00DE3158"/>
    <w:rsid w:val="00DE7360"/>
    <w:rsid w:val="00DE76BC"/>
    <w:rsid w:val="00DF1267"/>
    <w:rsid w:val="00DF26F2"/>
    <w:rsid w:val="00DF3C75"/>
    <w:rsid w:val="00DF566E"/>
    <w:rsid w:val="00DF6BF9"/>
    <w:rsid w:val="00DF7EA7"/>
    <w:rsid w:val="00E009E8"/>
    <w:rsid w:val="00E014A1"/>
    <w:rsid w:val="00E01E1D"/>
    <w:rsid w:val="00E025A7"/>
    <w:rsid w:val="00E03753"/>
    <w:rsid w:val="00E03AAF"/>
    <w:rsid w:val="00E050F0"/>
    <w:rsid w:val="00E052C5"/>
    <w:rsid w:val="00E06DED"/>
    <w:rsid w:val="00E174D7"/>
    <w:rsid w:val="00E20402"/>
    <w:rsid w:val="00E20A0C"/>
    <w:rsid w:val="00E21270"/>
    <w:rsid w:val="00E21AC7"/>
    <w:rsid w:val="00E21C5D"/>
    <w:rsid w:val="00E22F29"/>
    <w:rsid w:val="00E258C2"/>
    <w:rsid w:val="00E25E0B"/>
    <w:rsid w:val="00E27B41"/>
    <w:rsid w:val="00E31BB0"/>
    <w:rsid w:val="00E327AB"/>
    <w:rsid w:val="00E328ED"/>
    <w:rsid w:val="00E33DDB"/>
    <w:rsid w:val="00E34864"/>
    <w:rsid w:val="00E36190"/>
    <w:rsid w:val="00E36C7B"/>
    <w:rsid w:val="00E36F20"/>
    <w:rsid w:val="00E4060F"/>
    <w:rsid w:val="00E408D2"/>
    <w:rsid w:val="00E416AC"/>
    <w:rsid w:val="00E41735"/>
    <w:rsid w:val="00E4346E"/>
    <w:rsid w:val="00E44F36"/>
    <w:rsid w:val="00E4519F"/>
    <w:rsid w:val="00E4549F"/>
    <w:rsid w:val="00E45F23"/>
    <w:rsid w:val="00E46430"/>
    <w:rsid w:val="00E472D6"/>
    <w:rsid w:val="00E47EEF"/>
    <w:rsid w:val="00E50BC8"/>
    <w:rsid w:val="00E51303"/>
    <w:rsid w:val="00E51DFF"/>
    <w:rsid w:val="00E54C72"/>
    <w:rsid w:val="00E55547"/>
    <w:rsid w:val="00E55747"/>
    <w:rsid w:val="00E57191"/>
    <w:rsid w:val="00E57B28"/>
    <w:rsid w:val="00E60A39"/>
    <w:rsid w:val="00E60F60"/>
    <w:rsid w:val="00E61659"/>
    <w:rsid w:val="00E617AF"/>
    <w:rsid w:val="00E61FEE"/>
    <w:rsid w:val="00E627A6"/>
    <w:rsid w:val="00E6368D"/>
    <w:rsid w:val="00E64480"/>
    <w:rsid w:val="00E6598D"/>
    <w:rsid w:val="00E66807"/>
    <w:rsid w:val="00E6788E"/>
    <w:rsid w:val="00E70840"/>
    <w:rsid w:val="00E72639"/>
    <w:rsid w:val="00E72767"/>
    <w:rsid w:val="00E73708"/>
    <w:rsid w:val="00E73B8C"/>
    <w:rsid w:val="00E75672"/>
    <w:rsid w:val="00E757D4"/>
    <w:rsid w:val="00E75EDD"/>
    <w:rsid w:val="00E774D3"/>
    <w:rsid w:val="00E7761C"/>
    <w:rsid w:val="00E80AB3"/>
    <w:rsid w:val="00E80BEE"/>
    <w:rsid w:val="00E8293E"/>
    <w:rsid w:val="00E8355D"/>
    <w:rsid w:val="00E85CD1"/>
    <w:rsid w:val="00E90999"/>
    <w:rsid w:val="00E9157B"/>
    <w:rsid w:val="00E9180D"/>
    <w:rsid w:val="00E937A9"/>
    <w:rsid w:val="00E938D4"/>
    <w:rsid w:val="00E93C3B"/>
    <w:rsid w:val="00E94748"/>
    <w:rsid w:val="00E94F5C"/>
    <w:rsid w:val="00E9678B"/>
    <w:rsid w:val="00E9694B"/>
    <w:rsid w:val="00E97CB1"/>
    <w:rsid w:val="00EA032E"/>
    <w:rsid w:val="00EA4CF5"/>
    <w:rsid w:val="00EA6B70"/>
    <w:rsid w:val="00EA7C58"/>
    <w:rsid w:val="00EB1774"/>
    <w:rsid w:val="00EB1BEE"/>
    <w:rsid w:val="00EB22F0"/>
    <w:rsid w:val="00EB3E0F"/>
    <w:rsid w:val="00EB3E62"/>
    <w:rsid w:val="00EB6244"/>
    <w:rsid w:val="00EB7069"/>
    <w:rsid w:val="00EC03B4"/>
    <w:rsid w:val="00EC18FD"/>
    <w:rsid w:val="00EC1B5E"/>
    <w:rsid w:val="00EC1CDA"/>
    <w:rsid w:val="00EC3C18"/>
    <w:rsid w:val="00EC71AC"/>
    <w:rsid w:val="00EC7DFF"/>
    <w:rsid w:val="00ED01B6"/>
    <w:rsid w:val="00ED0840"/>
    <w:rsid w:val="00ED1263"/>
    <w:rsid w:val="00ED2E40"/>
    <w:rsid w:val="00ED2E99"/>
    <w:rsid w:val="00ED4E5F"/>
    <w:rsid w:val="00ED5DE0"/>
    <w:rsid w:val="00ED6F5C"/>
    <w:rsid w:val="00EE07CF"/>
    <w:rsid w:val="00EE0D49"/>
    <w:rsid w:val="00EE1115"/>
    <w:rsid w:val="00EE1DFE"/>
    <w:rsid w:val="00EE5013"/>
    <w:rsid w:val="00EF04C2"/>
    <w:rsid w:val="00EF10F0"/>
    <w:rsid w:val="00EF1E9D"/>
    <w:rsid w:val="00EF674C"/>
    <w:rsid w:val="00EF67E8"/>
    <w:rsid w:val="00EF6C82"/>
    <w:rsid w:val="00EF7A2D"/>
    <w:rsid w:val="00F0095A"/>
    <w:rsid w:val="00F009D3"/>
    <w:rsid w:val="00F01361"/>
    <w:rsid w:val="00F01F79"/>
    <w:rsid w:val="00F0354C"/>
    <w:rsid w:val="00F0447E"/>
    <w:rsid w:val="00F04627"/>
    <w:rsid w:val="00F0517C"/>
    <w:rsid w:val="00F1195C"/>
    <w:rsid w:val="00F129F8"/>
    <w:rsid w:val="00F130ED"/>
    <w:rsid w:val="00F1332E"/>
    <w:rsid w:val="00F1654F"/>
    <w:rsid w:val="00F16C10"/>
    <w:rsid w:val="00F174D8"/>
    <w:rsid w:val="00F20C41"/>
    <w:rsid w:val="00F223FB"/>
    <w:rsid w:val="00F237E7"/>
    <w:rsid w:val="00F23E0B"/>
    <w:rsid w:val="00F258C8"/>
    <w:rsid w:val="00F26744"/>
    <w:rsid w:val="00F26835"/>
    <w:rsid w:val="00F26AB3"/>
    <w:rsid w:val="00F26DF3"/>
    <w:rsid w:val="00F26E7E"/>
    <w:rsid w:val="00F27F5D"/>
    <w:rsid w:val="00F3006F"/>
    <w:rsid w:val="00F308F7"/>
    <w:rsid w:val="00F32794"/>
    <w:rsid w:val="00F32857"/>
    <w:rsid w:val="00F33253"/>
    <w:rsid w:val="00F337B7"/>
    <w:rsid w:val="00F33C3D"/>
    <w:rsid w:val="00F3493E"/>
    <w:rsid w:val="00F34B24"/>
    <w:rsid w:val="00F3510B"/>
    <w:rsid w:val="00F35B7E"/>
    <w:rsid w:val="00F37734"/>
    <w:rsid w:val="00F3784C"/>
    <w:rsid w:val="00F37A02"/>
    <w:rsid w:val="00F43432"/>
    <w:rsid w:val="00F45943"/>
    <w:rsid w:val="00F52A07"/>
    <w:rsid w:val="00F552EB"/>
    <w:rsid w:val="00F60E20"/>
    <w:rsid w:val="00F61967"/>
    <w:rsid w:val="00F61B29"/>
    <w:rsid w:val="00F623BC"/>
    <w:rsid w:val="00F63115"/>
    <w:rsid w:val="00F64396"/>
    <w:rsid w:val="00F6595E"/>
    <w:rsid w:val="00F65EE0"/>
    <w:rsid w:val="00F7139D"/>
    <w:rsid w:val="00F715CB"/>
    <w:rsid w:val="00F71CBF"/>
    <w:rsid w:val="00F725C3"/>
    <w:rsid w:val="00F726D2"/>
    <w:rsid w:val="00F72D88"/>
    <w:rsid w:val="00F72EA7"/>
    <w:rsid w:val="00F73CE0"/>
    <w:rsid w:val="00F73EAD"/>
    <w:rsid w:val="00F746AF"/>
    <w:rsid w:val="00F75F09"/>
    <w:rsid w:val="00F76419"/>
    <w:rsid w:val="00F772D1"/>
    <w:rsid w:val="00F807A6"/>
    <w:rsid w:val="00F81563"/>
    <w:rsid w:val="00F81CD6"/>
    <w:rsid w:val="00F82F75"/>
    <w:rsid w:val="00F860E5"/>
    <w:rsid w:val="00F877B9"/>
    <w:rsid w:val="00F91FB9"/>
    <w:rsid w:val="00F927D0"/>
    <w:rsid w:val="00F9313E"/>
    <w:rsid w:val="00F9415E"/>
    <w:rsid w:val="00F969F5"/>
    <w:rsid w:val="00F976AC"/>
    <w:rsid w:val="00FA03F1"/>
    <w:rsid w:val="00FA06B0"/>
    <w:rsid w:val="00FA0F72"/>
    <w:rsid w:val="00FA190D"/>
    <w:rsid w:val="00FA1A5F"/>
    <w:rsid w:val="00FA242D"/>
    <w:rsid w:val="00FA2951"/>
    <w:rsid w:val="00FA2C7D"/>
    <w:rsid w:val="00FA2D6F"/>
    <w:rsid w:val="00FA368E"/>
    <w:rsid w:val="00FA427B"/>
    <w:rsid w:val="00FA62FC"/>
    <w:rsid w:val="00FA63ED"/>
    <w:rsid w:val="00FA68DE"/>
    <w:rsid w:val="00FB0762"/>
    <w:rsid w:val="00FB0EF1"/>
    <w:rsid w:val="00FB0F32"/>
    <w:rsid w:val="00FB12BC"/>
    <w:rsid w:val="00FB1B0B"/>
    <w:rsid w:val="00FB3A1D"/>
    <w:rsid w:val="00FB3F59"/>
    <w:rsid w:val="00FB4CD9"/>
    <w:rsid w:val="00FC0C64"/>
    <w:rsid w:val="00FC26A4"/>
    <w:rsid w:val="00FC29B8"/>
    <w:rsid w:val="00FC3D03"/>
    <w:rsid w:val="00FC4459"/>
    <w:rsid w:val="00FC48D0"/>
    <w:rsid w:val="00FC4DDA"/>
    <w:rsid w:val="00FD0CA9"/>
    <w:rsid w:val="00FD0F59"/>
    <w:rsid w:val="00FD2F9C"/>
    <w:rsid w:val="00FD34D4"/>
    <w:rsid w:val="00FD409F"/>
    <w:rsid w:val="00FD470D"/>
    <w:rsid w:val="00FD4960"/>
    <w:rsid w:val="00FD5BA1"/>
    <w:rsid w:val="00FD79FE"/>
    <w:rsid w:val="00FD7C1B"/>
    <w:rsid w:val="00FE0261"/>
    <w:rsid w:val="00FE0ABF"/>
    <w:rsid w:val="00FE0D4C"/>
    <w:rsid w:val="00FE0EFF"/>
    <w:rsid w:val="00FE18C5"/>
    <w:rsid w:val="00FE1BDB"/>
    <w:rsid w:val="00FE1C4C"/>
    <w:rsid w:val="00FE2650"/>
    <w:rsid w:val="00FE2977"/>
    <w:rsid w:val="00FE37D0"/>
    <w:rsid w:val="00FE3BFF"/>
    <w:rsid w:val="00FE3E88"/>
    <w:rsid w:val="00FE4F5D"/>
    <w:rsid w:val="00FE57D7"/>
    <w:rsid w:val="00FE5A8C"/>
    <w:rsid w:val="00FE6803"/>
    <w:rsid w:val="00FE7856"/>
    <w:rsid w:val="00FE79F1"/>
    <w:rsid w:val="00FF2500"/>
    <w:rsid w:val="00FF2769"/>
    <w:rsid w:val="00FF28B1"/>
    <w:rsid w:val="00FF336D"/>
    <w:rsid w:val="00FF49FC"/>
    <w:rsid w:val="00FF64BA"/>
    <w:rsid w:val="00FF732B"/>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8CDBC401-3B51-4B9F-8737-B69ECB0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Theme="minorHAnsi" w:hAnsi="Nunito Sans"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38E5"/>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sz="36" w:space="4" w:color="0137A6"/>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451CA8"/>
    <w:pPr>
      <w:spacing w:before="240" w:after="120" w:line="276" w:lineRule="auto"/>
      <w:ind w:left="29"/>
      <w:jc w:val="both"/>
      <w:outlineLvl w:val="1"/>
    </w:pPr>
    <w:rPr>
      <w:rFonts w:ascii="Nunito Sans SemiBold" w:hAnsi="Nunito Sans SemiBold" w:cs="Times New Roman"/>
      <w:color w:val="0137A6"/>
      <w:szCs w:val="18"/>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E5"/>
    <w:rPr>
      <w:rFonts w:ascii="Mulish Black" w:hAnsi="Mulish Black"/>
      <w:color w:val="0137A6"/>
      <w:sz w:val="36"/>
      <w:szCs w:val="36"/>
    </w:rPr>
  </w:style>
  <w:style w:type="character" w:customStyle="1" w:styleId="Heading2Char">
    <w:name w:val="Heading 2 Char"/>
    <w:basedOn w:val="DefaultParagraphFont"/>
    <w:link w:val="Heading2"/>
    <w:uiPriority w:val="9"/>
    <w:rsid w:val="00451CA8"/>
    <w:rPr>
      <w:rFonts w:ascii="Nunito Sans SemiBold" w:hAnsi="Nunito Sans SemiBold" w:cs="Times New Roman"/>
      <w:color w:val="0137A6"/>
      <w:szCs w:val="18"/>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kenbright.co.ke"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www.kenbright.co.ke"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07/relationships/hdphoto" Target="media/hdphoto1.wdp"/><Relationship Id="rId27" Type="http://schemas.openxmlformats.org/officeDocument/2006/relationships/footer" Target="footer3.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cd1b912e7575a5780b4268f312c1597f">
  <xsd:schema xmlns:xsd="http://www.w3.org/2001/XMLSchema" xmlns:xs="http://www.w3.org/2001/XMLSchema" xmlns:p="http://schemas.microsoft.com/office/2006/metadata/properties" xmlns:ns2="dfa2d9f5-199c-4212-8ee5-c011be210f49" targetNamespace="http://schemas.microsoft.com/office/2006/metadata/properties" ma:root="true" ma:fieldsID="a31d8e20f961a93ecead141b6b8905aa"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2.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3.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customXml/itemProps4.xml><?xml version="1.0" encoding="utf-8"?>
<ds:datastoreItem xmlns:ds="http://schemas.openxmlformats.org/officeDocument/2006/customXml" ds:itemID="{5E642431-3D0A-4938-B432-3A9BBFD94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1634</TotalTime>
  <Pages>24</Pages>
  <Words>6009</Words>
  <Characters>31793</Characters>
  <Application>Microsoft Office Word</Application>
  <DocSecurity>0</DocSecurity>
  <Lines>859</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37221</CharactersWithSpaces>
  <SharedDoc>false</SharedDoc>
  <HLinks>
    <vt:vector size="150" baseType="variant">
      <vt:variant>
        <vt:i4>1114165</vt:i4>
      </vt:variant>
      <vt:variant>
        <vt:i4>140</vt:i4>
      </vt:variant>
      <vt:variant>
        <vt:i4>0</vt:i4>
      </vt:variant>
      <vt:variant>
        <vt:i4>5</vt:i4>
      </vt:variant>
      <vt:variant>
        <vt:lpwstr/>
      </vt:variant>
      <vt:variant>
        <vt:lpwstr>_Toc191365394</vt:lpwstr>
      </vt:variant>
      <vt:variant>
        <vt:i4>1114165</vt:i4>
      </vt:variant>
      <vt:variant>
        <vt:i4>134</vt:i4>
      </vt:variant>
      <vt:variant>
        <vt:i4>0</vt:i4>
      </vt:variant>
      <vt:variant>
        <vt:i4>5</vt:i4>
      </vt:variant>
      <vt:variant>
        <vt:lpwstr/>
      </vt:variant>
      <vt:variant>
        <vt:lpwstr>_Toc191365393</vt:lpwstr>
      </vt:variant>
      <vt:variant>
        <vt:i4>1114165</vt:i4>
      </vt:variant>
      <vt:variant>
        <vt:i4>128</vt:i4>
      </vt:variant>
      <vt:variant>
        <vt:i4>0</vt:i4>
      </vt:variant>
      <vt:variant>
        <vt:i4>5</vt:i4>
      </vt:variant>
      <vt:variant>
        <vt:lpwstr/>
      </vt:variant>
      <vt:variant>
        <vt:lpwstr>_Toc191365392</vt:lpwstr>
      </vt:variant>
      <vt:variant>
        <vt:i4>1114165</vt:i4>
      </vt:variant>
      <vt:variant>
        <vt:i4>122</vt:i4>
      </vt:variant>
      <vt:variant>
        <vt:i4>0</vt:i4>
      </vt:variant>
      <vt:variant>
        <vt:i4>5</vt:i4>
      </vt:variant>
      <vt:variant>
        <vt:lpwstr/>
      </vt:variant>
      <vt:variant>
        <vt:lpwstr>_Toc191365391</vt:lpwstr>
      </vt:variant>
      <vt:variant>
        <vt:i4>1114165</vt:i4>
      </vt:variant>
      <vt:variant>
        <vt:i4>116</vt:i4>
      </vt:variant>
      <vt:variant>
        <vt:i4>0</vt:i4>
      </vt:variant>
      <vt:variant>
        <vt:i4>5</vt:i4>
      </vt:variant>
      <vt:variant>
        <vt:lpwstr/>
      </vt:variant>
      <vt:variant>
        <vt:lpwstr>_Toc191365390</vt:lpwstr>
      </vt:variant>
      <vt:variant>
        <vt:i4>1048629</vt:i4>
      </vt:variant>
      <vt:variant>
        <vt:i4>110</vt:i4>
      </vt:variant>
      <vt:variant>
        <vt:i4>0</vt:i4>
      </vt:variant>
      <vt:variant>
        <vt:i4>5</vt:i4>
      </vt:variant>
      <vt:variant>
        <vt:lpwstr/>
      </vt:variant>
      <vt:variant>
        <vt:lpwstr>_Toc191365389</vt:lpwstr>
      </vt:variant>
      <vt:variant>
        <vt:i4>1048629</vt:i4>
      </vt:variant>
      <vt:variant>
        <vt:i4>104</vt:i4>
      </vt:variant>
      <vt:variant>
        <vt:i4>0</vt:i4>
      </vt:variant>
      <vt:variant>
        <vt:i4>5</vt:i4>
      </vt:variant>
      <vt:variant>
        <vt:lpwstr/>
      </vt:variant>
      <vt:variant>
        <vt:lpwstr>_Toc191365388</vt:lpwstr>
      </vt:variant>
      <vt:variant>
        <vt:i4>1048629</vt:i4>
      </vt:variant>
      <vt:variant>
        <vt:i4>98</vt:i4>
      </vt:variant>
      <vt:variant>
        <vt:i4>0</vt:i4>
      </vt:variant>
      <vt:variant>
        <vt:i4>5</vt:i4>
      </vt:variant>
      <vt:variant>
        <vt:lpwstr/>
      </vt:variant>
      <vt:variant>
        <vt:lpwstr>_Toc191365387</vt:lpwstr>
      </vt:variant>
      <vt:variant>
        <vt:i4>1048629</vt:i4>
      </vt:variant>
      <vt:variant>
        <vt:i4>92</vt:i4>
      </vt:variant>
      <vt:variant>
        <vt:i4>0</vt:i4>
      </vt:variant>
      <vt:variant>
        <vt:i4>5</vt:i4>
      </vt:variant>
      <vt:variant>
        <vt:lpwstr/>
      </vt:variant>
      <vt:variant>
        <vt:lpwstr>_Toc191365386</vt:lpwstr>
      </vt:variant>
      <vt:variant>
        <vt:i4>1048629</vt:i4>
      </vt:variant>
      <vt:variant>
        <vt:i4>86</vt:i4>
      </vt:variant>
      <vt:variant>
        <vt:i4>0</vt:i4>
      </vt:variant>
      <vt:variant>
        <vt:i4>5</vt:i4>
      </vt:variant>
      <vt:variant>
        <vt:lpwstr/>
      </vt:variant>
      <vt:variant>
        <vt:lpwstr>_Toc191365385</vt:lpwstr>
      </vt:variant>
      <vt:variant>
        <vt:i4>1048629</vt:i4>
      </vt:variant>
      <vt:variant>
        <vt:i4>80</vt:i4>
      </vt:variant>
      <vt:variant>
        <vt:i4>0</vt:i4>
      </vt:variant>
      <vt:variant>
        <vt:i4>5</vt:i4>
      </vt:variant>
      <vt:variant>
        <vt:lpwstr/>
      </vt:variant>
      <vt:variant>
        <vt:lpwstr>_Toc191365384</vt:lpwstr>
      </vt:variant>
      <vt:variant>
        <vt:i4>1048629</vt:i4>
      </vt:variant>
      <vt:variant>
        <vt:i4>74</vt:i4>
      </vt:variant>
      <vt:variant>
        <vt:i4>0</vt:i4>
      </vt:variant>
      <vt:variant>
        <vt:i4>5</vt:i4>
      </vt:variant>
      <vt:variant>
        <vt:lpwstr/>
      </vt:variant>
      <vt:variant>
        <vt:lpwstr>_Toc191365383</vt:lpwstr>
      </vt:variant>
      <vt:variant>
        <vt:i4>1048629</vt:i4>
      </vt:variant>
      <vt:variant>
        <vt:i4>68</vt:i4>
      </vt:variant>
      <vt:variant>
        <vt:i4>0</vt:i4>
      </vt:variant>
      <vt:variant>
        <vt:i4>5</vt:i4>
      </vt:variant>
      <vt:variant>
        <vt:lpwstr/>
      </vt:variant>
      <vt:variant>
        <vt:lpwstr>_Toc191365382</vt:lpwstr>
      </vt:variant>
      <vt:variant>
        <vt:i4>1048629</vt:i4>
      </vt:variant>
      <vt:variant>
        <vt:i4>62</vt:i4>
      </vt:variant>
      <vt:variant>
        <vt:i4>0</vt:i4>
      </vt:variant>
      <vt:variant>
        <vt:i4>5</vt:i4>
      </vt:variant>
      <vt:variant>
        <vt:lpwstr/>
      </vt:variant>
      <vt:variant>
        <vt:lpwstr>_Toc191365381</vt:lpwstr>
      </vt:variant>
      <vt:variant>
        <vt:i4>1048629</vt:i4>
      </vt:variant>
      <vt:variant>
        <vt:i4>56</vt:i4>
      </vt:variant>
      <vt:variant>
        <vt:i4>0</vt:i4>
      </vt:variant>
      <vt:variant>
        <vt:i4>5</vt:i4>
      </vt:variant>
      <vt:variant>
        <vt:lpwstr/>
      </vt:variant>
      <vt:variant>
        <vt:lpwstr>_Toc191365380</vt:lpwstr>
      </vt:variant>
      <vt:variant>
        <vt:i4>2031669</vt:i4>
      </vt:variant>
      <vt:variant>
        <vt:i4>50</vt:i4>
      </vt:variant>
      <vt:variant>
        <vt:i4>0</vt:i4>
      </vt:variant>
      <vt:variant>
        <vt:i4>5</vt:i4>
      </vt:variant>
      <vt:variant>
        <vt:lpwstr/>
      </vt:variant>
      <vt:variant>
        <vt:lpwstr>_Toc191365379</vt:lpwstr>
      </vt:variant>
      <vt:variant>
        <vt:i4>2031669</vt:i4>
      </vt:variant>
      <vt:variant>
        <vt:i4>44</vt:i4>
      </vt:variant>
      <vt:variant>
        <vt:i4>0</vt:i4>
      </vt:variant>
      <vt:variant>
        <vt:i4>5</vt:i4>
      </vt:variant>
      <vt:variant>
        <vt:lpwstr/>
      </vt:variant>
      <vt:variant>
        <vt:lpwstr>_Toc191365378</vt:lpwstr>
      </vt:variant>
      <vt:variant>
        <vt:i4>2031669</vt:i4>
      </vt:variant>
      <vt:variant>
        <vt:i4>38</vt:i4>
      </vt:variant>
      <vt:variant>
        <vt:i4>0</vt:i4>
      </vt:variant>
      <vt:variant>
        <vt:i4>5</vt:i4>
      </vt:variant>
      <vt:variant>
        <vt:lpwstr/>
      </vt:variant>
      <vt:variant>
        <vt:lpwstr>_Toc191365377</vt:lpwstr>
      </vt:variant>
      <vt:variant>
        <vt:i4>2031669</vt:i4>
      </vt:variant>
      <vt:variant>
        <vt:i4>32</vt:i4>
      </vt:variant>
      <vt:variant>
        <vt:i4>0</vt:i4>
      </vt:variant>
      <vt:variant>
        <vt:i4>5</vt:i4>
      </vt:variant>
      <vt:variant>
        <vt:lpwstr/>
      </vt:variant>
      <vt:variant>
        <vt:lpwstr>_Toc191365376</vt:lpwstr>
      </vt:variant>
      <vt:variant>
        <vt:i4>2031669</vt:i4>
      </vt:variant>
      <vt:variant>
        <vt:i4>26</vt:i4>
      </vt:variant>
      <vt:variant>
        <vt:i4>0</vt:i4>
      </vt:variant>
      <vt:variant>
        <vt:i4>5</vt:i4>
      </vt:variant>
      <vt:variant>
        <vt:lpwstr/>
      </vt:variant>
      <vt:variant>
        <vt:lpwstr>_Toc191365375</vt:lpwstr>
      </vt:variant>
      <vt:variant>
        <vt:i4>2031669</vt:i4>
      </vt:variant>
      <vt:variant>
        <vt:i4>20</vt:i4>
      </vt:variant>
      <vt:variant>
        <vt:i4>0</vt:i4>
      </vt:variant>
      <vt:variant>
        <vt:i4>5</vt:i4>
      </vt:variant>
      <vt:variant>
        <vt:lpwstr/>
      </vt:variant>
      <vt:variant>
        <vt:lpwstr>_Toc191365374</vt:lpwstr>
      </vt:variant>
      <vt:variant>
        <vt:i4>2031669</vt:i4>
      </vt:variant>
      <vt:variant>
        <vt:i4>14</vt:i4>
      </vt:variant>
      <vt:variant>
        <vt:i4>0</vt:i4>
      </vt:variant>
      <vt:variant>
        <vt:i4>5</vt:i4>
      </vt:variant>
      <vt:variant>
        <vt:lpwstr/>
      </vt:variant>
      <vt:variant>
        <vt:lpwstr>_Toc191365373</vt:lpwstr>
      </vt:variant>
      <vt:variant>
        <vt:i4>2031669</vt:i4>
      </vt:variant>
      <vt:variant>
        <vt:i4>8</vt:i4>
      </vt:variant>
      <vt:variant>
        <vt:i4>0</vt:i4>
      </vt:variant>
      <vt:variant>
        <vt:i4>5</vt:i4>
      </vt:variant>
      <vt:variant>
        <vt:lpwstr/>
      </vt:variant>
      <vt:variant>
        <vt:lpwstr>_Toc191365372</vt:lpwstr>
      </vt:variant>
      <vt:variant>
        <vt:i4>2031669</vt:i4>
      </vt:variant>
      <vt:variant>
        <vt:i4>2</vt:i4>
      </vt:variant>
      <vt:variant>
        <vt:i4>0</vt:i4>
      </vt:variant>
      <vt:variant>
        <vt:i4>5</vt:i4>
      </vt:variant>
      <vt:variant>
        <vt:lpwstr/>
      </vt:variant>
      <vt:variant>
        <vt:lpwstr>_Toc191365371</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Vanessa Moraa</cp:lastModifiedBy>
  <cp:revision>752</cp:revision>
  <cp:lastPrinted>2025-09-22T08:43:00Z</cp:lastPrinted>
  <dcterms:created xsi:type="dcterms:W3CDTF">2024-11-12T20:48:00Z</dcterms:created>
  <dcterms:modified xsi:type="dcterms:W3CDTF">2026-01-29T07:22:00Z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