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36E44" w14:textId="13CB0B88" w:rsidR="00714701" w:rsidRPr="00876EFB" w:rsidRDefault="00EB655E" w:rsidP="007703DB">
      <w:pPr>
        <w:pStyle w:val="Heading1"/>
        <w:rPr>
          <w:color w:val="000000" w:themeColor="text1"/>
        </w:rPr>
      </w:pPr>
      <w:r w:rsidRPr="00876EFB">
        <w:rPr>
          <w:color w:val="000000" w:themeColor="text1"/>
        </w:rPr>
        <w:t>QUIZZ</w:t>
      </w:r>
    </w:p>
    <w:p w14:paraId="3CBF21EC" w14:textId="77777777" w:rsidR="004403CC" w:rsidRPr="00876EFB" w:rsidRDefault="004403CC" w:rsidP="00876EFB">
      <w:pPr>
        <w:pStyle w:val="ListParagraph"/>
        <w:numPr>
          <w:ilvl w:val="0"/>
          <w:numId w:val="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According to the IAA definition, professional judgement is:</w:t>
      </w:r>
    </w:p>
    <w:p w14:paraId="685BD155" w14:textId="403AC5D3" w:rsidR="00B67E88" w:rsidRPr="00B67E88" w:rsidRDefault="00B67E88" w:rsidP="00B67E88">
      <w:pPr>
        <w:pStyle w:val="ListParagraph"/>
        <w:numPr>
          <w:ilvl w:val="0"/>
          <w:numId w:val="6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B67E88">
        <w:rPr>
          <w:rFonts w:ascii="Nunito Sans" w:hAnsi="Nunito Sans"/>
          <w:color w:val="000000" w:themeColor="text1"/>
          <w:sz w:val="18"/>
          <w:szCs w:val="18"/>
          <w:lang w:val="en-US"/>
        </w:rPr>
        <w:t>The judgment of an actuary based on actuarial training and experience, grounded in actuarial principles</w:t>
      </w:r>
    </w:p>
    <w:p w14:paraId="11303237" w14:textId="10AAC38C" w:rsidR="004403CC" w:rsidRPr="00B67E88" w:rsidRDefault="00B67E88" w:rsidP="00B67E88">
      <w:pPr>
        <w:pStyle w:val="ListParagraph"/>
        <w:numPr>
          <w:ilvl w:val="0"/>
          <w:numId w:val="6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B67E88">
        <w:rPr>
          <w:rFonts w:ascii="Nunito Sans" w:hAnsi="Nunito Sans"/>
          <w:color w:val="000000" w:themeColor="text1"/>
          <w:sz w:val="18"/>
          <w:szCs w:val="18"/>
          <w:lang w:val="en-US"/>
        </w:rPr>
        <w:t>Any decision made by an actuary in their day-to-day work</w:t>
      </w:r>
    </w:p>
    <w:p w14:paraId="01031A1D" w14:textId="09AABB28" w:rsidR="004403CC" w:rsidRPr="00B67E88" w:rsidRDefault="004403CC" w:rsidP="00B67E88">
      <w:pPr>
        <w:pStyle w:val="ListParagraph"/>
        <w:numPr>
          <w:ilvl w:val="0"/>
          <w:numId w:val="6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B67E88">
        <w:rPr>
          <w:rFonts w:ascii="Nunito Sans" w:hAnsi="Nunito Sans"/>
          <w:color w:val="000000" w:themeColor="text1"/>
          <w:sz w:val="18"/>
          <w:szCs w:val="18"/>
          <w:lang w:val="en-US"/>
        </w:rPr>
        <w:t>Any choice made when handling client data</w:t>
      </w:r>
    </w:p>
    <w:p w14:paraId="6F0D6B80" w14:textId="5DC904F9" w:rsidR="004403CC" w:rsidRPr="00B67E88" w:rsidRDefault="004403CC" w:rsidP="00B67E88">
      <w:pPr>
        <w:pStyle w:val="ListParagraph"/>
        <w:numPr>
          <w:ilvl w:val="0"/>
          <w:numId w:val="6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B67E88">
        <w:rPr>
          <w:rFonts w:ascii="Nunito Sans" w:hAnsi="Nunito Sans"/>
          <w:color w:val="000000" w:themeColor="text1"/>
          <w:sz w:val="18"/>
          <w:szCs w:val="18"/>
          <w:lang w:val="en-US"/>
        </w:rPr>
        <w:t>A subjective opinion without the need for validation</w:t>
      </w:r>
    </w:p>
    <w:p w14:paraId="70E20AB4" w14:textId="72A7F2C6" w:rsidR="004403CC" w:rsidRPr="00876EFB" w:rsidRDefault="00876EFB" w:rsidP="004403CC">
      <w:pPr>
        <w:rPr>
          <w:rFonts w:ascii="Nunito Sans" w:hAnsi="Nunito Sans"/>
          <w:color w:val="0137A6"/>
          <w:sz w:val="18"/>
          <w:szCs w:val="18"/>
          <w:lang w:val="en-US"/>
        </w:rPr>
      </w:pPr>
      <w:r w:rsidRPr="00876EFB">
        <w:rPr>
          <w:rFonts w:ascii="Nunito Sans" w:hAnsi="Nunito Sans"/>
          <w:color w:val="0137A6"/>
          <w:sz w:val="18"/>
          <w:szCs w:val="18"/>
          <w:lang w:val="en-US"/>
        </w:rPr>
        <w:t xml:space="preserve">Correct Answer: </w:t>
      </w:r>
      <w:r w:rsidR="00B67E88">
        <w:rPr>
          <w:rFonts w:ascii="Nunito Sans" w:hAnsi="Nunito Sans"/>
          <w:color w:val="0137A6"/>
          <w:sz w:val="18"/>
          <w:szCs w:val="18"/>
          <w:lang w:val="en-US"/>
        </w:rPr>
        <w:t>A</w:t>
      </w:r>
    </w:p>
    <w:p w14:paraId="2AC194DA" w14:textId="77777777" w:rsidR="004403CC" w:rsidRPr="00876EFB" w:rsidRDefault="004403CC" w:rsidP="00876EFB">
      <w:pPr>
        <w:pStyle w:val="ListParagraph"/>
        <w:numPr>
          <w:ilvl w:val="0"/>
          <w:numId w:val="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Under TAS 100, professional judgement is more likely to be required when:</w:t>
      </w:r>
    </w:p>
    <w:p w14:paraId="5F78339A" w14:textId="19FFCBA8" w:rsidR="004403CC" w:rsidRPr="00876EFB" w:rsidRDefault="004403CC" w:rsidP="00B67E88">
      <w:pPr>
        <w:pStyle w:val="ListParagraph"/>
        <w:numPr>
          <w:ilvl w:val="0"/>
          <w:numId w:val="7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Calculations involve only simple arithmetic</w:t>
      </w:r>
    </w:p>
    <w:p w14:paraId="216094EE" w14:textId="7AD06223" w:rsidR="004403CC" w:rsidRPr="00876EFB" w:rsidRDefault="004403CC" w:rsidP="00B67E88">
      <w:pPr>
        <w:pStyle w:val="ListParagraph"/>
        <w:numPr>
          <w:ilvl w:val="0"/>
          <w:numId w:val="7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The work involves complex calculations</w:t>
      </w:r>
    </w:p>
    <w:p w14:paraId="113E3D37" w14:textId="7ED8C646" w:rsidR="004403CC" w:rsidRPr="00876EFB" w:rsidRDefault="004403CC" w:rsidP="00B67E88">
      <w:pPr>
        <w:pStyle w:val="ListParagraph"/>
        <w:numPr>
          <w:ilvl w:val="0"/>
          <w:numId w:val="7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Reports are prepared for non-technical audiences</w:t>
      </w:r>
    </w:p>
    <w:p w14:paraId="76CCF4B8" w14:textId="42917D57" w:rsidR="00FE4E45" w:rsidRDefault="004403CC" w:rsidP="00B67E88">
      <w:pPr>
        <w:pStyle w:val="ListParagraph"/>
        <w:numPr>
          <w:ilvl w:val="0"/>
          <w:numId w:val="7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Regulatory approval is not required</w:t>
      </w:r>
    </w:p>
    <w:p w14:paraId="73F79848" w14:textId="70BCEDA5" w:rsidR="00876EFB" w:rsidRPr="00876EFB" w:rsidRDefault="00876EFB" w:rsidP="00876EFB">
      <w:pPr>
        <w:rPr>
          <w:rFonts w:ascii="Nunito Sans" w:hAnsi="Nunito Sans"/>
          <w:color w:val="0137A6"/>
          <w:sz w:val="18"/>
          <w:szCs w:val="18"/>
          <w:lang w:val="en-US"/>
        </w:rPr>
      </w:pPr>
      <w:r w:rsidRPr="00876EFB">
        <w:rPr>
          <w:rFonts w:ascii="Nunito Sans" w:hAnsi="Nunito Sans"/>
          <w:color w:val="0137A6"/>
          <w:sz w:val="18"/>
          <w:szCs w:val="18"/>
          <w:lang w:val="en-US"/>
        </w:rPr>
        <w:t>Correct Answer: B</w:t>
      </w:r>
    </w:p>
    <w:p w14:paraId="10D487EB" w14:textId="77777777" w:rsidR="008704CA" w:rsidRPr="00876EFB" w:rsidRDefault="008704CA" w:rsidP="00876EFB">
      <w:pPr>
        <w:pStyle w:val="ListParagraph"/>
        <w:numPr>
          <w:ilvl w:val="0"/>
          <w:numId w:val="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The Liability for Remaining Coverage (LRC) represents:</w:t>
      </w:r>
    </w:p>
    <w:p w14:paraId="50F3D29E" w14:textId="77777777" w:rsidR="00B67E88" w:rsidRPr="00B67E88" w:rsidRDefault="008704CA" w:rsidP="00B67E88">
      <w:pPr>
        <w:pStyle w:val="ListParagraph"/>
        <w:numPr>
          <w:ilvl w:val="0"/>
          <w:numId w:val="11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B67E88">
        <w:rPr>
          <w:rFonts w:ascii="Nunito Sans" w:hAnsi="Nunito Sans"/>
          <w:color w:val="000000" w:themeColor="text1"/>
          <w:sz w:val="18"/>
          <w:szCs w:val="18"/>
          <w:lang w:val="en-US"/>
        </w:rPr>
        <w:t>Claims that have already been paid</w:t>
      </w:r>
    </w:p>
    <w:p w14:paraId="46012D58" w14:textId="5C234AA7" w:rsidR="008704CA" w:rsidRPr="00B67E88" w:rsidRDefault="008704CA" w:rsidP="00B67E88">
      <w:pPr>
        <w:pStyle w:val="ListParagraph"/>
        <w:numPr>
          <w:ilvl w:val="0"/>
          <w:numId w:val="11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B67E88">
        <w:rPr>
          <w:rFonts w:ascii="Nunito Sans" w:hAnsi="Nunito Sans"/>
          <w:color w:val="000000" w:themeColor="text1"/>
          <w:sz w:val="18"/>
          <w:szCs w:val="18"/>
          <w:lang w:val="en-US"/>
        </w:rPr>
        <w:t>The reserves for claims incurred but not reported</w:t>
      </w:r>
    </w:p>
    <w:p w14:paraId="227B5619" w14:textId="35844916" w:rsidR="00B67E88" w:rsidRPr="00B67E88" w:rsidRDefault="008704CA" w:rsidP="00B67E88">
      <w:pPr>
        <w:pStyle w:val="ListParagraph"/>
        <w:numPr>
          <w:ilvl w:val="0"/>
          <w:numId w:val="11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B67E88">
        <w:rPr>
          <w:rFonts w:ascii="Nunito Sans" w:hAnsi="Nunito Sans"/>
          <w:color w:val="000000" w:themeColor="text1"/>
          <w:sz w:val="18"/>
          <w:szCs w:val="18"/>
          <w:lang w:val="en-US"/>
        </w:rPr>
        <w:t>The expenses incurred in policy acquisition</w:t>
      </w:r>
    </w:p>
    <w:p w14:paraId="1EE55655" w14:textId="213FAA77" w:rsidR="00B67E88" w:rsidRPr="00B67E88" w:rsidRDefault="00B67E88" w:rsidP="00B67E88">
      <w:pPr>
        <w:pStyle w:val="ListParagraph"/>
        <w:numPr>
          <w:ilvl w:val="0"/>
          <w:numId w:val="11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B67E88">
        <w:rPr>
          <w:rFonts w:ascii="Nunito Sans" w:hAnsi="Nunito Sans"/>
          <w:color w:val="000000" w:themeColor="text1"/>
          <w:sz w:val="18"/>
          <w:szCs w:val="18"/>
          <w:lang w:val="en-US"/>
        </w:rPr>
        <w:t>The cost of running off the unexpired portion of policies</w:t>
      </w:r>
    </w:p>
    <w:p w14:paraId="38F9F26C" w14:textId="2006CE31" w:rsidR="008704CA" w:rsidRPr="00876EFB" w:rsidRDefault="00876EFB" w:rsidP="008704CA">
      <w:pPr>
        <w:rPr>
          <w:rFonts w:ascii="Nunito Sans" w:hAnsi="Nunito Sans"/>
          <w:color w:val="0137A6"/>
          <w:sz w:val="18"/>
          <w:szCs w:val="18"/>
          <w:lang w:val="en-US"/>
        </w:rPr>
      </w:pPr>
      <w:r w:rsidRPr="00876EFB">
        <w:rPr>
          <w:rFonts w:ascii="Nunito Sans" w:hAnsi="Nunito Sans"/>
          <w:color w:val="0137A6"/>
          <w:sz w:val="18"/>
          <w:szCs w:val="18"/>
          <w:lang w:val="en-US"/>
        </w:rPr>
        <w:t xml:space="preserve">Correct Answer: </w:t>
      </w:r>
      <w:r w:rsidR="00B67E88">
        <w:rPr>
          <w:rFonts w:ascii="Nunito Sans" w:hAnsi="Nunito Sans"/>
          <w:color w:val="0137A6"/>
          <w:sz w:val="18"/>
          <w:szCs w:val="18"/>
          <w:lang w:val="en-US"/>
        </w:rPr>
        <w:t>D</w:t>
      </w:r>
    </w:p>
    <w:p w14:paraId="67D5FDB6" w14:textId="77777777" w:rsidR="008704CA" w:rsidRPr="00876EFB" w:rsidRDefault="008704CA" w:rsidP="00876EFB">
      <w:pPr>
        <w:pStyle w:val="ListParagraph"/>
        <w:numPr>
          <w:ilvl w:val="0"/>
          <w:numId w:val="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The Loss Component under IFRS 17 refers to:</w:t>
      </w:r>
    </w:p>
    <w:p w14:paraId="7ABD1B36" w14:textId="43C9D224" w:rsidR="00B67E88" w:rsidRDefault="00B67E88" w:rsidP="00B67E88">
      <w:pPr>
        <w:pStyle w:val="ListParagraph"/>
        <w:numPr>
          <w:ilvl w:val="0"/>
          <w:numId w:val="12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B67E88">
        <w:rPr>
          <w:rFonts w:ascii="Nunito Sans" w:hAnsi="Nunito Sans"/>
          <w:color w:val="000000" w:themeColor="text1"/>
          <w:sz w:val="18"/>
          <w:szCs w:val="18"/>
          <w:lang w:val="en-US"/>
        </w:rPr>
        <w:t>Future losses expected from a group of contracts</w:t>
      </w:r>
    </w:p>
    <w:p w14:paraId="36812A44" w14:textId="0CBCFF96" w:rsidR="008704CA" w:rsidRPr="00B67E88" w:rsidRDefault="008704CA" w:rsidP="00B67E88">
      <w:pPr>
        <w:pStyle w:val="ListParagraph"/>
        <w:numPr>
          <w:ilvl w:val="0"/>
          <w:numId w:val="12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B67E88">
        <w:rPr>
          <w:rFonts w:ascii="Nunito Sans" w:hAnsi="Nunito Sans"/>
          <w:color w:val="000000" w:themeColor="text1"/>
          <w:sz w:val="18"/>
          <w:szCs w:val="18"/>
          <w:lang w:val="en-US"/>
        </w:rPr>
        <w:t>Expected claims already settled</w:t>
      </w:r>
    </w:p>
    <w:p w14:paraId="143F4FC4" w14:textId="2A1B3E33" w:rsidR="008704CA" w:rsidRPr="00B67E88" w:rsidRDefault="008704CA" w:rsidP="00B67E88">
      <w:pPr>
        <w:pStyle w:val="ListParagraph"/>
        <w:numPr>
          <w:ilvl w:val="0"/>
          <w:numId w:val="12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B67E88">
        <w:rPr>
          <w:rFonts w:ascii="Nunito Sans" w:hAnsi="Nunito Sans"/>
          <w:color w:val="000000" w:themeColor="text1"/>
          <w:sz w:val="18"/>
          <w:szCs w:val="18"/>
          <w:lang w:val="en-US"/>
        </w:rPr>
        <w:t>A portion of outstanding claims</w:t>
      </w:r>
    </w:p>
    <w:p w14:paraId="55BBD0C6" w14:textId="05F40AA4" w:rsidR="004403CC" w:rsidRPr="00B67E88" w:rsidRDefault="008704CA" w:rsidP="00B67E88">
      <w:pPr>
        <w:pStyle w:val="ListParagraph"/>
        <w:numPr>
          <w:ilvl w:val="0"/>
          <w:numId w:val="12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B67E88">
        <w:rPr>
          <w:rFonts w:ascii="Nunito Sans" w:hAnsi="Nunito Sans"/>
          <w:color w:val="000000" w:themeColor="text1"/>
          <w:sz w:val="18"/>
          <w:szCs w:val="18"/>
          <w:lang w:val="en-US"/>
        </w:rPr>
        <w:t>Risk adjustment for non-financial risk</w:t>
      </w:r>
    </w:p>
    <w:p w14:paraId="5434158B" w14:textId="7726A498" w:rsidR="008704CA" w:rsidRPr="00876EFB" w:rsidRDefault="00876EFB" w:rsidP="008704CA">
      <w:pPr>
        <w:rPr>
          <w:rFonts w:ascii="Nunito Sans" w:hAnsi="Nunito Sans"/>
          <w:color w:val="0137A6"/>
          <w:sz w:val="18"/>
          <w:szCs w:val="18"/>
          <w:lang w:val="en-US"/>
        </w:rPr>
      </w:pPr>
      <w:r w:rsidRPr="00876EFB">
        <w:rPr>
          <w:rFonts w:ascii="Nunito Sans" w:hAnsi="Nunito Sans"/>
          <w:color w:val="0137A6"/>
          <w:sz w:val="18"/>
          <w:szCs w:val="18"/>
          <w:lang w:val="en-US"/>
        </w:rPr>
        <w:t xml:space="preserve">Correct Answer: </w:t>
      </w:r>
      <w:r w:rsidR="00B67E88">
        <w:rPr>
          <w:rFonts w:ascii="Nunito Sans" w:hAnsi="Nunito Sans"/>
          <w:color w:val="0137A6"/>
          <w:sz w:val="18"/>
          <w:szCs w:val="18"/>
          <w:lang w:val="en-US"/>
        </w:rPr>
        <w:t>A</w:t>
      </w:r>
    </w:p>
    <w:p w14:paraId="0186BE0E" w14:textId="77777777" w:rsidR="008704CA" w:rsidRPr="00876EFB" w:rsidRDefault="008704CA" w:rsidP="00876EFB">
      <w:pPr>
        <w:pStyle w:val="ListParagraph"/>
        <w:numPr>
          <w:ilvl w:val="0"/>
          <w:numId w:val="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IBNR reserves are established to cover:</w:t>
      </w:r>
    </w:p>
    <w:p w14:paraId="2935CC6B" w14:textId="477F752D" w:rsidR="008704CA" w:rsidRPr="00876EFB" w:rsidRDefault="008704CA" w:rsidP="00B67E88">
      <w:pPr>
        <w:pStyle w:val="ListParagraph"/>
        <w:numPr>
          <w:ilvl w:val="0"/>
          <w:numId w:val="13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Claims incurred and reported but not settled</w:t>
      </w:r>
    </w:p>
    <w:p w14:paraId="046D5068" w14:textId="2F34D221" w:rsidR="008704CA" w:rsidRDefault="008704CA" w:rsidP="00B67E88">
      <w:pPr>
        <w:pStyle w:val="ListParagraph"/>
        <w:numPr>
          <w:ilvl w:val="0"/>
          <w:numId w:val="13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Outstanding expenses not directly attributable to claims</w:t>
      </w:r>
    </w:p>
    <w:p w14:paraId="1E9832F7" w14:textId="4FE7EB2C" w:rsidR="00B67E88" w:rsidRPr="00876EFB" w:rsidRDefault="00B67E88" w:rsidP="00B67E88">
      <w:pPr>
        <w:pStyle w:val="ListParagraph"/>
        <w:numPr>
          <w:ilvl w:val="0"/>
          <w:numId w:val="13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Claims incurred prior to valuation but not yet reported</w:t>
      </w:r>
    </w:p>
    <w:p w14:paraId="70B263EE" w14:textId="5DA1F340" w:rsidR="008704CA" w:rsidRPr="00876EFB" w:rsidRDefault="008704CA" w:rsidP="00B67E88">
      <w:pPr>
        <w:pStyle w:val="ListParagraph"/>
        <w:numPr>
          <w:ilvl w:val="0"/>
          <w:numId w:val="13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Catastrophic losses beyond the retention limit</w:t>
      </w:r>
    </w:p>
    <w:p w14:paraId="06B0A839" w14:textId="0D19D888" w:rsidR="008704CA" w:rsidRPr="00B67E88" w:rsidRDefault="00876EFB" w:rsidP="008704CA">
      <w:pPr>
        <w:rPr>
          <w:rFonts w:ascii="Nunito Sans" w:hAnsi="Nunito Sans"/>
          <w:color w:val="0137A6"/>
          <w:sz w:val="18"/>
          <w:szCs w:val="18"/>
          <w:lang w:val="en-US"/>
        </w:rPr>
      </w:pPr>
      <w:r w:rsidRPr="00876EFB">
        <w:rPr>
          <w:rFonts w:ascii="Nunito Sans" w:hAnsi="Nunito Sans"/>
          <w:color w:val="0137A6"/>
          <w:sz w:val="18"/>
          <w:szCs w:val="18"/>
          <w:lang w:val="en-US"/>
        </w:rPr>
        <w:t xml:space="preserve">Correct Answer: </w:t>
      </w:r>
      <w:r w:rsidR="00B67E88">
        <w:rPr>
          <w:rFonts w:ascii="Nunito Sans" w:hAnsi="Nunito Sans"/>
          <w:color w:val="0137A6"/>
          <w:sz w:val="18"/>
          <w:szCs w:val="18"/>
          <w:lang w:val="en-US"/>
        </w:rPr>
        <w:t>C</w:t>
      </w:r>
    </w:p>
    <w:p w14:paraId="42324D3A" w14:textId="77777777" w:rsidR="008704CA" w:rsidRPr="00876EFB" w:rsidRDefault="008704CA" w:rsidP="00876EFB">
      <w:pPr>
        <w:pStyle w:val="ListParagraph"/>
        <w:numPr>
          <w:ilvl w:val="0"/>
          <w:numId w:val="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Which of the following is NOT a type of reserve under IFRS 17?</w:t>
      </w:r>
    </w:p>
    <w:p w14:paraId="1EC97E97" w14:textId="74BB26A4" w:rsidR="008704CA" w:rsidRPr="00876EFB" w:rsidRDefault="008704CA" w:rsidP="00B67E88">
      <w:pPr>
        <w:pStyle w:val="ListParagraph"/>
        <w:numPr>
          <w:ilvl w:val="0"/>
          <w:numId w:val="1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Incurred but not Reported (IBNR)</w:t>
      </w:r>
    </w:p>
    <w:p w14:paraId="330A3C80" w14:textId="3129777A" w:rsidR="008704CA" w:rsidRPr="00876EFB" w:rsidRDefault="008704CA" w:rsidP="00B67E88">
      <w:pPr>
        <w:pStyle w:val="ListParagraph"/>
        <w:numPr>
          <w:ilvl w:val="0"/>
          <w:numId w:val="1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Outstanding Claims Reported (OCR)</w:t>
      </w:r>
    </w:p>
    <w:p w14:paraId="2ABFC594" w14:textId="298C8D97" w:rsidR="008704CA" w:rsidRPr="00876EFB" w:rsidRDefault="008704CA" w:rsidP="00B67E88">
      <w:pPr>
        <w:pStyle w:val="ListParagraph"/>
        <w:numPr>
          <w:ilvl w:val="0"/>
          <w:numId w:val="1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Premium Deficiency Reserve (PDR)</w:t>
      </w:r>
    </w:p>
    <w:p w14:paraId="323060AC" w14:textId="6DA8E255" w:rsidR="008704CA" w:rsidRPr="00876EFB" w:rsidRDefault="008704CA" w:rsidP="00B67E88">
      <w:pPr>
        <w:pStyle w:val="ListParagraph"/>
        <w:numPr>
          <w:ilvl w:val="0"/>
          <w:numId w:val="1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Incurred but not Enough Reported (IBNER)</w:t>
      </w:r>
    </w:p>
    <w:p w14:paraId="6B20A370" w14:textId="0E8FA07C" w:rsidR="00876EFB" w:rsidRPr="00EB063D" w:rsidRDefault="00EB063D" w:rsidP="00530A3C">
      <w:pPr>
        <w:rPr>
          <w:rFonts w:ascii="Nunito Sans" w:hAnsi="Nunito Sans"/>
          <w:color w:val="0137A6"/>
          <w:sz w:val="18"/>
          <w:szCs w:val="18"/>
          <w:lang w:val="en-US"/>
        </w:rPr>
      </w:pPr>
      <w:r w:rsidRPr="00876EFB">
        <w:rPr>
          <w:rFonts w:ascii="Nunito Sans" w:hAnsi="Nunito Sans"/>
          <w:color w:val="0137A6"/>
          <w:sz w:val="18"/>
          <w:szCs w:val="18"/>
          <w:lang w:val="en-US"/>
        </w:rPr>
        <w:t xml:space="preserve">Correct Answer: </w:t>
      </w:r>
      <w:r>
        <w:rPr>
          <w:rFonts w:ascii="Nunito Sans" w:hAnsi="Nunito Sans"/>
          <w:color w:val="0137A6"/>
          <w:sz w:val="18"/>
          <w:szCs w:val="18"/>
          <w:lang w:val="en-US"/>
        </w:rPr>
        <w:t>C</w:t>
      </w:r>
    </w:p>
    <w:p w14:paraId="32EFFF7D" w14:textId="5C921446" w:rsidR="00530A3C" w:rsidRPr="00876EFB" w:rsidRDefault="00530A3C" w:rsidP="00EB063D">
      <w:pPr>
        <w:pStyle w:val="ListParagraph"/>
        <w:numPr>
          <w:ilvl w:val="0"/>
          <w:numId w:val="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Why might external data be incorporated into claims reserving?</w:t>
      </w:r>
    </w:p>
    <w:p w14:paraId="3C291CFA" w14:textId="6CF4E3A1" w:rsidR="00530A3C" w:rsidRPr="00876EFB" w:rsidRDefault="00530A3C" w:rsidP="00B67E88">
      <w:pPr>
        <w:pStyle w:val="ListParagraph"/>
        <w:numPr>
          <w:ilvl w:val="0"/>
          <w:numId w:val="15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proofErr w:type="gramStart"/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To reduce</w:t>
      </w:r>
      <w:proofErr w:type="gramEnd"/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 xml:space="preserve"> reporting requirements</w:t>
      </w:r>
    </w:p>
    <w:p w14:paraId="10497000" w14:textId="7C06A9CD" w:rsidR="00530A3C" w:rsidRPr="00876EFB" w:rsidRDefault="00530A3C" w:rsidP="00B67E88">
      <w:pPr>
        <w:pStyle w:val="ListParagraph"/>
        <w:numPr>
          <w:ilvl w:val="0"/>
          <w:numId w:val="15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To replace all internal data</w:t>
      </w:r>
    </w:p>
    <w:p w14:paraId="632B4B0B" w14:textId="6095D743" w:rsidR="00530A3C" w:rsidRDefault="00530A3C" w:rsidP="00B67E88">
      <w:pPr>
        <w:pStyle w:val="ListParagraph"/>
        <w:numPr>
          <w:ilvl w:val="0"/>
          <w:numId w:val="15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To comply with accounting standards only</w:t>
      </w:r>
    </w:p>
    <w:p w14:paraId="4063F789" w14:textId="246F4410" w:rsidR="00B67E88" w:rsidRPr="00B67E88" w:rsidRDefault="00B67E88" w:rsidP="00B67E88">
      <w:pPr>
        <w:pStyle w:val="ListParagraph"/>
        <w:numPr>
          <w:ilvl w:val="0"/>
          <w:numId w:val="15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To supplement internal data where credibility is limited</w:t>
      </w:r>
    </w:p>
    <w:p w14:paraId="0EEAC0A3" w14:textId="342ECA04" w:rsidR="00530A3C" w:rsidRPr="00EB063D" w:rsidRDefault="00EB063D" w:rsidP="00530A3C">
      <w:pPr>
        <w:rPr>
          <w:rFonts w:ascii="Nunito Sans" w:hAnsi="Nunito Sans"/>
          <w:color w:val="0137A6"/>
          <w:sz w:val="18"/>
          <w:szCs w:val="18"/>
          <w:lang w:val="en-US"/>
        </w:rPr>
      </w:pPr>
      <w:r w:rsidRPr="00876EFB">
        <w:rPr>
          <w:rFonts w:ascii="Nunito Sans" w:hAnsi="Nunito Sans"/>
          <w:color w:val="0137A6"/>
          <w:sz w:val="18"/>
          <w:szCs w:val="18"/>
          <w:lang w:val="en-US"/>
        </w:rPr>
        <w:t xml:space="preserve">Correct Answer: </w:t>
      </w:r>
      <w:r w:rsidR="00B67E88">
        <w:rPr>
          <w:rFonts w:ascii="Nunito Sans" w:hAnsi="Nunito Sans"/>
          <w:color w:val="0137A6"/>
          <w:sz w:val="18"/>
          <w:szCs w:val="18"/>
          <w:lang w:val="en-US"/>
        </w:rPr>
        <w:t>D</w:t>
      </w:r>
    </w:p>
    <w:p w14:paraId="5EECE64F" w14:textId="77777777" w:rsidR="00530A3C" w:rsidRPr="00876EFB" w:rsidRDefault="00530A3C" w:rsidP="00EB063D">
      <w:pPr>
        <w:pStyle w:val="ListParagraph"/>
        <w:numPr>
          <w:ilvl w:val="0"/>
          <w:numId w:val="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lastRenderedPageBreak/>
        <w:t>When grouping data for reserving, homogeneity is important because:</w:t>
      </w:r>
    </w:p>
    <w:p w14:paraId="414C4E46" w14:textId="6CEC150E" w:rsidR="00530A3C" w:rsidRPr="00876EFB" w:rsidRDefault="00530A3C" w:rsidP="00E70598">
      <w:pPr>
        <w:pStyle w:val="ListParagraph"/>
        <w:numPr>
          <w:ilvl w:val="0"/>
          <w:numId w:val="16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It simplifies reporting</w:t>
      </w:r>
    </w:p>
    <w:p w14:paraId="2763AAA6" w14:textId="27ED330F" w:rsidR="00530A3C" w:rsidRPr="00876EFB" w:rsidRDefault="00530A3C" w:rsidP="00E70598">
      <w:pPr>
        <w:pStyle w:val="ListParagraph"/>
        <w:numPr>
          <w:ilvl w:val="0"/>
          <w:numId w:val="16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It ensures claims exhibit similar characteristics</w:t>
      </w:r>
    </w:p>
    <w:p w14:paraId="35966644" w14:textId="40A2D57A" w:rsidR="00530A3C" w:rsidRPr="00876EFB" w:rsidRDefault="00530A3C" w:rsidP="00E70598">
      <w:pPr>
        <w:pStyle w:val="ListParagraph"/>
        <w:numPr>
          <w:ilvl w:val="0"/>
          <w:numId w:val="16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It reduces the number of triangles required</w:t>
      </w:r>
    </w:p>
    <w:p w14:paraId="2847B600" w14:textId="54126B51" w:rsidR="008704CA" w:rsidRPr="00876EFB" w:rsidRDefault="00530A3C" w:rsidP="00E70598">
      <w:pPr>
        <w:pStyle w:val="ListParagraph"/>
        <w:numPr>
          <w:ilvl w:val="0"/>
          <w:numId w:val="16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It allows use of shorter projection methods</w:t>
      </w:r>
    </w:p>
    <w:p w14:paraId="09C2D54E" w14:textId="64ED4F36" w:rsidR="00530A3C" w:rsidRPr="006B130C" w:rsidRDefault="00EB063D" w:rsidP="00EB063D">
      <w:pPr>
        <w:rPr>
          <w:rFonts w:ascii="Nunito Sans" w:hAnsi="Nunito Sans"/>
          <w:color w:val="0137A6"/>
          <w:sz w:val="18"/>
          <w:szCs w:val="18"/>
          <w:lang w:val="en-US"/>
        </w:rPr>
      </w:pPr>
      <w:r w:rsidRPr="00876EFB">
        <w:rPr>
          <w:rFonts w:ascii="Nunito Sans" w:hAnsi="Nunito Sans"/>
          <w:color w:val="0137A6"/>
          <w:sz w:val="18"/>
          <w:szCs w:val="18"/>
          <w:lang w:val="en-US"/>
        </w:rPr>
        <w:t xml:space="preserve">Correct Answer: </w:t>
      </w:r>
      <w:r>
        <w:rPr>
          <w:rFonts w:ascii="Nunito Sans" w:hAnsi="Nunito Sans"/>
          <w:color w:val="0137A6"/>
          <w:sz w:val="18"/>
          <w:szCs w:val="18"/>
          <w:lang w:val="en-US"/>
        </w:rPr>
        <w:t>B</w:t>
      </w:r>
    </w:p>
    <w:p w14:paraId="5C9BB01D" w14:textId="77777777" w:rsidR="00530A3C" w:rsidRPr="00876EFB" w:rsidRDefault="00530A3C" w:rsidP="006B130C">
      <w:pPr>
        <w:pStyle w:val="ListParagraph"/>
        <w:numPr>
          <w:ilvl w:val="0"/>
          <w:numId w:val="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The Chain Ladder method relies on the assumption that:</w:t>
      </w:r>
    </w:p>
    <w:p w14:paraId="5BC036E7" w14:textId="66318599" w:rsidR="00530A3C" w:rsidRPr="00876EFB" w:rsidRDefault="00530A3C" w:rsidP="00E70598">
      <w:pPr>
        <w:pStyle w:val="ListParagraph"/>
        <w:numPr>
          <w:ilvl w:val="0"/>
          <w:numId w:val="17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 xml:space="preserve">Claim development patterns are stable and consistent </w:t>
      </w:r>
    </w:p>
    <w:p w14:paraId="78072B1C" w14:textId="329C7784" w:rsidR="00530A3C" w:rsidRPr="00876EFB" w:rsidRDefault="00530A3C" w:rsidP="00E70598">
      <w:pPr>
        <w:pStyle w:val="ListParagraph"/>
        <w:numPr>
          <w:ilvl w:val="0"/>
          <w:numId w:val="17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Claims will always follow industry averages</w:t>
      </w:r>
    </w:p>
    <w:p w14:paraId="460DC04A" w14:textId="51FB2902" w:rsidR="00530A3C" w:rsidRPr="00876EFB" w:rsidRDefault="00530A3C" w:rsidP="00E70598">
      <w:pPr>
        <w:pStyle w:val="ListParagraph"/>
        <w:numPr>
          <w:ilvl w:val="0"/>
          <w:numId w:val="17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Claims are independent of time of occurrence</w:t>
      </w:r>
    </w:p>
    <w:p w14:paraId="1896BF1C" w14:textId="52F0426F" w:rsidR="00530A3C" w:rsidRPr="00876EFB" w:rsidRDefault="00530A3C" w:rsidP="00E70598">
      <w:pPr>
        <w:pStyle w:val="ListParagraph"/>
        <w:numPr>
          <w:ilvl w:val="0"/>
          <w:numId w:val="17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No IBNR claims exist</w:t>
      </w:r>
    </w:p>
    <w:p w14:paraId="6A2E620C" w14:textId="6F3F25A5" w:rsidR="00530A3C" w:rsidRPr="006B130C" w:rsidRDefault="006B130C" w:rsidP="00530A3C">
      <w:pPr>
        <w:rPr>
          <w:rFonts w:ascii="Nunito Sans" w:hAnsi="Nunito Sans"/>
          <w:color w:val="0137A6"/>
          <w:sz w:val="18"/>
          <w:szCs w:val="18"/>
          <w:lang w:val="en-US"/>
        </w:rPr>
      </w:pPr>
      <w:r w:rsidRPr="00876EFB">
        <w:rPr>
          <w:rFonts w:ascii="Nunito Sans" w:hAnsi="Nunito Sans"/>
          <w:color w:val="0137A6"/>
          <w:sz w:val="18"/>
          <w:szCs w:val="18"/>
          <w:lang w:val="en-US"/>
        </w:rPr>
        <w:t xml:space="preserve">Correct Answer: </w:t>
      </w:r>
      <w:r>
        <w:rPr>
          <w:rFonts w:ascii="Nunito Sans" w:hAnsi="Nunito Sans"/>
          <w:color w:val="0137A6"/>
          <w:sz w:val="18"/>
          <w:szCs w:val="18"/>
          <w:lang w:val="en-US"/>
        </w:rPr>
        <w:t>A</w:t>
      </w:r>
    </w:p>
    <w:p w14:paraId="10744E23" w14:textId="77777777" w:rsidR="00530A3C" w:rsidRPr="00876EFB" w:rsidRDefault="00530A3C" w:rsidP="006B130C">
      <w:pPr>
        <w:pStyle w:val="ListParagraph"/>
        <w:numPr>
          <w:ilvl w:val="0"/>
          <w:numId w:val="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The Bornhuetter-Fergusson method combines:</w:t>
      </w:r>
    </w:p>
    <w:p w14:paraId="18B68B95" w14:textId="10E36161" w:rsidR="00530A3C" w:rsidRPr="000A264B" w:rsidRDefault="00530A3C" w:rsidP="000A264B">
      <w:pPr>
        <w:pStyle w:val="ListParagraph"/>
        <w:numPr>
          <w:ilvl w:val="0"/>
          <w:numId w:val="18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Case estimates and ultimate loss ratios</w:t>
      </w:r>
    </w:p>
    <w:p w14:paraId="2E159A50" w14:textId="6545F1A5" w:rsidR="00530A3C" w:rsidRPr="00876EFB" w:rsidRDefault="00530A3C" w:rsidP="000A264B">
      <w:pPr>
        <w:pStyle w:val="ListParagraph"/>
        <w:numPr>
          <w:ilvl w:val="0"/>
          <w:numId w:val="18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Historical averages and paid-to-incurred ratios</w:t>
      </w:r>
    </w:p>
    <w:p w14:paraId="7C7BA22C" w14:textId="78BB1BAC" w:rsidR="00530A3C" w:rsidRDefault="00530A3C" w:rsidP="000A264B">
      <w:pPr>
        <w:pStyle w:val="ListParagraph"/>
        <w:numPr>
          <w:ilvl w:val="0"/>
          <w:numId w:val="18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Cape Cod and Expected Loss methods</w:t>
      </w:r>
    </w:p>
    <w:p w14:paraId="64909558" w14:textId="19BE4B1B" w:rsidR="000A264B" w:rsidRPr="00876EFB" w:rsidRDefault="000A264B" w:rsidP="000A264B">
      <w:pPr>
        <w:pStyle w:val="ListParagraph"/>
        <w:numPr>
          <w:ilvl w:val="0"/>
          <w:numId w:val="18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Chain Ladder projections and expected loss ratios</w:t>
      </w:r>
    </w:p>
    <w:p w14:paraId="34DA4EF4" w14:textId="726DD108" w:rsidR="00530A3C" w:rsidRPr="00EF79B6" w:rsidRDefault="00EF79B6" w:rsidP="00530A3C">
      <w:pPr>
        <w:rPr>
          <w:rFonts w:ascii="Nunito Sans" w:hAnsi="Nunito Sans"/>
          <w:color w:val="0137A6"/>
          <w:sz w:val="18"/>
          <w:szCs w:val="18"/>
          <w:lang w:val="en-US"/>
        </w:rPr>
      </w:pPr>
      <w:r w:rsidRPr="00876EFB">
        <w:rPr>
          <w:rFonts w:ascii="Nunito Sans" w:hAnsi="Nunito Sans"/>
          <w:color w:val="0137A6"/>
          <w:sz w:val="18"/>
          <w:szCs w:val="18"/>
          <w:lang w:val="en-US"/>
        </w:rPr>
        <w:t xml:space="preserve">Correct Answer: </w:t>
      </w:r>
      <w:r w:rsidR="000A264B">
        <w:rPr>
          <w:rFonts w:ascii="Nunito Sans" w:hAnsi="Nunito Sans"/>
          <w:color w:val="0137A6"/>
          <w:sz w:val="18"/>
          <w:szCs w:val="18"/>
          <w:lang w:val="en-US"/>
        </w:rPr>
        <w:t>D</w:t>
      </w:r>
    </w:p>
    <w:p w14:paraId="4000A792" w14:textId="77777777" w:rsidR="00530A3C" w:rsidRPr="00876EFB" w:rsidRDefault="00530A3C" w:rsidP="00EF79B6">
      <w:pPr>
        <w:pStyle w:val="ListParagraph"/>
        <w:numPr>
          <w:ilvl w:val="0"/>
          <w:numId w:val="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The Risk Adjustment under IFRS 17 represents:</w:t>
      </w:r>
    </w:p>
    <w:p w14:paraId="74296C52" w14:textId="5D888675" w:rsidR="00530A3C" w:rsidRPr="00876EFB" w:rsidRDefault="00530A3C" w:rsidP="007845FB">
      <w:pPr>
        <w:pStyle w:val="ListParagraph"/>
        <w:numPr>
          <w:ilvl w:val="0"/>
          <w:numId w:val="19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The insurer’s expected profit</w:t>
      </w:r>
    </w:p>
    <w:p w14:paraId="0E133A22" w14:textId="440B7BE1" w:rsidR="00530A3C" w:rsidRDefault="00530A3C" w:rsidP="007845FB">
      <w:pPr>
        <w:pStyle w:val="ListParagraph"/>
        <w:numPr>
          <w:ilvl w:val="0"/>
          <w:numId w:val="19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The adjustment for policyholder behavior</w:t>
      </w:r>
    </w:p>
    <w:p w14:paraId="3C1D2E68" w14:textId="468A1A15" w:rsidR="00552722" w:rsidRPr="00876EFB" w:rsidRDefault="00552722" w:rsidP="007845FB">
      <w:pPr>
        <w:pStyle w:val="ListParagraph"/>
        <w:numPr>
          <w:ilvl w:val="0"/>
          <w:numId w:val="19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The compensation required for bearing uncertainty in non-financial risks</w:t>
      </w:r>
    </w:p>
    <w:p w14:paraId="12A9F283" w14:textId="4D8E543B" w:rsidR="00530A3C" w:rsidRPr="00876EFB" w:rsidRDefault="00530A3C" w:rsidP="007845FB">
      <w:pPr>
        <w:pStyle w:val="ListParagraph"/>
        <w:numPr>
          <w:ilvl w:val="0"/>
          <w:numId w:val="19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A reduction in the discount rate</w:t>
      </w:r>
    </w:p>
    <w:p w14:paraId="1CC93BFF" w14:textId="29B185E9" w:rsidR="00530A3C" w:rsidRPr="00EF79B6" w:rsidRDefault="00EF79B6" w:rsidP="00530A3C">
      <w:pPr>
        <w:rPr>
          <w:rFonts w:ascii="Nunito Sans" w:hAnsi="Nunito Sans"/>
          <w:color w:val="0137A6"/>
          <w:sz w:val="18"/>
          <w:szCs w:val="18"/>
          <w:lang w:val="en-US"/>
        </w:rPr>
      </w:pPr>
      <w:r w:rsidRPr="00876EFB">
        <w:rPr>
          <w:rFonts w:ascii="Nunito Sans" w:hAnsi="Nunito Sans"/>
          <w:color w:val="0137A6"/>
          <w:sz w:val="18"/>
          <w:szCs w:val="18"/>
          <w:lang w:val="en-US"/>
        </w:rPr>
        <w:t xml:space="preserve">Correct Answer: </w:t>
      </w:r>
      <w:r w:rsidR="003D2145">
        <w:rPr>
          <w:rFonts w:ascii="Nunito Sans" w:hAnsi="Nunito Sans"/>
          <w:color w:val="0137A6"/>
          <w:sz w:val="18"/>
          <w:szCs w:val="18"/>
          <w:lang w:val="en-US"/>
        </w:rPr>
        <w:t>C</w:t>
      </w:r>
    </w:p>
    <w:p w14:paraId="6F0F6626" w14:textId="77777777" w:rsidR="00530A3C" w:rsidRPr="00876EFB" w:rsidRDefault="00530A3C" w:rsidP="00EF79B6">
      <w:pPr>
        <w:pStyle w:val="ListParagraph"/>
        <w:numPr>
          <w:ilvl w:val="0"/>
          <w:numId w:val="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Under the bottom-up discounting approach in IFRS 17, the discount rate is:</w:t>
      </w:r>
    </w:p>
    <w:p w14:paraId="3CCEA8B4" w14:textId="226DB0FE" w:rsidR="00530A3C" w:rsidRPr="00876EFB" w:rsidRDefault="00530A3C" w:rsidP="003D2145">
      <w:pPr>
        <w:pStyle w:val="ListParagraph"/>
        <w:numPr>
          <w:ilvl w:val="0"/>
          <w:numId w:val="20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Risk-free rate only</w:t>
      </w:r>
    </w:p>
    <w:p w14:paraId="5F2AE69E" w14:textId="4B598688" w:rsidR="00530A3C" w:rsidRPr="00876EFB" w:rsidRDefault="00530A3C" w:rsidP="003D2145">
      <w:pPr>
        <w:pStyle w:val="ListParagraph"/>
        <w:numPr>
          <w:ilvl w:val="0"/>
          <w:numId w:val="20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Risk-free rate + Illiquidity premium</w:t>
      </w:r>
    </w:p>
    <w:p w14:paraId="0BDE2474" w14:textId="6BB8E472" w:rsidR="00530A3C" w:rsidRPr="00876EFB" w:rsidRDefault="00530A3C" w:rsidP="003D2145">
      <w:pPr>
        <w:pStyle w:val="ListParagraph"/>
        <w:numPr>
          <w:ilvl w:val="0"/>
          <w:numId w:val="20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Average return on equity</w:t>
      </w:r>
    </w:p>
    <w:p w14:paraId="2FEB736D" w14:textId="70BB7442" w:rsidR="00530A3C" w:rsidRPr="00876EFB" w:rsidRDefault="00530A3C" w:rsidP="003D2145">
      <w:pPr>
        <w:pStyle w:val="ListParagraph"/>
        <w:numPr>
          <w:ilvl w:val="0"/>
          <w:numId w:val="20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Inflation-adjusted bond yield</w:t>
      </w:r>
    </w:p>
    <w:p w14:paraId="27DB9CD4" w14:textId="67213A88" w:rsidR="00530A3C" w:rsidRPr="00EF79B6" w:rsidRDefault="00EF79B6" w:rsidP="00530A3C">
      <w:pPr>
        <w:rPr>
          <w:rFonts w:ascii="Nunito Sans" w:hAnsi="Nunito Sans"/>
          <w:color w:val="0137A6"/>
          <w:sz w:val="18"/>
          <w:szCs w:val="18"/>
          <w:lang w:val="en-US"/>
        </w:rPr>
      </w:pPr>
      <w:r w:rsidRPr="00876EFB">
        <w:rPr>
          <w:rFonts w:ascii="Nunito Sans" w:hAnsi="Nunito Sans"/>
          <w:color w:val="0137A6"/>
          <w:sz w:val="18"/>
          <w:szCs w:val="18"/>
          <w:lang w:val="en-US"/>
        </w:rPr>
        <w:t xml:space="preserve">Correct Answer: </w:t>
      </w:r>
      <w:r>
        <w:rPr>
          <w:rFonts w:ascii="Nunito Sans" w:hAnsi="Nunito Sans"/>
          <w:color w:val="0137A6"/>
          <w:sz w:val="18"/>
          <w:szCs w:val="18"/>
          <w:lang w:val="en-US"/>
        </w:rPr>
        <w:t>B</w:t>
      </w:r>
    </w:p>
    <w:p w14:paraId="6605B94F" w14:textId="77777777" w:rsidR="00876EFB" w:rsidRPr="00876EFB" w:rsidRDefault="00876EFB" w:rsidP="00EF79B6">
      <w:pPr>
        <w:pStyle w:val="ListParagraph"/>
        <w:numPr>
          <w:ilvl w:val="0"/>
          <w:numId w:val="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In calculating Net IBNR, reinsurance recoveries are estimated using:</w:t>
      </w:r>
    </w:p>
    <w:p w14:paraId="04A2ECBC" w14:textId="3CA1A1B7" w:rsidR="00876EFB" w:rsidRPr="00876EFB" w:rsidRDefault="00876EFB" w:rsidP="00891557">
      <w:pPr>
        <w:pStyle w:val="ListParagraph"/>
        <w:numPr>
          <w:ilvl w:val="0"/>
          <w:numId w:val="21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proofErr w:type="gramStart"/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Historical</w:t>
      </w:r>
      <w:proofErr w:type="gramEnd"/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 xml:space="preserve"> paid claims</w:t>
      </w:r>
    </w:p>
    <w:p w14:paraId="7960A463" w14:textId="3509D1AA" w:rsidR="00876EFB" w:rsidRPr="00876EFB" w:rsidRDefault="00876EFB" w:rsidP="00891557">
      <w:pPr>
        <w:pStyle w:val="ListParagraph"/>
        <w:numPr>
          <w:ilvl w:val="0"/>
          <w:numId w:val="21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Expected development factors</w:t>
      </w:r>
    </w:p>
    <w:p w14:paraId="0B8F5DBC" w14:textId="2E08DE8D" w:rsidR="00876EFB" w:rsidRPr="00876EFB" w:rsidRDefault="00876EFB" w:rsidP="00891557">
      <w:pPr>
        <w:pStyle w:val="ListParagraph"/>
        <w:numPr>
          <w:ilvl w:val="0"/>
          <w:numId w:val="21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Class-specific retention and recovery rates</w:t>
      </w:r>
    </w:p>
    <w:p w14:paraId="160B9AD7" w14:textId="5611A99E" w:rsidR="00876EFB" w:rsidRPr="00876EFB" w:rsidRDefault="00876EFB" w:rsidP="00891557">
      <w:pPr>
        <w:pStyle w:val="ListParagraph"/>
        <w:numPr>
          <w:ilvl w:val="0"/>
          <w:numId w:val="21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Unearned premium reserves</w:t>
      </w:r>
    </w:p>
    <w:p w14:paraId="563FDDA8" w14:textId="35A38F09" w:rsidR="00876EFB" w:rsidRPr="001A5893" w:rsidRDefault="00EF79B6" w:rsidP="00876EFB">
      <w:pPr>
        <w:rPr>
          <w:rFonts w:ascii="Nunito Sans" w:hAnsi="Nunito Sans"/>
          <w:color w:val="0137A6"/>
          <w:sz w:val="18"/>
          <w:szCs w:val="18"/>
          <w:lang w:val="en-US"/>
        </w:rPr>
      </w:pPr>
      <w:r w:rsidRPr="00876EFB">
        <w:rPr>
          <w:rFonts w:ascii="Nunito Sans" w:hAnsi="Nunito Sans"/>
          <w:color w:val="0137A6"/>
          <w:sz w:val="18"/>
          <w:szCs w:val="18"/>
          <w:lang w:val="en-US"/>
        </w:rPr>
        <w:t xml:space="preserve">Correct Answer: </w:t>
      </w:r>
      <w:r w:rsidR="001A5893">
        <w:rPr>
          <w:rFonts w:ascii="Nunito Sans" w:hAnsi="Nunito Sans"/>
          <w:color w:val="0137A6"/>
          <w:sz w:val="18"/>
          <w:szCs w:val="18"/>
          <w:lang w:val="en-US"/>
        </w:rPr>
        <w:t>C</w:t>
      </w:r>
    </w:p>
    <w:p w14:paraId="6B274EAB" w14:textId="77777777" w:rsidR="00876EFB" w:rsidRPr="00876EFB" w:rsidRDefault="00876EFB" w:rsidP="001A5893">
      <w:pPr>
        <w:pStyle w:val="ListParagraph"/>
        <w:numPr>
          <w:ilvl w:val="0"/>
          <w:numId w:val="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 xml:space="preserve">The purpose of </w:t>
      </w:r>
      <w:proofErr w:type="spellStart"/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analysing</w:t>
      </w:r>
      <w:proofErr w:type="spellEnd"/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 xml:space="preserve"> claims retention rates when calculating recoveries is to:</w:t>
      </w:r>
    </w:p>
    <w:p w14:paraId="41EF7C97" w14:textId="209CEC45" w:rsidR="006277DE" w:rsidRDefault="006277DE" w:rsidP="006277DE">
      <w:pPr>
        <w:pStyle w:val="ListParagraph"/>
        <w:numPr>
          <w:ilvl w:val="0"/>
          <w:numId w:val="22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Weight expected reserves against reinsurance recoveries</w:t>
      </w:r>
    </w:p>
    <w:p w14:paraId="5E01F1C0" w14:textId="104854F2" w:rsidR="00876EFB" w:rsidRPr="00876EFB" w:rsidRDefault="00876EFB" w:rsidP="006277DE">
      <w:pPr>
        <w:pStyle w:val="ListParagraph"/>
        <w:numPr>
          <w:ilvl w:val="0"/>
          <w:numId w:val="22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Estimate the solvency ratio</w:t>
      </w:r>
    </w:p>
    <w:p w14:paraId="3865BF74" w14:textId="6F442C83" w:rsidR="00876EFB" w:rsidRPr="006277DE" w:rsidRDefault="00876EFB" w:rsidP="006277DE">
      <w:pPr>
        <w:pStyle w:val="ListParagraph"/>
        <w:numPr>
          <w:ilvl w:val="0"/>
          <w:numId w:val="22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Assess the reinsurance premium adequacy</w:t>
      </w:r>
    </w:p>
    <w:p w14:paraId="694E5DCD" w14:textId="631EA6D8" w:rsidR="00530A3C" w:rsidRPr="00876EFB" w:rsidRDefault="00876EFB" w:rsidP="006277DE">
      <w:pPr>
        <w:pStyle w:val="ListParagraph"/>
        <w:numPr>
          <w:ilvl w:val="0"/>
          <w:numId w:val="22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Allocate expenses across classes of business</w:t>
      </w:r>
    </w:p>
    <w:p w14:paraId="39137D63" w14:textId="5071C7CC" w:rsidR="00876EFB" w:rsidRPr="001A5893" w:rsidRDefault="001A5893" w:rsidP="00876EFB">
      <w:pPr>
        <w:rPr>
          <w:rFonts w:ascii="Nunito Sans" w:hAnsi="Nunito Sans"/>
          <w:color w:val="0137A6"/>
          <w:sz w:val="18"/>
          <w:szCs w:val="18"/>
          <w:lang w:val="en-US"/>
        </w:rPr>
      </w:pPr>
      <w:r w:rsidRPr="00876EFB">
        <w:rPr>
          <w:rFonts w:ascii="Nunito Sans" w:hAnsi="Nunito Sans"/>
          <w:color w:val="0137A6"/>
          <w:sz w:val="18"/>
          <w:szCs w:val="18"/>
          <w:lang w:val="en-US"/>
        </w:rPr>
        <w:t xml:space="preserve">Correct Answer: </w:t>
      </w:r>
      <w:r w:rsidR="006277DE">
        <w:rPr>
          <w:rFonts w:ascii="Nunito Sans" w:hAnsi="Nunito Sans"/>
          <w:color w:val="0137A6"/>
          <w:sz w:val="18"/>
          <w:szCs w:val="18"/>
          <w:lang w:val="en-US"/>
        </w:rPr>
        <w:t>A</w:t>
      </w:r>
    </w:p>
    <w:p w14:paraId="2F1CC00A" w14:textId="77777777" w:rsidR="00876EFB" w:rsidRPr="00876EFB" w:rsidRDefault="00876EFB" w:rsidP="001A5893">
      <w:pPr>
        <w:pStyle w:val="ListParagraph"/>
        <w:numPr>
          <w:ilvl w:val="0"/>
          <w:numId w:val="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In run-off triangles, the columns represent:</w:t>
      </w:r>
    </w:p>
    <w:p w14:paraId="7CFFFE6B" w14:textId="69BA1CC1" w:rsidR="00876EFB" w:rsidRPr="00876EFB" w:rsidRDefault="00876EFB" w:rsidP="006277DE">
      <w:pPr>
        <w:pStyle w:val="ListParagraph"/>
        <w:numPr>
          <w:ilvl w:val="0"/>
          <w:numId w:val="23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Accident years</w:t>
      </w:r>
    </w:p>
    <w:p w14:paraId="03D05752" w14:textId="01CA0093" w:rsidR="00876EFB" w:rsidRPr="00876EFB" w:rsidRDefault="00876EFB" w:rsidP="006277DE">
      <w:pPr>
        <w:pStyle w:val="ListParagraph"/>
        <w:numPr>
          <w:ilvl w:val="0"/>
          <w:numId w:val="23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lastRenderedPageBreak/>
        <w:t>Development periods</w:t>
      </w:r>
    </w:p>
    <w:p w14:paraId="6AB28F6C" w14:textId="0C48F5B9" w:rsidR="00876EFB" w:rsidRPr="00876EFB" w:rsidRDefault="00876EFB" w:rsidP="006277DE">
      <w:pPr>
        <w:pStyle w:val="ListParagraph"/>
        <w:numPr>
          <w:ilvl w:val="0"/>
          <w:numId w:val="23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Reporting years</w:t>
      </w:r>
    </w:p>
    <w:p w14:paraId="5F3509A2" w14:textId="49ED5D22" w:rsidR="00876EFB" w:rsidRPr="00876EFB" w:rsidRDefault="00876EFB" w:rsidP="006277DE">
      <w:pPr>
        <w:pStyle w:val="ListParagraph"/>
        <w:numPr>
          <w:ilvl w:val="0"/>
          <w:numId w:val="23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Ultimate claims</w:t>
      </w:r>
    </w:p>
    <w:p w14:paraId="10BF7F2B" w14:textId="08BCEFA8" w:rsidR="00876EFB" w:rsidRPr="001A5893" w:rsidRDefault="001A5893" w:rsidP="00876EFB">
      <w:pPr>
        <w:rPr>
          <w:rFonts w:ascii="Nunito Sans" w:hAnsi="Nunito Sans"/>
          <w:color w:val="0137A6"/>
          <w:sz w:val="18"/>
          <w:szCs w:val="18"/>
          <w:lang w:val="en-US"/>
        </w:rPr>
      </w:pPr>
      <w:r w:rsidRPr="00876EFB">
        <w:rPr>
          <w:rFonts w:ascii="Nunito Sans" w:hAnsi="Nunito Sans"/>
          <w:color w:val="0137A6"/>
          <w:sz w:val="18"/>
          <w:szCs w:val="18"/>
          <w:lang w:val="en-US"/>
        </w:rPr>
        <w:t xml:space="preserve">Correct Answer: </w:t>
      </w:r>
      <w:r>
        <w:rPr>
          <w:rFonts w:ascii="Nunito Sans" w:hAnsi="Nunito Sans"/>
          <w:color w:val="0137A6"/>
          <w:sz w:val="18"/>
          <w:szCs w:val="18"/>
          <w:lang w:val="en-US"/>
        </w:rPr>
        <w:t>B</w:t>
      </w:r>
    </w:p>
    <w:p w14:paraId="1D7E5D01" w14:textId="77777777" w:rsidR="00876EFB" w:rsidRPr="00876EFB" w:rsidRDefault="00876EFB" w:rsidP="001A5893">
      <w:pPr>
        <w:pStyle w:val="ListParagraph"/>
        <w:numPr>
          <w:ilvl w:val="0"/>
          <w:numId w:val="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Long-tail classes of business are those where:</w:t>
      </w:r>
    </w:p>
    <w:p w14:paraId="13C2B4AD" w14:textId="6395F894" w:rsidR="00876EFB" w:rsidRPr="00876EFB" w:rsidRDefault="00876EFB" w:rsidP="006277DE">
      <w:pPr>
        <w:pStyle w:val="ListParagraph"/>
        <w:numPr>
          <w:ilvl w:val="0"/>
          <w:numId w:val="2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Losses develop and settle quickly</w:t>
      </w:r>
    </w:p>
    <w:p w14:paraId="42BE94A9" w14:textId="54D7E59B" w:rsidR="00876EFB" w:rsidRPr="00876EFB" w:rsidRDefault="00876EFB" w:rsidP="006277DE">
      <w:pPr>
        <w:pStyle w:val="ListParagraph"/>
        <w:numPr>
          <w:ilvl w:val="0"/>
          <w:numId w:val="2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Premiums are higher than short-tail classes</w:t>
      </w:r>
    </w:p>
    <w:p w14:paraId="04FE7D34" w14:textId="575751F6" w:rsidR="00876EFB" w:rsidRDefault="00876EFB" w:rsidP="006277DE">
      <w:pPr>
        <w:pStyle w:val="ListParagraph"/>
        <w:numPr>
          <w:ilvl w:val="0"/>
          <w:numId w:val="2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They do not require reserving triangles</w:t>
      </w:r>
    </w:p>
    <w:p w14:paraId="5CADD980" w14:textId="263BEFD9" w:rsidR="006277DE" w:rsidRPr="006277DE" w:rsidRDefault="006277DE" w:rsidP="006277DE">
      <w:pPr>
        <w:pStyle w:val="ListParagraph"/>
        <w:numPr>
          <w:ilvl w:val="0"/>
          <w:numId w:val="24"/>
        </w:numPr>
        <w:rPr>
          <w:rFonts w:ascii="Nunito Sans" w:hAnsi="Nunito Sans"/>
          <w:color w:val="000000" w:themeColor="text1"/>
          <w:sz w:val="18"/>
          <w:szCs w:val="18"/>
          <w:lang w:val="en-US"/>
        </w:rPr>
      </w:pPr>
      <w:r w:rsidRPr="00876EFB">
        <w:rPr>
          <w:rFonts w:ascii="Nunito Sans" w:hAnsi="Nunito Sans"/>
          <w:color w:val="000000" w:themeColor="text1"/>
          <w:sz w:val="18"/>
          <w:szCs w:val="18"/>
          <w:lang w:val="en-US"/>
        </w:rPr>
        <w:t>Losses take many development periods to settle</w:t>
      </w:r>
    </w:p>
    <w:p w14:paraId="2E10DA73" w14:textId="01114CCB" w:rsidR="008704CA" w:rsidRPr="001A5893" w:rsidRDefault="001A5893" w:rsidP="008704CA">
      <w:pPr>
        <w:rPr>
          <w:rFonts w:ascii="Nunito Sans" w:hAnsi="Nunito Sans"/>
          <w:color w:val="0137A6"/>
          <w:sz w:val="18"/>
          <w:szCs w:val="18"/>
          <w:lang w:val="en-US"/>
        </w:rPr>
      </w:pPr>
      <w:r w:rsidRPr="00876EFB">
        <w:rPr>
          <w:rFonts w:ascii="Nunito Sans" w:hAnsi="Nunito Sans"/>
          <w:color w:val="0137A6"/>
          <w:sz w:val="18"/>
          <w:szCs w:val="18"/>
          <w:lang w:val="en-US"/>
        </w:rPr>
        <w:t xml:space="preserve">Correct Answer: </w:t>
      </w:r>
      <w:r w:rsidR="006277DE">
        <w:rPr>
          <w:rFonts w:ascii="Nunito Sans" w:hAnsi="Nunito Sans"/>
          <w:color w:val="0137A6"/>
          <w:sz w:val="18"/>
          <w:szCs w:val="18"/>
          <w:lang w:val="en-US"/>
        </w:rPr>
        <w:t>D</w:t>
      </w:r>
    </w:p>
    <w:sectPr w:rsidR="008704CA" w:rsidRPr="001A5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unito Sans Black">
    <w:charset w:val="00"/>
    <w:family w:val="auto"/>
    <w:pitch w:val="variable"/>
    <w:sig w:usb0="A00002FF" w:usb1="5000204B" w:usb2="00000000" w:usb3="00000000" w:csb0="00000197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C0A"/>
    <w:multiLevelType w:val="hybridMultilevel"/>
    <w:tmpl w:val="2F5436D2"/>
    <w:lvl w:ilvl="0" w:tplc="91722A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B6E27"/>
    <w:multiLevelType w:val="hybridMultilevel"/>
    <w:tmpl w:val="AFB8C9B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05536"/>
    <w:multiLevelType w:val="hybridMultilevel"/>
    <w:tmpl w:val="AFB8C9B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B706E"/>
    <w:multiLevelType w:val="hybridMultilevel"/>
    <w:tmpl w:val="AFB8C9B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14DB0"/>
    <w:multiLevelType w:val="hybridMultilevel"/>
    <w:tmpl w:val="AFB8C9B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127D4C"/>
    <w:multiLevelType w:val="hybridMultilevel"/>
    <w:tmpl w:val="AFB8C9B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13ECC"/>
    <w:multiLevelType w:val="hybridMultilevel"/>
    <w:tmpl w:val="B05C58D4"/>
    <w:lvl w:ilvl="0" w:tplc="BAC0DC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1E5602"/>
    <w:multiLevelType w:val="hybridMultilevel"/>
    <w:tmpl w:val="9A94CC2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826D7"/>
    <w:multiLevelType w:val="hybridMultilevel"/>
    <w:tmpl w:val="8D56BE46"/>
    <w:lvl w:ilvl="0" w:tplc="20000017">
      <w:start w:val="1"/>
      <w:numFmt w:val="lowerLetter"/>
      <w:lvlText w:val="%1)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8A01D8D"/>
    <w:multiLevelType w:val="hybridMultilevel"/>
    <w:tmpl w:val="AFB8C9B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65C23"/>
    <w:multiLevelType w:val="hybridMultilevel"/>
    <w:tmpl w:val="AFB8C9B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B8214C"/>
    <w:multiLevelType w:val="hybridMultilevel"/>
    <w:tmpl w:val="D214FDD6"/>
    <w:lvl w:ilvl="0" w:tplc="17E296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B46AD8"/>
    <w:multiLevelType w:val="hybridMultilevel"/>
    <w:tmpl w:val="AFB8C9B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3366B1"/>
    <w:multiLevelType w:val="hybridMultilevel"/>
    <w:tmpl w:val="AFB8C9B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9865B8"/>
    <w:multiLevelType w:val="hybridMultilevel"/>
    <w:tmpl w:val="AFB8C9B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C633EA"/>
    <w:multiLevelType w:val="hybridMultilevel"/>
    <w:tmpl w:val="AFB8C9B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D943C3"/>
    <w:multiLevelType w:val="hybridMultilevel"/>
    <w:tmpl w:val="AFB8C9B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C6B25"/>
    <w:multiLevelType w:val="hybridMultilevel"/>
    <w:tmpl w:val="CFEC0E6E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02E33AE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AD31A4"/>
    <w:multiLevelType w:val="hybridMultilevel"/>
    <w:tmpl w:val="AFB8C9B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A10038"/>
    <w:multiLevelType w:val="hybridMultilevel"/>
    <w:tmpl w:val="1DD26224"/>
    <w:lvl w:ilvl="0" w:tplc="20000017">
      <w:start w:val="1"/>
      <w:numFmt w:val="lowerLetter"/>
      <w:lvlText w:val="%1)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26B4E29"/>
    <w:multiLevelType w:val="hybridMultilevel"/>
    <w:tmpl w:val="63D8E0D4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702EB5"/>
    <w:multiLevelType w:val="hybridMultilevel"/>
    <w:tmpl w:val="9A94CC2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2000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5000DD"/>
    <w:multiLevelType w:val="hybridMultilevel"/>
    <w:tmpl w:val="886E8E6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3B5AF4"/>
    <w:multiLevelType w:val="hybridMultilevel"/>
    <w:tmpl w:val="2162F36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405423">
    <w:abstractNumId w:val="11"/>
  </w:num>
  <w:num w:numId="2" w16cid:durableId="1146124260">
    <w:abstractNumId w:val="0"/>
  </w:num>
  <w:num w:numId="3" w16cid:durableId="1031346302">
    <w:abstractNumId w:val="6"/>
  </w:num>
  <w:num w:numId="4" w16cid:durableId="1008099116">
    <w:abstractNumId w:val="17"/>
  </w:num>
  <w:num w:numId="5" w16cid:durableId="7875717">
    <w:abstractNumId w:val="8"/>
  </w:num>
  <w:num w:numId="6" w16cid:durableId="266425985">
    <w:abstractNumId w:val="21"/>
  </w:num>
  <w:num w:numId="7" w16cid:durableId="1674642578">
    <w:abstractNumId w:val="7"/>
  </w:num>
  <w:num w:numId="8" w16cid:durableId="1314139751">
    <w:abstractNumId w:val="19"/>
  </w:num>
  <w:num w:numId="9" w16cid:durableId="251596062">
    <w:abstractNumId w:val="20"/>
  </w:num>
  <w:num w:numId="10" w16cid:durableId="1551989764">
    <w:abstractNumId w:val="23"/>
  </w:num>
  <w:num w:numId="11" w16cid:durableId="2113040744">
    <w:abstractNumId w:val="22"/>
  </w:num>
  <w:num w:numId="12" w16cid:durableId="968629674">
    <w:abstractNumId w:val="13"/>
  </w:num>
  <w:num w:numId="13" w16cid:durableId="1538278752">
    <w:abstractNumId w:val="15"/>
  </w:num>
  <w:num w:numId="14" w16cid:durableId="381367099">
    <w:abstractNumId w:val="14"/>
  </w:num>
  <w:num w:numId="15" w16cid:durableId="691607509">
    <w:abstractNumId w:val="12"/>
  </w:num>
  <w:num w:numId="16" w16cid:durableId="678581706">
    <w:abstractNumId w:val="18"/>
  </w:num>
  <w:num w:numId="17" w16cid:durableId="1872766836">
    <w:abstractNumId w:val="3"/>
  </w:num>
  <w:num w:numId="18" w16cid:durableId="2059087577">
    <w:abstractNumId w:val="10"/>
  </w:num>
  <w:num w:numId="19" w16cid:durableId="1410612005">
    <w:abstractNumId w:val="16"/>
  </w:num>
  <w:num w:numId="20" w16cid:durableId="367268247">
    <w:abstractNumId w:val="1"/>
  </w:num>
  <w:num w:numId="21" w16cid:durableId="353314482">
    <w:abstractNumId w:val="4"/>
  </w:num>
  <w:num w:numId="22" w16cid:durableId="254287650">
    <w:abstractNumId w:val="5"/>
  </w:num>
  <w:num w:numId="23" w16cid:durableId="1082490582">
    <w:abstractNumId w:val="2"/>
  </w:num>
  <w:num w:numId="24" w16cid:durableId="16737956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01"/>
    <w:rsid w:val="00012FDD"/>
    <w:rsid w:val="0007404A"/>
    <w:rsid w:val="000A264B"/>
    <w:rsid w:val="001842B0"/>
    <w:rsid w:val="001A5893"/>
    <w:rsid w:val="001F678E"/>
    <w:rsid w:val="0027440E"/>
    <w:rsid w:val="002E38DD"/>
    <w:rsid w:val="003049D9"/>
    <w:rsid w:val="0036276F"/>
    <w:rsid w:val="00366294"/>
    <w:rsid w:val="003D2145"/>
    <w:rsid w:val="003D5926"/>
    <w:rsid w:val="004403CC"/>
    <w:rsid w:val="004A5742"/>
    <w:rsid w:val="00530A3C"/>
    <w:rsid w:val="00552722"/>
    <w:rsid w:val="005A4408"/>
    <w:rsid w:val="005B6A40"/>
    <w:rsid w:val="006277DE"/>
    <w:rsid w:val="006B130C"/>
    <w:rsid w:val="00714701"/>
    <w:rsid w:val="007468BD"/>
    <w:rsid w:val="007703DB"/>
    <w:rsid w:val="007845FB"/>
    <w:rsid w:val="007A1185"/>
    <w:rsid w:val="00803047"/>
    <w:rsid w:val="008704CA"/>
    <w:rsid w:val="00876EFB"/>
    <w:rsid w:val="00891557"/>
    <w:rsid w:val="008F21E8"/>
    <w:rsid w:val="009138B0"/>
    <w:rsid w:val="009A3F0E"/>
    <w:rsid w:val="009B30E7"/>
    <w:rsid w:val="00A02280"/>
    <w:rsid w:val="00B67E88"/>
    <w:rsid w:val="00BC6B86"/>
    <w:rsid w:val="00C073FE"/>
    <w:rsid w:val="00CA0177"/>
    <w:rsid w:val="00CD49FC"/>
    <w:rsid w:val="00CD61AB"/>
    <w:rsid w:val="00CF19A1"/>
    <w:rsid w:val="00CF5C6C"/>
    <w:rsid w:val="00DA4F38"/>
    <w:rsid w:val="00E0275F"/>
    <w:rsid w:val="00E70598"/>
    <w:rsid w:val="00EB063D"/>
    <w:rsid w:val="00EB655E"/>
    <w:rsid w:val="00EF79B6"/>
    <w:rsid w:val="00F02E5C"/>
    <w:rsid w:val="00FE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F316C"/>
  <w15:chartTrackingRefBased/>
  <w15:docId w15:val="{47D22557-0E0B-4796-85CD-9738641E6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3DB"/>
    <w:pPr>
      <w:spacing w:line="278" w:lineRule="auto"/>
      <w:jc w:val="center"/>
      <w:outlineLvl w:val="0"/>
    </w:pPr>
    <w:rPr>
      <w:rFonts w:ascii="Nunito Sans Black" w:hAnsi="Nunito Sans Black"/>
      <w:color w:val="0137A6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40E"/>
    <w:pPr>
      <w:keepNext/>
      <w:keepLines/>
      <w:spacing w:before="160" w:after="80" w:line="278" w:lineRule="auto"/>
      <w:outlineLvl w:val="1"/>
    </w:pPr>
    <w:rPr>
      <w:rFonts w:ascii="Nunito Sans Black" w:eastAsiaTheme="majorEastAsia" w:hAnsi="Nunito Sans Black" w:cstheme="majorBidi"/>
      <w:color w:val="0137A6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73FE"/>
    <w:pPr>
      <w:outlineLvl w:val="2"/>
    </w:pPr>
    <w:rPr>
      <w:rFonts w:ascii="Nunito Sans" w:hAnsi="Nunito Sans"/>
      <w:b/>
      <w:bCs/>
      <w:i/>
      <w:iCs/>
      <w:color w:val="7F7F7F" w:themeColor="text1" w:themeTint="80"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3DB"/>
    <w:rPr>
      <w:rFonts w:ascii="Nunito Sans Black" w:hAnsi="Nunito Sans Black"/>
      <w:color w:val="0137A6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7440E"/>
    <w:rPr>
      <w:rFonts w:ascii="Nunito Sans Black" w:eastAsiaTheme="majorEastAsia" w:hAnsi="Nunito Sans Black" w:cstheme="majorBidi"/>
      <w:color w:val="0137A6"/>
      <w:sz w:val="18"/>
      <w:szCs w:val="1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073FE"/>
    <w:rPr>
      <w:rFonts w:ascii="Nunito Sans" w:hAnsi="Nunito Sans"/>
      <w:b/>
      <w:bCs/>
      <w:i/>
      <w:iCs/>
      <w:color w:val="7F7F7F" w:themeColor="text1" w:themeTint="80"/>
      <w:sz w:val="18"/>
      <w:szCs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7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47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47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38B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5c53b8d1197c3235cdc6c189ef004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a29a5f0316c59eb85eeff55e63480feb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78783E-D62B-409B-BC26-8FD78EF507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BC6E61-ECC1-42D0-A1F5-1DCCED8D7791}"/>
</file>

<file path=customXml/itemProps3.xml><?xml version="1.0" encoding="utf-8"?>
<ds:datastoreItem xmlns:ds="http://schemas.openxmlformats.org/officeDocument/2006/customXml" ds:itemID="{7A564C0E-CE7B-48E6-BC04-6B8782990959}">
  <ds:schemaRefs>
    <ds:schemaRef ds:uri="http://schemas.microsoft.com/office/2006/metadata/properties"/>
    <ds:schemaRef ds:uri="http://schemas.microsoft.com/office/infopath/2007/PartnerControls"/>
    <ds:schemaRef ds:uri="dfa2d9f5-199c-4212-8ee5-c011be210f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3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Mercelline Maingi</dc:creator>
  <cp:keywords/>
  <dc:description/>
  <cp:lastModifiedBy>Mercelline Maingi</cp:lastModifiedBy>
  <cp:revision>45</cp:revision>
  <dcterms:created xsi:type="dcterms:W3CDTF">2025-09-26T07:15:00Z</dcterms:created>
  <dcterms:modified xsi:type="dcterms:W3CDTF">2025-09-30T13:38:00Z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  <property fmtid="{D5CDD505-2E9C-101B-9397-08002B2CF9AE}" pid="3" name="MediaServiceImageTags">
    <vt:lpwstr/>
  </property>
</Properties>
</file>